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b w:val="1"/>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QUINTA SESIÓN ORDINARIA DEL CATORCE DE FEBRERO DE DOS MIL VEINTICUATRO, EN EL RECURSO DE REVISIÓN 06111/INFOEM/IP/RR/2023. </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fundamento en lo dispuesto por el artículo 14, fracciones X y XI, del Reglamento del Instituto de Transparencia, Acceso a la Información Pública y Protección de Datos Personales del Estado de México, </w:t>
      </w:r>
      <w:r w:rsidDel="00000000" w:rsidR="00000000" w:rsidRPr="00000000">
        <w:rPr>
          <w:rFonts w:ascii="Palatino Linotype" w:cs="Palatino Linotype" w:eastAsia="Palatino Linotype" w:hAnsi="Palatino Linotype"/>
          <w:b w:val="1"/>
          <w:rtl w:val="0"/>
        </w:rPr>
        <w:t xml:space="preserve">la Comisionada Guadalupe Ramírez Peña</w:t>
      </w:r>
      <w:r w:rsidDel="00000000" w:rsidR="00000000" w:rsidRPr="00000000">
        <w:rPr>
          <w:rFonts w:ascii="Palatino Linotype" w:cs="Palatino Linotype" w:eastAsia="Palatino Linotype" w:hAnsi="Palatino Linotype"/>
          <w:rtl w:val="0"/>
        </w:rPr>
        <w:t xml:space="preserve">, emite </w:t>
      </w:r>
      <w:r w:rsidDel="00000000" w:rsidR="00000000" w:rsidRPr="00000000">
        <w:rPr>
          <w:rFonts w:ascii="Palatino Linotype" w:cs="Palatino Linotype" w:eastAsia="Palatino Linotype" w:hAnsi="Palatino Linotype"/>
          <w:b w:val="1"/>
          <w:rtl w:val="0"/>
        </w:rPr>
        <w:t xml:space="preserve">VOTO PARTICULAR </w:t>
      </w:r>
      <w:r w:rsidDel="00000000" w:rsidR="00000000" w:rsidRPr="00000000">
        <w:rPr>
          <w:rFonts w:ascii="Palatino Linotype" w:cs="Palatino Linotype" w:eastAsia="Palatino Linotype" w:hAnsi="Palatino Linotyp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rtl w:val="0"/>
        </w:rPr>
        <w:t xml:space="preserve">06111/INFOEM/IP/RR/2023 </w:t>
      </w:r>
      <w:r w:rsidDel="00000000" w:rsidR="00000000" w:rsidRPr="00000000">
        <w:rPr>
          <w:rFonts w:ascii="Palatino Linotype" w:cs="Palatino Linotype" w:eastAsia="Palatino Linotype" w:hAnsi="Palatino Linotype"/>
          <w:rtl w:val="0"/>
        </w:rPr>
        <w:t xml:space="preserve">pronunciada por el Pleno de este Instituto ante el proyecto presentado por el Comisionado Luis Gustavo Parra Noriega, el cual se formuló, conforme al tenor siguiente:</w:t>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5">
      <w:pPr>
        <w:numPr>
          <w:ilvl w:val="0"/>
          <w:numId w:val="3"/>
        </w:numPr>
        <w:spacing w:after="0" w:line="360" w:lineRule="auto"/>
        <w:ind w:left="142" w:hanging="284"/>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Antecedentes.</w:t>
      </w:r>
    </w:p>
    <w:p w:rsidR="00000000" w:rsidDel="00000000" w:rsidP="00000000" w:rsidRDefault="00000000" w:rsidRPr="00000000" w14:paraId="00000006">
      <w:pPr>
        <w:spacing w:after="0" w:line="360" w:lineRule="auto"/>
        <w:ind w:left="142"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asunto que nos ocupa, la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solicitó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lo siguiente:</w:t>
      </w:r>
    </w:p>
    <w:p w:rsidR="00000000" w:rsidDel="00000000" w:rsidP="00000000" w:rsidRDefault="00000000" w:rsidRPr="00000000" w14:paraId="0000000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0" w:lineRule="auto"/>
        <w:ind w:left="851" w:right="85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“NECESITO QUE ME INFORMEN NOMBRE, PROFESIÓN, ESCOLARIDAD Y SUELDO DE LOS TRABAJDORES ADSCRITOS AL AYUNTAMIENTO Y ORGANISMOS DESCENTRALIZADOS COMO DIF E IMCUFIDE.”  </w:t>
      </w:r>
      <w:r w:rsidDel="00000000" w:rsidR="00000000" w:rsidRPr="00000000">
        <w:rPr>
          <w:rFonts w:ascii="Palatino Linotype" w:cs="Palatino Linotype" w:eastAsia="Palatino Linotype" w:hAnsi="Palatino Linotype"/>
          <w:rtl w:val="0"/>
        </w:rPr>
        <w:t xml:space="preserve">(sic).</w:t>
      </w:r>
      <w:r w:rsidDel="00000000" w:rsidR="00000000" w:rsidRPr="00000000">
        <w:rPr>
          <w:rtl w:val="0"/>
        </w:rPr>
      </w:r>
    </w:p>
    <w:p w:rsidR="00000000" w:rsidDel="00000000" w:rsidP="00000000" w:rsidRDefault="00000000" w:rsidRPr="00000000" w14:paraId="0000000A">
      <w:pPr>
        <w:spacing w:after="0" w:line="276" w:lineRule="auto"/>
        <w:ind w:left="567"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respuesta, proporcionó los documentos que se describen a continuación: </w:t>
      </w:r>
    </w:p>
    <w:p w:rsidR="00000000" w:rsidDel="00000000" w:rsidP="00000000" w:rsidRDefault="00000000" w:rsidRPr="00000000" w14:paraId="0000000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567"/>
        </w:tabs>
        <w:spacing w:after="0" w:line="360" w:lineRule="auto"/>
        <w:ind w:left="567" w:right="616" w:firstLine="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i) Oficio número IMCUFUDENR/RHyM/181/2023, del once de septiembre de dos mil veintitrés, suscrito por la Titular de Recursos Humanos y Materiales del Instituto Municipal de Cultura Física y Deporte de Nicolás Romero, dirigido al Director del Instituto previamente señalado, por medio del cual manifiesta y expone esencialmente lo siguiente:</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567"/>
        </w:tabs>
        <w:spacing w:after="0" w:line="360" w:lineRule="auto"/>
        <w:ind w:left="567"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567"/>
        </w:tabs>
        <w:spacing w:after="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567"/>
        </w:tabs>
        <w:spacing w:after="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Por medio de la presente reciba un cordial saludo, así mismo, con base al Oficio IMCUFIDENNR/129/2023 le hago llegar la información solicitada del personal que labora el Instituto Municipal de Cultura Física y Deporte de Nicolás Romero.</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567"/>
        </w:tabs>
        <w:spacing w:after="0" w:line="360" w:lineRule="auto"/>
        <w:ind w:left="567" w:right="616"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567"/>
        </w:tabs>
        <w:spacing w:after="0" w:line="360" w:lineRule="auto"/>
        <w:ind w:left="567" w:right="616" w:firstLine="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3">
      <w:pPr>
        <w:spacing w:after="0" w:line="360" w:lineRule="auto"/>
        <w:ind w:left="567" w:right="61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ii) Listado de servidores públicos, con nombre, Profesión, Escolaridad, sueldo base mensual, y sueldo neto mensual, de la primera quincena de enero de dos mil veintidós.</w:t>
      </w:r>
    </w:p>
    <w:p w:rsidR="00000000" w:rsidDel="00000000" w:rsidP="00000000" w:rsidRDefault="00000000" w:rsidRPr="00000000" w14:paraId="00000014">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15">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de ello,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se inconformó por lo siguiente: </w:t>
      </w:r>
    </w:p>
    <w:p w:rsidR="00000000" w:rsidDel="00000000" w:rsidP="00000000" w:rsidRDefault="00000000" w:rsidRPr="00000000" w14:paraId="00000016">
      <w:pPr>
        <w:spacing w:after="0" w:lineRule="auto"/>
        <w:ind w:left="851" w:right="85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7">
      <w:pPr>
        <w:spacing w:after="0" w:lineRule="auto"/>
        <w:ind w:left="851" w:right="85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“solicité información de los trabajadores adscritos al ayuntamiento, dif e Incufide y unicamente, se entrego información de incufide y la incompetencia de DIF. y los trabajdores del Ayuntamiento adscritos de ese personal no me lo entregaron.” </w:t>
      </w:r>
      <w:r w:rsidDel="00000000" w:rsidR="00000000" w:rsidRPr="00000000">
        <w:rPr>
          <w:rFonts w:ascii="Palatino Linotype" w:cs="Palatino Linotype" w:eastAsia="Palatino Linotype" w:hAnsi="Palatino Linotype"/>
          <w:rtl w:val="0"/>
        </w:rPr>
        <w:t xml:space="preserve">(sic).</w:t>
      </w:r>
    </w:p>
    <w:p w:rsidR="00000000" w:rsidDel="00000000" w:rsidP="00000000" w:rsidRDefault="00000000" w:rsidRPr="00000000" w14:paraId="00000018">
      <w:pPr>
        <w:tabs>
          <w:tab w:val="left" w:leader="none" w:pos="8219"/>
        </w:tabs>
        <w:spacing w:after="0" w:lineRule="auto"/>
        <w:ind w:left="851" w:right="902"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mediante informe justificado, mencionó que: </w:t>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Al respecto le informo que, la información solicitada por el particular, ya se encuentra publicada en el Portal de Información Pública Mexiquense (IPOMEX) de este Sujeto Obligado, dentro del Artículo 92, en las Fracciones VII El directorio de todos los servidores públicos, VIII A Remuneraciones y XXI Información curricular y sanciones administrativas. Se anexa liga las fracciones mencionadas:</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VII El directorio de todos los servidores públicos: </w:t>
      </w:r>
      <w:hyperlink r:id="rId7">
        <w:r w:rsidDel="00000000" w:rsidR="00000000" w:rsidRPr="00000000">
          <w:rPr>
            <w:rFonts w:ascii="Times New Roman" w:cs="Times New Roman" w:eastAsia="Times New Roman" w:hAnsi="Times New Roman"/>
            <w:i w:val="1"/>
            <w:color w:val="035899"/>
            <w:sz w:val="20"/>
            <w:szCs w:val="20"/>
            <w:rtl w:val="0"/>
          </w:rPr>
          <w:t xml:space="preserve">https://ipomex.org.mx/ipo3/lgt/indice/NICOLASROMERO/art_92_vii.web</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VIII A Remuneraciones: </w:t>
      </w:r>
      <w:hyperlink r:id="rId8">
        <w:r w:rsidDel="00000000" w:rsidR="00000000" w:rsidRPr="00000000">
          <w:rPr>
            <w:rFonts w:ascii="Times New Roman" w:cs="Times New Roman" w:eastAsia="Times New Roman" w:hAnsi="Times New Roman"/>
            <w:i w:val="1"/>
            <w:color w:val="035899"/>
            <w:sz w:val="20"/>
            <w:szCs w:val="20"/>
            <w:rtl w:val="0"/>
          </w:rPr>
          <w:t xml:space="preserve">https://ipomex.org.mx/ipo3/lgt/indice/NICOLASROMERO/art_92_viii.web</w:t>
        </w:r>
      </w:hyperlink>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XXI Información curricular y sanciones administrativas: </w:t>
      </w:r>
      <w:hyperlink r:id="rId9">
        <w:r w:rsidDel="00000000" w:rsidR="00000000" w:rsidRPr="00000000">
          <w:rPr>
            <w:rFonts w:ascii="Times New Roman" w:cs="Times New Roman" w:eastAsia="Times New Roman" w:hAnsi="Times New Roman"/>
            <w:i w:val="1"/>
            <w:color w:val="035899"/>
            <w:sz w:val="20"/>
            <w:szCs w:val="20"/>
            <w:rtl w:val="0"/>
          </w:rPr>
          <w:t xml:space="preserve">https://ipomex.org.mx/ipo3/lgt/indice/NICOLASROMERO/art_92_xxi.web</w:t>
        </w:r>
      </w:hyperlink>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De todas formas, se anexa liga a una carpeta en Drive con los archivos que contienen la información solicitada:</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https://drive.google.com/file/d/1Yr0BWxVHkpF3EI8A4NSwwBWYuAWxlaNH/view?usp=sha ring</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567"/>
        </w:tabs>
        <w:spacing w:after="0" w:line="360" w:lineRule="auto"/>
        <w:ind w:left="567" w:right="567" w:firstLine="0"/>
        <w:jc w:val="both"/>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 xml:space="preserve">…”</w:t>
      </w:r>
    </w:p>
    <w:p w:rsidR="00000000" w:rsidDel="00000000" w:rsidP="00000000" w:rsidRDefault="00000000" w:rsidRPr="00000000" w14:paraId="00000027">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after="0" w:line="360" w:lineRule="auto"/>
        <w:ind w:right="-6"/>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el Comisionado Ponente consideró que los motivos de inconformidad aducidos por la </w:t>
      </w:r>
      <w:r w:rsidDel="00000000" w:rsidR="00000000" w:rsidRPr="00000000">
        <w:rPr>
          <w:rFonts w:ascii="Palatino Linotype" w:cs="Palatino Linotype" w:eastAsia="Palatino Linotype" w:hAnsi="Palatino Linotype"/>
          <w:b w:val="1"/>
          <w:rtl w:val="0"/>
        </w:rPr>
        <w:t xml:space="preserve">parte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resultan </w:t>
      </w:r>
      <w:r w:rsidDel="00000000" w:rsidR="00000000" w:rsidRPr="00000000">
        <w:rPr>
          <w:rFonts w:ascii="Palatino Linotype" w:cs="Palatino Linotype" w:eastAsia="Palatino Linotype" w:hAnsi="Palatino Linotype"/>
          <w:b w:val="1"/>
          <w:rtl w:val="0"/>
        </w:rPr>
        <w:t xml:space="preserve">fundados</w:t>
      </w:r>
      <w:r w:rsidDel="00000000" w:rsidR="00000000" w:rsidRPr="00000000">
        <w:rPr>
          <w:rFonts w:ascii="Palatino Linotype" w:cs="Palatino Linotype" w:eastAsia="Palatino Linotype" w:hAnsi="Palatino Linotype"/>
          <w:rtl w:val="0"/>
        </w:rPr>
        <w:t xml:space="preserve">, y determinó </w:t>
      </w:r>
      <w:r w:rsidDel="00000000" w:rsidR="00000000" w:rsidRPr="00000000">
        <w:rPr>
          <w:rFonts w:ascii="Palatino Linotype" w:cs="Palatino Linotype" w:eastAsia="Palatino Linotype" w:hAnsi="Palatino Linotype"/>
          <w:b w:val="1"/>
          <w:rtl w:val="0"/>
        </w:rPr>
        <w:t xml:space="preserve">MODIFICAR </w:t>
      </w:r>
      <w:r w:rsidDel="00000000" w:rsidR="00000000" w:rsidRPr="00000000">
        <w:rPr>
          <w:rFonts w:ascii="Palatino Linotype" w:cs="Palatino Linotype" w:eastAsia="Palatino Linotype" w:hAnsi="Palatino Linotype"/>
          <w:rtl w:val="0"/>
        </w:rPr>
        <w:t xml:space="preserve">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ordenando lo siguiente:</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A">
      <w:pP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PRIMERO. </w:t>
      </w:r>
      <w:r w:rsidDel="00000000" w:rsidR="00000000" w:rsidRPr="00000000">
        <w:rPr>
          <w:rFonts w:ascii="Palatino Linotype" w:cs="Palatino Linotype" w:eastAsia="Palatino Linotype" w:hAnsi="Palatino Linotype"/>
          <w:i w:val="1"/>
          <w:rtl w:val="0"/>
        </w:rPr>
        <w:t xml:space="preserve">Se </w:t>
      </w:r>
      <w:r w:rsidDel="00000000" w:rsidR="00000000" w:rsidRPr="00000000">
        <w:rPr>
          <w:rFonts w:ascii="Palatino Linotype" w:cs="Palatino Linotype" w:eastAsia="Palatino Linotype" w:hAnsi="Palatino Linotype"/>
          <w:b w:val="1"/>
          <w:i w:val="1"/>
          <w:rtl w:val="0"/>
        </w:rPr>
        <w:t xml:space="preserve">MODIFICA</w:t>
      </w:r>
      <w:r w:rsidDel="00000000" w:rsidR="00000000" w:rsidRPr="00000000">
        <w:rPr>
          <w:rFonts w:ascii="Palatino Linotype" w:cs="Palatino Linotype" w:eastAsia="Palatino Linotype" w:hAnsi="Palatino Linotype"/>
          <w:i w:val="1"/>
          <w:rtl w:val="0"/>
        </w:rPr>
        <w:t xml:space="preserve"> la respuesta entregada por el Ayuntamiento de el Oro, a la solicitud de información 00181/NICOROM/IP/2023, por resultar </w:t>
      </w:r>
      <w:r w:rsidDel="00000000" w:rsidR="00000000" w:rsidRPr="00000000">
        <w:rPr>
          <w:rFonts w:ascii="Palatino Linotype" w:cs="Palatino Linotype" w:eastAsia="Palatino Linotype" w:hAnsi="Palatino Linotype"/>
          <w:b w:val="1"/>
          <w:i w:val="1"/>
          <w:rtl w:val="0"/>
        </w:rPr>
        <w:t xml:space="preserve">FUNDADAS</w:t>
      </w:r>
      <w:r w:rsidDel="00000000" w:rsidR="00000000" w:rsidRPr="00000000">
        <w:rPr>
          <w:rFonts w:ascii="Palatino Linotype" w:cs="Palatino Linotype" w:eastAsia="Palatino Linotype" w:hAnsi="Palatino Linotype"/>
          <w:i w:val="1"/>
          <w:rtl w:val="0"/>
        </w:rPr>
        <w:t xml:space="preserve"> las razones o motivos de inconformidad hechos valer por el Particular, en términos de los considerandos QUINTO y SEXTO de la presente Resolución.</w:t>
      </w:r>
    </w:p>
    <w:p w:rsidR="00000000" w:rsidDel="00000000" w:rsidP="00000000" w:rsidRDefault="00000000" w:rsidRPr="00000000" w14:paraId="0000002B">
      <w:pPr>
        <w:spacing w:after="0" w:line="276" w:lineRule="auto"/>
        <w:ind w:left="567" w:right="616"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2C">
      <w:pPr>
        <w:widowControl w:val="0"/>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SEGUNDO. </w:t>
      </w:r>
      <w:r w:rsidDel="00000000" w:rsidR="00000000" w:rsidRPr="00000000">
        <w:rPr>
          <w:rFonts w:ascii="Palatino Linotype" w:cs="Palatino Linotype" w:eastAsia="Palatino Linotype" w:hAnsi="Palatino Linotype"/>
          <w:i w:val="1"/>
          <w:rtl w:val="0"/>
        </w:rPr>
        <w:t xml:space="preserve">Se </w:t>
      </w:r>
      <w:r w:rsidDel="00000000" w:rsidR="00000000" w:rsidRPr="00000000">
        <w:rPr>
          <w:rFonts w:ascii="Palatino Linotype" w:cs="Palatino Linotype" w:eastAsia="Palatino Linotype" w:hAnsi="Palatino Linotype"/>
          <w:b w:val="1"/>
          <w:i w:val="1"/>
          <w:rtl w:val="0"/>
        </w:rPr>
        <w:t xml:space="preserve">ORDENA </w:t>
      </w:r>
      <w:r w:rsidDel="00000000" w:rsidR="00000000" w:rsidRPr="00000000">
        <w:rPr>
          <w:rFonts w:ascii="Palatino Linotype" w:cs="Palatino Linotype" w:eastAsia="Palatino Linotype" w:hAnsi="Palatino Linotype"/>
          <w:i w:val="1"/>
          <w:rtl w:val="0"/>
        </w:rPr>
        <w:t xml:space="preserve">al Ente Recurrido, a efecto de que previa búsqueda exhaustiva y razonable en las unidades administrativas competentes, entregue, a través del Sistema de Acceso a la Información Mexiquense (SAIMEX), en su caso, en versión pública, de los servidores faltantes, en términos del Considerando QUINTO, con los que contaba al treinta de agosto de dos mil veintitrés, los documentos donde conste lo siguiente:</w:t>
      </w:r>
    </w:p>
    <w:p w:rsidR="00000000" w:rsidDel="00000000" w:rsidP="00000000" w:rsidRDefault="00000000" w:rsidRPr="00000000" w14:paraId="0000002D">
      <w:pPr>
        <w:widowControl w:val="0"/>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E">
      <w:pPr>
        <w:widowControl w:val="0"/>
        <w:numPr>
          <w:ilvl w:val="0"/>
          <w:numId w:val="4"/>
        </w:numPr>
        <w:pBdr>
          <w:top w:space="0" w:sz="0" w:val="nil"/>
          <w:left w:space="0" w:sz="0" w:val="nil"/>
          <w:bottom w:space="0" w:sz="0" w:val="nil"/>
          <w:right w:space="0" w:sz="0" w:val="nil"/>
          <w:between w:space="0" w:sz="0" w:val="nil"/>
        </w:pBdr>
        <w:spacing w:after="0" w:line="276" w:lineRule="auto"/>
        <w:ind w:left="567" w:right="616" w:hanging="36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El sueldo bruto y neto mensual vigente, y</w:t>
      </w:r>
    </w:p>
    <w:p w:rsidR="00000000" w:rsidDel="00000000" w:rsidP="00000000" w:rsidRDefault="00000000" w:rsidRPr="00000000" w14:paraId="0000002F">
      <w:pPr>
        <w:widowControl w:val="0"/>
        <w:numPr>
          <w:ilvl w:val="0"/>
          <w:numId w:val="4"/>
        </w:numPr>
        <w:pBdr>
          <w:top w:space="0" w:sz="0" w:val="nil"/>
          <w:left w:space="0" w:sz="0" w:val="nil"/>
          <w:bottom w:space="0" w:sz="0" w:val="nil"/>
          <w:right w:space="0" w:sz="0" w:val="nil"/>
          <w:between w:space="0" w:sz="0" w:val="nil"/>
        </w:pBdr>
        <w:spacing w:after="0" w:line="276" w:lineRule="auto"/>
        <w:ind w:left="567" w:right="616" w:hanging="360"/>
        <w:jc w:val="both"/>
        <w:rPr>
          <w:rFonts w:ascii="Palatino Linotype" w:cs="Palatino Linotype" w:eastAsia="Palatino Linotype" w:hAnsi="Palatino Linotype"/>
          <w:i w:val="1"/>
          <w:color w:val="000000"/>
          <w:sz w:val="24"/>
          <w:szCs w:val="24"/>
        </w:rPr>
      </w:pPr>
      <w:r w:rsidDel="00000000" w:rsidR="00000000" w:rsidRPr="00000000">
        <w:rPr>
          <w:rFonts w:ascii="Palatino Linotype" w:cs="Palatino Linotype" w:eastAsia="Palatino Linotype" w:hAnsi="Palatino Linotype"/>
          <w:i w:val="1"/>
          <w:color w:val="000000"/>
          <w:sz w:val="24"/>
          <w:szCs w:val="24"/>
          <w:rtl w:val="0"/>
        </w:rPr>
        <w:t xml:space="preserve">El grado o nivel de estudios.</w:t>
      </w:r>
    </w:p>
    <w:p w:rsidR="00000000" w:rsidDel="00000000" w:rsidP="00000000" w:rsidRDefault="00000000" w:rsidRPr="00000000" w14:paraId="00000030">
      <w:pPr>
        <w:widowControl w:val="0"/>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1">
      <w:pPr>
        <w:tabs>
          <w:tab w:val="left" w:leader="none" w:pos="4962"/>
        </w:tabs>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00000000" w:rsidDel="00000000" w:rsidP="00000000" w:rsidRDefault="00000000" w:rsidRPr="00000000" w14:paraId="00000032">
      <w:pPr>
        <w:widowControl w:val="0"/>
        <w:spacing w:after="0" w:line="276" w:lineRule="auto"/>
        <w:ind w:left="567" w:right="61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3">
      <w:pPr>
        <w:widowControl w:val="0"/>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que no cuente con el grado o nivel de estudios de alguno de los servidores faltantes, por no haber obligación normativa, deberá hacerlo del conocimiento del Recurrente, de manera clara y precisa.</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b w:val="1"/>
          <w:color w:val="000000"/>
          <w:rtl w:val="0"/>
        </w:rPr>
        <w:t xml:space="preserve">Razones del Voto Particular.</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ind w:left="284" w:firstLine="0"/>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orden de ideas, resulta importante señalar que coincido con los términos generales planteados en la Resolución, no obstante, existen dos elementos que no comparto y son el motivo por los cuales </w:t>
      </w:r>
      <w:r w:rsidDel="00000000" w:rsidR="00000000" w:rsidRPr="00000000">
        <w:rPr>
          <w:rFonts w:ascii="Palatino Linotype" w:cs="Palatino Linotype" w:eastAsia="Palatino Linotype" w:hAnsi="Palatino Linotype"/>
          <w:rtl w:val="0"/>
        </w:rPr>
        <w:t xml:space="preserve">realizó</w:t>
      </w:r>
      <w:r w:rsidDel="00000000" w:rsidR="00000000" w:rsidRPr="00000000">
        <w:rPr>
          <w:rFonts w:ascii="Palatino Linotype" w:cs="Palatino Linotype" w:eastAsia="Palatino Linotype" w:hAnsi="Palatino Linotype"/>
          <w:color w:val="000000"/>
          <w:rtl w:val="0"/>
        </w:rPr>
        <w:t xml:space="preserve"> el presente Voto Particular.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9">
      <w:pP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sz w:val="24"/>
          <w:szCs w:val="24"/>
          <w:rtl w:val="0"/>
        </w:rPr>
        <w:t xml:space="preserve">Resulta importante señalar que coincido con los términos generales en la información que se ordena planteados en la Resolución, sin embargo, de la información que se ordena, se encuentran documentos en los que constan las remuneraciones de todos los servidores públicos, señalando que  por regla general la publicidad de los nombres de los servidores públicos en el  ejercicio de la función pública, se encuentran establecidas como una obligación de transparencia común, tanto en la Ley General como en la Ley Local, y de manera específica, el artículo 92, fracción VII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 </w:t>
      </w: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rFonts w:ascii="Palatino Linotype" w:cs="Palatino Linotype" w:eastAsia="Palatino Linotype" w:hAnsi="Palatino Linotype"/>
          <w:b w:val="1"/>
          <w:color w:val="000000"/>
          <w:rtl w:val="0"/>
        </w:rPr>
        <w:t xml:space="preserve">los Municipios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rFonts w:ascii="Palatino Linotype" w:cs="Palatino Linotype" w:eastAsia="Palatino Linotype" w:hAnsi="Palatino Linotype"/>
          <w:color w:val="000000"/>
          <w:rtl w:val="0"/>
        </w:rPr>
        <w:t xml:space="preserve">. </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 </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r w:rsidDel="00000000" w:rsidR="00000000" w:rsidRPr="00000000">
        <w:rPr>
          <w:rFonts w:ascii="Palatino Linotype" w:cs="Palatino Linotype" w:eastAsia="Palatino Linotype" w:hAnsi="Palatino Linotype"/>
          <w:b w:val="1"/>
          <w:i w:val="1"/>
          <w:rtl w:val="0"/>
        </w:rPr>
        <w:t xml:space="preserve">Artículo 81.-</w:t>
      </w:r>
      <w:r w:rsidDel="00000000" w:rsidR="00000000" w:rsidRPr="00000000">
        <w:rPr>
          <w:rFonts w:ascii="Palatino Linotype" w:cs="Palatino Linotype" w:eastAsia="Palatino Linotype" w:hAnsi="Palatino Linotype"/>
          <w:i w:val="1"/>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II. Aquella cuya revelación pueda ser utilizada para actualizar o potenciar una amenaza a la seguridad pública o a las instituciones del Estado de México ;</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360" w:lineRule="auto"/>
        <w:ind w:left="567" w:right="990" w:firstLine="0"/>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 </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76" w:lineRule="auto"/>
        <w:ind w:left="851" w:right="61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“Ley General de Transparencia y Acceso a la Información Pública:</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113</w:t>
      </w:r>
      <w:r w:rsidDel="00000000" w:rsidR="00000000" w:rsidRPr="00000000">
        <w:rPr>
          <w:rFonts w:ascii="Palatino Linotype" w:cs="Palatino Linotype" w:eastAsia="Palatino Linotype" w:hAnsi="Palatino Linotype"/>
          <w:i w:val="1"/>
          <w:rtl w:val="0"/>
        </w:rPr>
        <w:t xml:space="preserve">. Como información reservada podrá clasificarse aquella cuya publicación:</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Comprometa la seguridad nacional, la seguridad pública o la defensa nacional y cuente con un propósito genuino y un efecto demostrable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“Ley de Transparencia y Acceso a la Información Pública del Estado de México y Municipios: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140</w:t>
      </w:r>
      <w:r w:rsidDel="00000000" w:rsidR="00000000" w:rsidRPr="00000000">
        <w:rPr>
          <w:rFonts w:ascii="Palatino Linotype" w:cs="Palatino Linotype" w:eastAsia="Palatino Linotype" w:hAnsi="Palatino Linotype"/>
          <w:i w:val="1"/>
          <w:rtl w:val="0"/>
        </w:rPr>
        <w:t xml:space="preserve">. 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76" w:lineRule="auto"/>
        <w:ind w:left="567" w:right="616"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I. Comprometa la seguridad pública y cuente con un propósito genuino y un efecto demostrable</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crucial señalar que estos Lineamientos señalan </w:t>
      </w:r>
      <w:r w:rsidDel="00000000" w:rsidR="00000000" w:rsidRPr="00000000">
        <w:rPr>
          <w:rFonts w:ascii="Palatino Linotype" w:cs="Palatino Linotype" w:eastAsia="Palatino Linotype" w:hAnsi="Palatino Linotype"/>
          <w:b w:val="1"/>
          <w:u w:val="single"/>
          <w:rtl w:val="0"/>
        </w:rPr>
        <w:t xml:space="preserve">que es susceptible de considerarse como reservada aquella que revele datos que pudieran ser aprovechados para conocer la capacidad de reacción de las instituciones encargadas de la seguridad pública</w:t>
      </w:r>
      <w:r w:rsidDel="00000000" w:rsidR="00000000" w:rsidRPr="00000000">
        <w:rPr>
          <w:rFonts w:ascii="Palatino Linotype" w:cs="Palatino Linotype" w:eastAsia="Palatino Linotype" w:hAnsi="Palatino Linotype"/>
          <w:rtl w:val="0"/>
        </w:rPr>
        <w:t xml:space="preserve">, sus planes, estrategias, tecnología, información, sistemas de comunicaciones.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bookmarkStart w:colFirst="0" w:colLast="0" w:name="_heading=h.tyjcwt" w:id="1"/>
      <w:bookmarkEnd w:id="1"/>
      <w:r w:rsidDel="00000000" w:rsidR="00000000" w:rsidRPr="00000000">
        <w:rPr>
          <w:rFonts w:ascii="Palatino Linotype" w:cs="Palatino Linotype" w:eastAsia="Palatino Linotype" w:hAnsi="Palatino Linotyp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bookmarkStart w:colFirst="0" w:colLast="0" w:name="_heading=h.qkkde2472gxk" w:id="2"/>
      <w:bookmarkEnd w:id="2"/>
      <w:r w:rsidDel="00000000" w:rsidR="00000000" w:rsidRPr="00000000">
        <w:rPr>
          <w:rtl w:val="0"/>
        </w:rPr>
      </w:r>
    </w:p>
    <w:p w:rsidR="00000000" w:rsidDel="00000000" w:rsidP="00000000" w:rsidRDefault="00000000" w:rsidRPr="00000000" w14:paraId="00000059">
      <w:pPr>
        <w:spacing w:after="0" w:line="360" w:lineRule="auto"/>
        <w:ind w:right="-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la reserva del personal operativo procede por dos circunstancias:</w:t>
      </w:r>
    </w:p>
    <w:p w:rsidR="00000000" w:rsidDel="00000000" w:rsidP="00000000" w:rsidRDefault="00000000" w:rsidRPr="00000000" w14:paraId="0000005A">
      <w:pPr>
        <w:spacing w:after="0" w:line="360" w:lineRule="auto"/>
        <w:ind w:right="-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B">
      <w:pPr>
        <w:spacing w:after="0" w:line="360" w:lineRule="auto"/>
        <w:ind w:left="284" w:right="-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Se identifica en términos concretos cómo es que la información requerida podría comprometer el ejercicio de sus facultades constitucionales y, con ello, la seguridad </w:t>
      </w:r>
      <w:r w:rsidDel="00000000" w:rsidR="00000000" w:rsidRPr="00000000">
        <w:rPr>
          <w:rFonts w:ascii="Palatino Linotype" w:cs="Palatino Linotype" w:eastAsia="Palatino Linotype" w:hAnsi="Palatino Linotype"/>
          <w:color w:val="000000"/>
          <w:rtl w:val="0"/>
        </w:rPr>
        <w:t xml:space="preserve">pública, </w:t>
      </w:r>
      <w:r w:rsidDel="00000000" w:rsidR="00000000" w:rsidRPr="00000000">
        <w:rPr>
          <w:rFonts w:ascii="Palatino Linotype" w:cs="Palatino Linotype" w:eastAsia="Palatino Linotype" w:hAnsi="Palatino Linotype"/>
          <w:rtl w:val="0"/>
        </w:rPr>
        <w:t xml:space="preserve">en virtud de que: </w:t>
      </w:r>
    </w:p>
    <w:p w:rsidR="00000000" w:rsidDel="00000000" w:rsidP="00000000" w:rsidRDefault="00000000" w:rsidRPr="00000000" w14:paraId="0000005C">
      <w:pPr>
        <w:spacing w:after="0" w:line="360" w:lineRule="auto"/>
        <w:ind w:left="284" w:right="-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D">
      <w:pPr>
        <w:spacing w:after="0" w:line="360" w:lineRule="auto"/>
        <w:ind w:left="567" w:right="-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información podría ser aprovechada por los grupos criminales para conocer la capacidad de reacción </w:t>
      </w:r>
    </w:p>
    <w:p w:rsidR="00000000" w:rsidDel="00000000" w:rsidP="00000000" w:rsidRDefault="00000000" w:rsidRPr="00000000" w14:paraId="0000005E">
      <w:pPr>
        <w:spacing w:after="0" w:line="360" w:lineRule="auto"/>
        <w:ind w:left="567" w:right="-3" w:firstLine="0"/>
        <w:jc w:val="both"/>
        <w:rPr>
          <w:rFonts w:ascii="Palatino Linotype" w:cs="Palatino Linotype" w:eastAsia="Palatino Linotype" w:hAnsi="Palatino Linotype"/>
        </w:rPr>
      </w:pPr>
      <w:bookmarkStart w:colFirst="0" w:colLast="0" w:name="_heading=h.1fob9te" w:id="3"/>
      <w:bookmarkEnd w:id="3"/>
      <w:r w:rsidDel="00000000" w:rsidR="00000000" w:rsidRPr="00000000">
        <w:rPr>
          <w:rFonts w:ascii="Palatino Linotype" w:cs="Palatino Linotype" w:eastAsia="Palatino Linotype" w:hAnsi="Palatino Linotype"/>
          <w:rtl w:val="0"/>
        </w:rPr>
        <w:t xml:space="preserve">b) Con dicha información se revelarían a detalle las características funcionales del personal y con ello, su organización para el cumplimiento de sus funciones; y </w:t>
      </w:r>
    </w:p>
    <w:p w:rsidR="00000000" w:rsidDel="00000000" w:rsidP="00000000" w:rsidRDefault="00000000" w:rsidRPr="00000000" w14:paraId="0000005F">
      <w:pPr>
        <w:spacing w:after="0" w:line="360" w:lineRule="auto"/>
        <w:ind w:left="567" w:right="-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spacing w:after="0" w:line="360" w:lineRule="auto"/>
        <w:ind w:left="284" w:right="-3"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2. Existe una relación causal general entre la entrega de la información y la afectación a la seguridad pública, pues los grupos criminales estarían en posibilidad de obstaculizar o bloquear actividades encaminadas a preservar el orden dentro de la dinámica social. </w:t>
      </w:r>
    </w:p>
    <w:p w:rsidR="00000000" w:rsidDel="00000000" w:rsidP="00000000" w:rsidRDefault="00000000" w:rsidRPr="00000000" w14:paraId="00000061">
      <w:pPr>
        <w:spacing w:after="0" w:line="360" w:lineRule="auto"/>
        <w:ind w:left="284" w:right="-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after="0" w:line="360" w:lineRule="auto"/>
        <w:ind w:right="-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rtl w:val="0"/>
        </w:rPr>
        <w:t xml:space="preserve">estado de fuerza </w:t>
      </w:r>
      <w:r w:rsidDel="00000000" w:rsidR="00000000" w:rsidRPr="00000000">
        <w:rPr>
          <w:rFonts w:ascii="Palatino Linotype" w:cs="Palatino Linotype" w:eastAsia="Palatino Linotype" w:hAnsi="Palatino Linotype"/>
          <w:rtl w:val="0"/>
        </w:rPr>
        <w:t xml:space="preserve">con que cuentan el Estado y Municipios, mayor es la probabilidad de que la información pueda implementarse como medio para actualizar o potenciar una amenaza en contra de la seguridad pública de los mismos. </w:t>
      </w:r>
    </w:p>
    <w:p w:rsidR="00000000" w:rsidDel="00000000" w:rsidP="00000000" w:rsidRDefault="00000000" w:rsidRPr="00000000" w14:paraId="00000063">
      <w:pPr>
        <w:spacing w:after="0" w:line="360" w:lineRule="auto"/>
        <w:ind w:right="-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4">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aunado a que no se hace una distinción entre el número de personal operativo y administrativo.</w:t>
      </w:r>
    </w:p>
    <w:p w:rsidR="00000000" w:rsidDel="00000000" w:rsidP="00000000" w:rsidRDefault="00000000" w:rsidRPr="00000000" w14:paraId="00000065">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documentales en las que se aprecie dicha información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68">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2023, en dicho documento obran los siguientes elementos:</w:t>
      </w:r>
    </w:p>
    <w:p w:rsidR="00000000" w:rsidDel="00000000" w:rsidP="00000000" w:rsidRDefault="00000000" w:rsidRPr="00000000" w14:paraId="00000069">
      <w:pPr>
        <w:spacing w:after="0" w:line="360" w:lineRule="auto"/>
        <w:ind w:right="139"/>
        <w:jc w:val="both"/>
        <w:rPr/>
      </w:pPr>
      <w:bookmarkStart w:colFirst="0" w:colLast="0" w:name="_heading=h.6x66xkp9czwl" w:id="4"/>
      <w:bookmarkEnd w:id="4"/>
      <w:r w:rsidDel="00000000" w:rsidR="00000000" w:rsidRPr="00000000">
        <w:rPr>
          <w:rtl w:val="0"/>
        </w:rPr>
      </w:r>
    </w:p>
    <w:p w:rsidR="00000000" w:rsidDel="00000000" w:rsidP="00000000" w:rsidRDefault="00000000" w:rsidRPr="00000000" w14:paraId="0000006A">
      <w:pPr>
        <w:spacing w:after="0" w:line="360" w:lineRule="auto"/>
        <w:ind w:right="139"/>
        <w:jc w:val="center"/>
        <w:rPr/>
      </w:pPr>
      <w:r w:rsidDel="00000000" w:rsidR="00000000" w:rsidRPr="00000000">
        <w:rPr/>
        <w:drawing>
          <wp:inline distB="0" distT="0" distL="0" distR="0">
            <wp:extent cx="5580000" cy="4826873"/>
            <wp:effectExtent b="0" l="0" r="0" t="0"/>
            <wp:docPr id="2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580000" cy="482687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360" w:lineRule="auto"/>
        <w:ind w:right="139"/>
        <w:jc w:val="center"/>
        <w:rPr/>
      </w:pPr>
      <w:r w:rsidDel="00000000" w:rsidR="00000000" w:rsidRPr="00000000">
        <w:rPr/>
        <w:drawing>
          <wp:inline distB="0" distT="0" distL="0" distR="0">
            <wp:extent cx="4320000" cy="1738260"/>
            <wp:effectExtent b="0" l="0" r="0" t="0"/>
            <wp:docPr id="25" name="image2.png"/>
            <a:graphic>
              <a:graphicData uri="http://schemas.openxmlformats.org/drawingml/2006/picture">
                <pic:pic>
                  <pic:nvPicPr>
                    <pic:cNvPr id="0" name="image2.png"/>
                    <pic:cNvPicPr preferRelativeResize="0"/>
                  </pic:nvPicPr>
                  <pic:blipFill>
                    <a:blip r:embed="rId11"/>
                    <a:srcRect b="70494" l="0" r="0" t="0"/>
                    <a:stretch>
                      <a:fillRect/>
                    </a:stretch>
                  </pic:blipFill>
                  <pic:spPr>
                    <a:xfrm>
                      <a:off x="0" y="0"/>
                      <a:ext cx="4320000" cy="173826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360" w:lineRule="auto"/>
        <w:ind w:right="139"/>
        <w:jc w:val="center"/>
        <w:rPr/>
      </w:pPr>
      <w:r w:rsidDel="00000000" w:rsidR="00000000" w:rsidRPr="00000000">
        <w:rPr/>
        <w:drawing>
          <wp:inline distB="0" distT="0" distL="0" distR="0">
            <wp:extent cx="4320000" cy="2089095"/>
            <wp:effectExtent b="0" l="0" r="0" t="0"/>
            <wp:docPr id="23" name="image2.png"/>
            <a:graphic>
              <a:graphicData uri="http://schemas.openxmlformats.org/drawingml/2006/picture">
                <pic:pic>
                  <pic:nvPicPr>
                    <pic:cNvPr id="0" name="image2.png"/>
                    <pic:cNvPicPr preferRelativeResize="0"/>
                  </pic:nvPicPr>
                  <pic:blipFill>
                    <a:blip r:embed="rId11"/>
                    <a:srcRect b="0" l="0" r="0" t="64538"/>
                    <a:stretch>
                      <a:fillRect/>
                    </a:stretch>
                  </pic:blipFill>
                  <pic:spPr>
                    <a:xfrm>
                      <a:off x="0" y="0"/>
                      <a:ext cx="4320000" cy="208909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0" w:line="360" w:lineRule="auto"/>
        <w:ind w:right="139"/>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w:t>
      </w:r>
    </w:p>
    <w:p w:rsidR="00000000" w:rsidDel="00000000" w:rsidP="00000000" w:rsidRDefault="00000000" w:rsidRPr="00000000" w14:paraId="0000006E">
      <w:pPr>
        <w:spacing w:after="0" w:line="360" w:lineRule="auto"/>
        <w:ind w:right="139"/>
        <w:jc w:val="both"/>
        <w:rPr>
          <w:rFonts w:ascii="Palatino Linotype" w:cs="Palatino Linotype" w:eastAsia="Palatino Linotype" w:hAnsi="Palatino Linotype"/>
          <w:sz w:val="24"/>
          <w:szCs w:val="24"/>
        </w:rPr>
      </w:pPr>
      <w:bookmarkStart w:colFirst="0" w:colLast="0" w:name="_heading=h.jjcdfz331x30" w:id="5"/>
      <w:bookmarkEnd w:id="5"/>
      <w:r w:rsidDel="00000000" w:rsidR="00000000" w:rsidRPr="00000000">
        <w:rPr>
          <w:rFonts w:ascii="Palatino Linotype" w:cs="Palatino Linotype" w:eastAsia="Palatino Linotype" w:hAnsi="Palatino Linotype"/>
          <w:sz w:val="24"/>
          <w:szCs w:val="24"/>
          <w:rtl w:val="0"/>
        </w:rPr>
        <w:t xml:space="preserve">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sz w:val="24"/>
          <w:szCs w:val="24"/>
          <w:u w:val="single"/>
          <w:rtl w:val="0"/>
        </w:rPr>
        <w:t xml:space="preserve">facilitaría a las células delictivas el neutralizar las acciones implementadas o por implementar para la preservación de la paz pública, afectando así su estado de fuerza, o bien les permita </w:t>
      </w:r>
      <w:r w:rsidDel="00000000" w:rsidR="00000000" w:rsidRPr="00000000">
        <w:rPr>
          <w:rFonts w:ascii="Palatino Linotype" w:cs="Palatino Linotype" w:eastAsia="Palatino Linotype" w:hAnsi="Palatino Linotype"/>
          <w:sz w:val="24"/>
          <w:szCs w:val="24"/>
          <w:rtl w:val="0"/>
        </w:rPr>
        <w:t xml:space="preserve">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w:t>
      </w:r>
      <w:r w:rsidDel="00000000" w:rsidR="00000000" w:rsidRPr="00000000">
        <w:rPr>
          <w:rFonts w:ascii="Palatino Linotype" w:cs="Palatino Linotype" w:eastAsia="Palatino Linotype" w:hAnsi="Palatino Linotype"/>
          <w:b w:val="1"/>
          <w:sz w:val="24"/>
          <w:szCs w:val="24"/>
          <w:rtl w:val="0"/>
        </w:rPr>
        <w:t xml:space="preserve">Voto particular</w:t>
      </w: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14:paraId="0000006F">
      <w:pPr>
        <w:spacing w:after="0" w:line="360" w:lineRule="auto"/>
        <w:ind w:right="139"/>
        <w:jc w:val="both"/>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14:paraId="00000070">
      <w:pPr>
        <w:spacing w:after="0" w:line="360" w:lineRule="auto"/>
        <w:ind w:right="139"/>
        <w:jc w:val="both"/>
        <w:rPr>
          <w:rFonts w:ascii="Palatino Linotype" w:cs="Palatino Linotype" w:eastAsia="Palatino Linotype" w:hAnsi="Palatino Linotype"/>
        </w:r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Por otro lado, en cuanto hace a la </w:t>
      </w:r>
      <w:r w:rsidDel="00000000" w:rsidR="00000000" w:rsidRPr="00000000">
        <w:rPr>
          <w:rFonts w:ascii="Palatino Linotype" w:cs="Palatino Linotype" w:eastAsia="Palatino Linotype" w:hAnsi="Palatino Linotype"/>
          <w:b w:val="1"/>
          <w:u w:val="single"/>
          <w:rtl w:val="0"/>
        </w:rPr>
        <w:t xml:space="preserve">fotografía de los servidores públicos</w:t>
      </w:r>
      <w:r w:rsidDel="00000000" w:rsidR="00000000" w:rsidRPr="00000000">
        <w:rPr>
          <w:rFonts w:ascii="Palatino Linotype" w:cs="Palatino Linotype" w:eastAsia="Palatino Linotype" w:hAnsi="Palatino Linotype"/>
          <w:rtl w:val="0"/>
        </w:rPr>
        <w:t xml:space="preserve">, que obra en los documentos que dan cuenta del grado de estudios; no se coincide con los argumentos señalados en la resolución, particularmente por considerar que la fotografía de los servidores públicos sin importar el nivel o cargo y en cualquier documento que se encuentre vinculado con el cumplimiento de disposiciones legales debe ser pública. </w:t>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efecto, al respecto la Ponencia Resolutora, consideró lo siguiente:</w:t>
      </w:r>
    </w:p>
    <w:p w:rsidR="00000000" w:rsidDel="00000000" w:rsidP="00000000" w:rsidRDefault="00000000" w:rsidRPr="00000000" w14:paraId="0000007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4">
      <w:pPr>
        <w:numPr>
          <w:ilvl w:val="0"/>
          <w:numId w:val="1"/>
        </w:numPr>
        <w:spacing w:after="0" w:line="276" w:lineRule="auto"/>
        <w:ind w:left="567" w:right="706"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Fotografía…</w:t>
      </w:r>
      <w:r w:rsidDel="00000000" w:rsidR="00000000" w:rsidRPr="00000000">
        <w:rPr>
          <w:rFonts w:ascii="Palatino Linotype" w:cs="Palatino Linotype" w:eastAsia="Palatino Linotype" w:hAnsi="Palatino Linotype"/>
          <w:i w:val="1"/>
          <w:rtl w:val="0"/>
        </w:rPr>
        <w:t xml:space="preserve">Es así que, se estipuló que </w:t>
      </w:r>
      <w:r w:rsidDel="00000000" w:rsidR="00000000" w:rsidRPr="00000000">
        <w:rPr>
          <w:rFonts w:ascii="Palatino Linotype" w:cs="Palatino Linotype" w:eastAsia="Palatino Linotype" w:hAnsi="Palatino Linotype"/>
          <w:b w:val="1"/>
          <w:i w:val="1"/>
          <w:u w:val="single"/>
          <w:rtl w:val="0"/>
        </w:rPr>
        <w:t xml:space="preserve">las fotografías de servidores públicos, sin importar el nivel o rango, guardan la naturaleza de públicas</w:t>
      </w:r>
      <w:r w:rsidDel="00000000" w:rsidR="00000000" w:rsidRPr="00000000">
        <w:rPr>
          <w:rFonts w:ascii="Palatino Linotype" w:cs="Palatino Linotype" w:eastAsia="Palatino Linotype" w:hAnsi="Palatino Linotype"/>
          <w:i w:val="1"/>
          <w:rtl w:val="0"/>
        </w:rPr>
        <w:t xml:space="preserve">, -con excepción del personal operativo en materia de seguridad-, </w:t>
      </w:r>
      <w:r w:rsidDel="00000000" w:rsidR="00000000" w:rsidRPr="00000000">
        <w:rPr>
          <w:rFonts w:ascii="Palatino Linotype" w:cs="Palatino Linotype" w:eastAsia="Palatino Linotype" w:hAnsi="Palatino Linotype"/>
          <w:b w:val="1"/>
          <w:i w:val="1"/>
          <w:u w:val="single"/>
          <w:rtl w:val="0"/>
        </w:rPr>
        <w:t xml:space="preserve">no procede su clasificación</w:t>
      </w:r>
      <w:r w:rsidDel="00000000" w:rsidR="00000000" w:rsidRPr="00000000">
        <w:rPr>
          <w:rFonts w:ascii="Palatino Linotype" w:cs="Palatino Linotype" w:eastAsia="Palatino Linotype" w:hAnsi="Palatino Linotype"/>
          <w:i w:val="1"/>
          <w:rtl w:val="0"/>
        </w:rPr>
        <w:t xml:space="preserve"> en términos del artículo 143, fracción I, de la Ley de Transparencia y Acceso a la Información Pública del Estado de México y Municipios, sin embargo, no comparto dicho argumento, ya que desde mi punto de vista, la fotografía de aquellos servidores públicos que no ostentan un cargo de mando medio o superior, o no brindan atención al público, debe conservarse como información confidencial, pues se considera  importante equilibrar el interés público con el derecho a la privacidad de las y los servidores públicos y ponderar si realmente es necesario y proporcional hacer pública su imagen, pues,  en algunos casos, el interés público de hacer pública la imagen de un servidor público puede justificar la limitación de su derecho a la privacidad, pero esto debe evaluarse cuidadosamente en cada caso y no ser la regla general</w:t>
      </w:r>
      <w:r w:rsidDel="00000000" w:rsidR="00000000" w:rsidRPr="00000000">
        <w:rPr>
          <w:rtl w:val="0"/>
        </w:rPr>
      </w:r>
    </w:p>
    <w:p w:rsidR="00000000" w:rsidDel="00000000" w:rsidP="00000000" w:rsidRDefault="00000000" w:rsidRPr="00000000" w14:paraId="00000075">
      <w:pPr>
        <w:spacing w:after="0" w:line="276" w:lineRule="auto"/>
        <w:ind w:right="616"/>
        <w:jc w:val="both"/>
        <w:rPr>
          <w:rFonts w:ascii="Palatino Linotype" w:cs="Palatino Linotype" w:eastAsia="Palatino Linotype" w:hAnsi="Palatino Linotype"/>
          <w:b w:val="1"/>
          <w:i w:val="1"/>
          <w:color w:val="000000"/>
        </w:rPr>
      </w:pPr>
      <w:r w:rsidDel="00000000" w:rsidR="00000000" w:rsidRPr="00000000">
        <w:rPr>
          <w:rtl w:val="0"/>
        </w:rPr>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no escapa de la óptica de quien suscribe por cuanto hace a la fotografía, constituye la reproducción fiel de las características físicas de una persona en un momento determinado, además, de que representa un instrumento de identificación, proyección exterior y factor imprescindible para su propio reconocimiento como sujeto individual; por tanto, es un dato personal confidencial que debe protegerse en los documentos que lo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materia de administración pública los servidores públicos tienen funciones que por su naturaleza pueden ser de un mayor interés público, es decir, aquellas que tienen un impacto directo en la vida de las personas y en el funcionamiento de la sociedad o de las instituciones públicas, ejemplo de ello pueden ser los servidores públicos cuya función implica una posición de poder que deba estar sujeta a escrutinio y rendición de cuentas ante la sociedad; otros ejemplos son los servidores públicos responsables de la administración de recursos públicos, la implementación de políticas públicas, la prestación de servicios públicos, entre otros.</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A">
      <w:pPr>
        <w:spacing w:after="0" w:line="360" w:lineRule="auto"/>
        <w:ind w:right="1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dado el interés público que reviste a las funciones de las y los funcionarios que dan atención al público, así como aquellos que cuenten con la calidad de mando medio y/o superior, considero que se debe dejar visible su fotografía pues, hacer pública la imagen de estos, puede contribuir a la transparencia y la rendición de cuentas, ya que permite a la ciudadanía identificar a los funcionarios que toman decisiones importantes en su nombre.</w:t>
      </w:r>
    </w:p>
    <w:p w:rsidR="00000000" w:rsidDel="00000000" w:rsidP="00000000" w:rsidRDefault="00000000" w:rsidRPr="00000000" w14:paraId="0000007B">
      <w:pPr>
        <w:spacing w:after="0" w:line="360" w:lineRule="auto"/>
        <w:ind w:right="14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7C">
      <w:pPr>
        <w:spacing w:after="0" w:line="360" w:lineRule="auto"/>
        <w:ind w:right="14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se estipuló que </w:t>
      </w:r>
      <w:r w:rsidDel="00000000" w:rsidR="00000000" w:rsidRPr="00000000">
        <w:rPr>
          <w:rFonts w:ascii="Palatino Linotype" w:cs="Palatino Linotype" w:eastAsia="Palatino Linotype" w:hAnsi="Palatino Linotype"/>
          <w:b w:val="1"/>
          <w:u w:val="single"/>
          <w:rtl w:val="0"/>
        </w:rPr>
        <w:t xml:space="preserve">las fotografías de servidores públicos, sin importar el nivel o rango, guardan la naturaleza de públicas</w:t>
      </w:r>
      <w:r w:rsidDel="00000000" w:rsidR="00000000" w:rsidRPr="00000000">
        <w:rPr>
          <w:rFonts w:ascii="Palatino Linotype" w:cs="Palatino Linotype" w:eastAsia="Palatino Linotype" w:hAnsi="Palatino Linotype"/>
          <w:rtl w:val="0"/>
        </w:rPr>
        <w:t xml:space="preserve">, -con excepción del personal operativo en materia de seguridad-, </w:t>
      </w:r>
      <w:r w:rsidDel="00000000" w:rsidR="00000000" w:rsidRPr="00000000">
        <w:rPr>
          <w:rFonts w:ascii="Palatino Linotype" w:cs="Palatino Linotype" w:eastAsia="Palatino Linotype" w:hAnsi="Palatino Linotype"/>
          <w:b w:val="1"/>
          <w:u w:val="single"/>
          <w:rtl w:val="0"/>
        </w:rPr>
        <w:t xml:space="preserve">no procede su clasificación</w:t>
      </w:r>
      <w:r w:rsidDel="00000000" w:rsidR="00000000" w:rsidRPr="00000000">
        <w:rPr>
          <w:rFonts w:ascii="Palatino Linotype" w:cs="Palatino Linotype" w:eastAsia="Palatino Linotype" w:hAnsi="Palatino Linotype"/>
          <w:rtl w:val="0"/>
        </w:rPr>
        <w:t xml:space="preserve"> en términos del artículo 143, fracción I, de la Ley de Transparencia y Acceso a la Información Pública del Estado de México y Municipios, sin embargo, no comparto dicho argumento, ya que desde mi punto de vista, la fotografía de aquellos servidores públicos que no ostentan un cargo de mando medio o superior, o no brindan atención al público, debe conservarse como información confidencial, pues se considera  importante equilibrar el interés público con el derecho a la privacidad de las y los servidores públicos y ponderar si realmente es necesario y proporcional hacer pública su imagen, pues,  en algunos casos, el interés público de hacer pública la imagen de un servidor público puede justificar la limitación de su derecho a la privacidad, pero esto debe evaluarse cuidadosamente en cada caso y no ser la regla general.</w:t>
      </w:r>
    </w:p>
    <w:p w:rsidR="00000000" w:rsidDel="00000000" w:rsidP="00000000" w:rsidRDefault="00000000" w:rsidRPr="00000000" w14:paraId="0000007D">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rPr>
      </w:pPr>
      <w:bookmarkStart w:colFirst="0" w:colLast="0" w:name="_heading=h.xezr0okd57tn" w:id="7"/>
      <w:bookmarkEnd w:id="7"/>
      <w:r w:rsidDel="00000000" w:rsidR="00000000" w:rsidRPr="00000000">
        <w:rPr>
          <w:rFonts w:ascii="Palatino Linotype" w:cs="Palatino Linotype" w:eastAsia="Palatino Linotype" w:hAnsi="Palatino Linotype"/>
          <w:rtl w:val="0"/>
        </w:rPr>
        <w:t xml:space="preserve">Dado que el acceso a los documentos que contengan el dato materia de análisis, aun clasificando el dato materia de análisis, sí daría cuenta de lo que en realidad se pretende transparentar, como es, por ejemplo, la preparación académica, la formación profesional y laboral y los conocimientos y habilidades adquiridas, que se refleja en la toma de decisiones para el óptimo desempeño de las funciones para las cuales fueron designados, la idoneidad para ocupar un cargo, entre otros aspectos, pues el hecho de clasificar la fotografía no le resta validez a los documentos para los fines señalados.</w:t>
      </w:r>
    </w:p>
    <w:p w:rsidR="00000000" w:rsidDel="00000000" w:rsidP="00000000" w:rsidRDefault="00000000" w:rsidRPr="00000000" w14:paraId="0000007F">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tabs>
          <w:tab w:val="left" w:leader="none" w:pos="4962"/>
        </w:tabs>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importante señalar que los objetivos de la transparencia se alcanzan al momento de permitir el acceso a los documentos ordenados, no siendo indispensable o determinante dar a conocer la fotografía para dar cuenta de la idoneidad de las personas servidoras públicas para ocupar sus puestos o para acreditar que cumplieron con determinados requisitos, lo que da cuenta de ello es el propio documento. </w:t>
      </w:r>
    </w:p>
    <w:p w:rsidR="00000000" w:rsidDel="00000000" w:rsidP="00000000" w:rsidRDefault="00000000" w:rsidRPr="00000000" w14:paraId="00000081">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lo anterior, se arriba a las siguientes conclusiones:</w:t>
      </w:r>
    </w:p>
    <w:p w:rsidR="00000000" w:rsidDel="00000000" w:rsidP="00000000" w:rsidRDefault="00000000" w:rsidRPr="00000000" w14:paraId="00000083">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spacing w:after="0" w:line="360" w:lineRule="auto"/>
        <w:ind w:left="720" w:right="139" w:hanging="360"/>
        <w:jc w:val="both"/>
        <w:rPr>
          <w:rFonts w:ascii="Palatino Linotype" w:cs="Palatino Linotype" w:eastAsia="Palatino Linotype" w:hAnsi="Palatino Linotype"/>
          <w:color w:val="000000"/>
        </w:rPr>
        <w:sectPr>
          <w:headerReference r:id="rId12" w:type="default"/>
          <w:headerReference r:id="rId13" w:type="even"/>
          <w:footerReference r:id="rId14" w:type="default"/>
          <w:pgSz w:h="15840" w:w="12240" w:orient="portrait"/>
          <w:pgMar w:bottom="2438" w:top="1985" w:left="1701" w:right="1701" w:header="709" w:footer="584"/>
          <w:pgNumType w:start="1"/>
        </w:sectPr>
      </w:pPr>
      <w:r w:rsidDel="00000000" w:rsidR="00000000" w:rsidRPr="00000000">
        <w:rPr>
          <w:rFonts w:ascii="Palatino Linotype" w:cs="Palatino Linotype" w:eastAsia="Palatino Linotype" w:hAnsi="Palatino Linotype"/>
          <w:color w:val="000000"/>
          <w:rtl w:val="0"/>
        </w:rPr>
        <w:t xml:space="preserve">Se acreditó de manera fehaciente que la información que dé cuenta del Estado de Fuerza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color w:val="000000"/>
          <w:u w:val="single"/>
          <w:rtl w:val="0"/>
        </w:rPr>
        <w:t xml:space="preserve">facilitaría a las células delictivas el neutralizar las acciones implementadas o por implementar para la preservación de la paz pública, afectando así su estado de fuerza, o bien les permita </w:t>
      </w:r>
      <w:r w:rsidDel="00000000" w:rsidR="00000000" w:rsidRPr="00000000">
        <w:rPr>
          <w:rFonts w:ascii="Palatino Linotype" w:cs="Palatino Linotype" w:eastAsia="Palatino Linotype" w:hAnsi="Palatino Linotype"/>
          <w:color w:val="000000"/>
          <w:rtl w:val="0"/>
        </w:rPr>
        <w:t xml:space="preserve">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after="0" w:line="360" w:lineRule="auto"/>
        <w:ind w:left="72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u w:val="single"/>
          <w:rtl w:val="0"/>
        </w:rPr>
        <w:t xml:space="preserve">No se debe dejar visible la fotografía de las y los servidores públicos que NO cuenten con la calidad de mando medio y/o superior o no tengan atención al público</w:t>
      </w:r>
      <w:r w:rsidDel="00000000" w:rsidR="00000000" w:rsidRPr="00000000">
        <w:rPr>
          <w:rFonts w:ascii="Palatino Linotype" w:cs="Palatino Linotype" w:eastAsia="Palatino Linotype" w:hAnsi="Palatino Linotype"/>
          <w:color w:val="000000"/>
          <w:rtl w:val="0"/>
        </w:rPr>
        <w:t xml:space="preserve">, por tanto, se estima que se actualiza la causal de clasificación establecida en el artículo 143, fracción I, de la Ley de la Ley de Transparencia y Acceso a la Información Pública del Estado de México y Municipios.</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7">
      <w:pPr>
        <w:spacing w:after="0" w:line="360" w:lineRule="auto"/>
        <w:ind w:right="139"/>
        <w:jc w:val="both"/>
        <w:rPr>
          <w:rFonts w:ascii="Palatino Linotype" w:cs="Palatino Linotype" w:eastAsia="Palatino Linotype" w:hAnsi="Palatino Linotype"/>
        </w:rPr>
        <w:sectPr>
          <w:headerReference r:id="rId15" w:type="default"/>
          <w:headerReference r:id="rId16" w:type="even"/>
          <w:footerReference r:id="rId17" w:type="default"/>
          <w:type w:val="nextPage"/>
          <w:pgSz w:h="15840" w:w="12240" w:orient="portrait"/>
          <w:pgMar w:bottom="2438" w:top="1985" w:left="1701" w:right="1701" w:header="709" w:footer="584"/>
          <w:pgNumType w:start="1"/>
        </w:sectPr>
      </w:pPr>
      <w:bookmarkStart w:colFirst="0" w:colLast="0" w:name="_heading=h.30j0zll" w:id="8"/>
      <w:bookmarkEnd w:id="8"/>
      <w:r w:rsidDel="00000000" w:rsidR="00000000" w:rsidRPr="00000000">
        <w:rPr>
          <w:rFonts w:ascii="Palatino Linotype" w:cs="Palatino Linotype" w:eastAsia="Palatino Linotype" w:hAnsi="Palatino Linotype"/>
          <w:rtl w:val="0"/>
        </w:rPr>
        <w:t xml:space="preserve"> Por todo lo anterior, se emite el presente Voto Particular.</w:t>
      </w:r>
    </w:p>
    <w:p w:rsidR="00000000" w:rsidDel="00000000" w:rsidP="00000000" w:rsidRDefault="00000000" w:rsidRPr="00000000" w14:paraId="00000088">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9">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B">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D">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0">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1">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2">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3">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4">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5">
      <w:pPr>
        <w:spacing w:after="0" w:line="360" w:lineRule="auto"/>
        <w:ind w:right="139"/>
        <w:jc w:val="both"/>
        <w:rPr>
          <w:rFonts w:ascii="Palatino Linotype" w:cs="Palatino Linotype" w:eastAsia="Palatino Linotype" w:hAnsi="Palatino Linotype"/>
        </w:rPr>
      </w:pPr>
      <w:r w:rsidDel="00000000" w:rsidR="00000000" w:rsidRPr="00000000">
        <w:rPr>
          <w:rtl w:val="0"/>
        </w:rPr>
      </w:r>
    </w:p>
    <w:sectPr>
      <w:headerReference r:id="rId18" w:type="default"/>
      <w:type w:val="nextPage"/>
      <w:pgSz w:h="15840" w:w="12240" w:orient="portrait"/>
      <w:pgMar w:bottom="2836" w:top="1871" w:left="1985" w:right="1327" w:header="709" w:footer="58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-666112</wp:posOffset>
          </wp:positionH>
          <wp:positionV relativeFrom="paragraph">
            <wp:posOffset>-508632</wp:posOffset>
          </wp:positionV>
          <wp:extent cx="7510628" cy="9883775"/>
          <wp:effectExtent b="0" l="0" r="0" t="0"/>
          <wp:wrapNone/>
          <wp:docPr id="2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0628" cy="9883775"/>
                  </a:xfrm>
                  <a:prstGeom prst="rect"/>
                  <a:ln/>
                </pic:spPr>
              </pic:pic>
            </a:graphicData>
          </a:graphic>
        </wp:anchor>
      </w:drawing>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 </w:t>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left="2552" w:firstLine="0"/>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   RECURSO DE REVISIÓN 06111/INFOEM/IP/RR/2023</w:t>
    </w:r>
  </w:p>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0672596" cy="120672596"/>
              <wp:effectExtent b="0" l="0" r="0" t="0"/>
              <wp:wrapNone/>
              <wp:docPr id="21" name=""/>
              <a:graphic>
                <a:graphicData uri="http://schemas.microsoft.com/office/word/2010/wordprocessingShape">
                  <wps:wsp>
                    <wps:cNvSpPr/>
                    <wps:cNvPr id="3" name="Shape 3"/>
                    <wps:spPr>
                      <a:xfrm rot="-2700000">
                        <a:off x="2440875" y="2945610"/>
                        <a:ext cx="5810250" cy="16687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ed7d31"/>
                              <w:sz w:val="144"/>
                              <w:vertAlign w:val="baseline"/>
                            </w:rPr>
                            <w:t xml:space="preserve">VOTO DISIDENTE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20672596" cy="120672596"/>
              <wp:effectExtent b="0" l="0" r="0" t="0"/>
              <wp:wrapNone/>
              <wp:docPr id="2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120672596" cy="120672596"/>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70670292" cy="170670292"/>
              <wp:effectExtent b="0" l="0" r="0" t="0"/>
              <wp:wrapNone/>
              <wp:docPr id="20" name=""/>
              <a:graphic>
                <a:graphicData uri="http://schemas.microsoft.com/office/word/2010/wordprocessingShape">
                  <wps:wsp>
                    <wps:cNvSpPr/>
                    <wps:cNvPr id="2" name="Shape 2"/>
                    <wps:spPr>
                      <a:xfrm rot="-2700000">
                        <a:off x="2440875" y="2945610"/>
                        <a:ext cx="5810250" cy="16687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ed7d31"/>
                              <w:sz w:val="144"/>
                              <w:vertAlign w:val="baseline"/>
                            </w:rPr>
                            <w:t xml:space="preserve">VOTO DISIDENTE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170670292" cy="170670292"/>
              <wp:effectExtent b="0" l="0" r="0" t="0"/>
              <wp:wrapNone/>
              <wp:docPr id="2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70670292" cy="170670292"/>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-666111</wp:posOffset>
          </wp:positionH>
          <wp:positionV relativeFrom="paragraph">
            <wp:posOffset>-508631</wp:posOffset>
          </wp:positionV>
          <wp:extent cx="7510628" cy="9883775"/>
          <wp:effectExtent b="0" l="0" r="0" t="0"/>
          <wp:wrapNone/>
          <wp:docPr id="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0628" cy="9883775"/>
                  </a:xfrm>
                  <a:prstGeom prst="rect"/>
                  <a:ln/>
                </pic:spPr>
              </pic:pic>
            </a:graphicData>
          </a:graphic>
        </wp:anchor>
      </w:drawing>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 </w:t>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left="2552" w:firstLine="0"/>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   RECURSO DE REVISIÓN 07717/INFOEM/IP/RR/2023</w:t>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color w:val="000000"/>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-1341747</wp:posOffset>
          </wp:positionH>
          <wp:positionV relativeFrom="paragraph">
            <wp:posOffset>-453382</wp:posOffset>
          </wp:positionV>
          <wp:extent cx="7510145" cy="9883775"/>
          <wp:effectExtent b="0" l="0" r="0" t="0"/>
          <wp:wrapNone/>
          <wp:docPr id="26"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10145" cy="9883775"/>
                  </a:xfrm>
                  <a:prstGeom prst="rect"/>
                  <a:ln/>
                </pic:spPr>
              </pic:pic>
            </a:graphicData>
          </a:graphic>
        </wp:anchor>
      </w:drawing>
    </w:r>
  </w:p>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w:t>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RECURSO DE REVISIÓN: 04173/INFOEM/IP/RR/2023 </w:t>
    </w:r>
  </w:p>
  <w:p w:rsidR="00000000" w:rsidDel="00000000" w:rsidP="00000000" w:rsidRDefault="00000000" w:rsidRPr="00000000" w14:paraId="000000A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Piedepgina">
    <w:name w:val="footer"/>
    <w:basedOn w:val="Normal"/>
    <w:link w:val="PiedepginaCar"/>
    <w:uiPriority w:val="99"/>
    <w:unhideWhenUsed w:val="1"/>
    <w:rsid w:val="00A11E1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11E1C"/>
  </w:style>
  <w:style w:type="paragraph" w:styleId="Encabezado">
    <w:name w:val="header"/>
    <w:basedOn w:val="Normal"/>
    <w:link w:val="EncabezadoCar"/>
    <w:uiPriority w:val="99"/>
    <w:unhideWhenUsed w:val="1"/>
    <w:rsid w:val="00A11E1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11E1C"/>
  </w:style>
  <w:style w:type="character" w:styleId="Hipervnculo">
    <w:name w:val="Hyperlink"/>
    <w:uiPriority w:val="99"/>
    <w:unhideWhenUsed w:val="1"/>
    <w:rsid w:val="00A11E1C"/>
    <w:rPr>
      <w:strike w:val="0"/>
      <w:dstrike w:val="0"/>
      <w:color w:val="035899"/>
      <w:u w:val="none"/>
      <w:effect w:val="non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11E1C"/>
    <w:pPr>
      <w:spacing w:after="0" w:line="240" w:lineRule="auto"/>
      <w:ind w:left="708"/>
    </w:pPr>
    <w:rPr>
      <w:rFonts w:ascii="Times New Roman" w:cs="Times New Roman" w:eastAsia="Times New Roman" w:hAnsi="Times New Roman"/>
      <w:sz w:val="24"/>
      <w:szCs w:val="24"/>
      <w:lang w:eastAsia="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11E1C"/>
    <w:rPr>
      <w:rFonts w:ascii="Times New Roman" w:cs="Times New Roman" w:eastAsia="Times New Roman" w:hAnsi="Times New Roman"/>
      <w:sz w:val="24"/>
      <w:szCs w:val="24"/>
      <w:lang w:eastAsia="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ipomex.org.mx/ipo3/lgt/indice/NICOLASROMERO/art_92_xxi.web" TargetMode="External"/><Relationship Id="rId15" Type="http://schemas.openxmlformats.org/officeDocument/2006/relationships/header" Target="header4.xml"/><Relationship Id="rId14" Type="http://schemas.openxmlformats.org/officeDocument/2006/relationships/footer" Target="footer1.xml"/><Relationship Id="rId17" Type="http://schemas.openxmlformats.org/officeDocument/2006/relationships/footer" Target="footer2.xml"/><Relationship Id="rId16"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eader" Target="header5.xml"/><Relationship Id="rId7" Type="http://schemas.openxmlformats.org/officeDocument/2006/relationships/hyperlink" Target="https://ipomex.org.mx/ipo3/lgt/indice/NICOLASROMERO/art_92_vii.web" TargetMode="External"/><Relationship Id="rId8" Type="http://schemas.openxmlformats.org/officeDocument/2006/relationships/hyperlink" Target="https://ipomex.org.mx/ipo3/lgt/indice/NICOLASROMERO/art_92_viii.we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KhWbDa0dWU80FWAvA0IAwoYa2g==">CgMxLjAyCGguZ2pkZ3hzMghoLnR5amN3dDIOaC5xa2tkZTI0NzJneGsyCWguMWZvYjl0ZTIOaC42eDY2eGtwOWN6d2wyDmguampjZGZ6MzMxeDMwMgloLjN6bnlzaDcyDmgueGV6cjBva2Q1N3RuMgloLjMwajB6bGw4AHIhMWh3TmVWV2xxQnR6WDZFSWtLX0hnLTFyWlY0eUtHMk5K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2024-02-19T15:10:00Z</dcterms:created>
  <dc:creator>USUARIO</dc:creator>
</cp:coreProperties>
</file>