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84" w:rsidRDefault="00FB1784">
      <w:pPr>
        <w:spacing w:after="0" w:line="360" w:lineRule="auto"/>
        <w:jc w:val="both"/>
        <w:rPr>
          <w:rFonts w:ascii="Palatino Linotype" w:eastAsia="Palatino Linotype" w:hAnsi="Palatino Linotype" w:cs="Palatino Linotype"/>
          <w:b/>
        </w:rPr>
      </w:pPr>
      <w:bookmarkStart w:id="0" w:name="_heading=h.gjdgxs" w:colFirst="0" w:colLast="0"/>
      <w:bookmarkEnd w:id="0"/>
    </w:p>
    <w:p w:rsidR="00FB1784" w:rsidRDefault="00A72EBC">
      <w:pPr>
        <w:spacing w:before="240" w:after="240" w:line="360" w:lineRule="auto"/>
        <w:jc w:val="both"/>
        <w:rPr>
          <w:rFonts w:ascii="Palatino Linotype" w:eastAsia="Palatino Linotype" w:hAnsi="Palatino Linotype" w:cs="Palatino Linotype"/>
          <w:b/>
        </w:rPr>
      </w:pPr>
      <w:bookmarkStart w:id="1" w:name="_heading=h.1t3h5sf" w:colFirst="0" w:colLast="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474674">
        <w:rPr>
          <w:rFonts w:ascii="Palatino Linotype" w:eastAsia="Palatino Linotype" w:hAnsi="Palatino Linotype" w:cs="Palatino Linotype"/>
          <w:b/>
        </w:rPr>
        <w:t>CUADRAGÉSIMA SEGUNDA  SESIÓN ORDINARIA DEL CUATRO DE DICIEMBRE</w:t>
      </w:r>
      <w:r>
        <w:rPr>
          <w:rFonts w:ascii="Palatino Linotype" w:eastAsia="Palatino Linotype" w:hAnsi="Palatino Linotype" w:cs="Palatino Linotype"/>
          <w:b/>
        </w:rPr>
        <w:t xml:space="preserve"> DE DOS MIL VEINTICUATRO,</w:t>
      </w:r>
      <w:r w:rsidR="00474674">
        <w:rPr>
          <w:rFonts w:ascii="Palatino Linotype" w:eastAsia="Palatino Linotype" w:hAnsi="Palatino Linotype" w:cs="Palatino Linotype"/>
          <w:b/>
        </w:rPr>
        <w:t xml:space="preserve"> EN EL RECURSO DE REVISIÓN 07139</w:t>
      </w:r>
      <w:r>
        <w:rPr>
          <w:rFonts w:ascii="Palatino Linotype" w:eastAsia="Palatino Linotype" w:hAnsi="Palatino Linotype" w:cs="Palatino Linotype"/>
          <w:b/>
        </w:rPr>
        <w:t>/INFOEM/IP/RR/2024.</w:t>
      </w:r>
    </w:p>
    <w:p w:rsidR="00FB1784" w:rsidRDefault="00A72EB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Pleno del Instituto de Transparencia, Acceso a la Información Pública y Protección de Datos Personales del Estado de México resolvió por unanimidad de votos, la Resolución relativa al Recurso de Revisión </w:t>
      </w:r>
      <w:r w:rsidR="00474674">
        <w:rPr>
          <w:rFonts w:ascii="Palatino Linotype" w:eastAsia="Palatino Linotype" w:hAnsi="Palatino Linotype" w:cs="Palatino Linotype"/>
          <w:b/>
        </w:rPr>
        <w:t>07139</w:t>
      </w:r>
      <w:r>
        <w:rPr>
          <w:rFonts w:ascii="Palatino Linotype" w:eastAsia="Palatino Linotype" w:hAnsi="Palatino Linotype" w:cs="Palatino Linotype"/>
          <w:b/>
        </w:rPr>
        <w:t xml:space="preserve">/INFOEM/IP/RR/2024,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FB1784" w:rsidRDefault="00A72EBC">
      <w:pPr>
        <w:spacing w:after="0" w:line="360" w:lineRule="auto"/>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Al respecto, resulta importante señalar que coincido con los términos generales planteados en la Resolución, no obstante,</w:t>
      </w:r>
      <w:r w:rsidR="00474674">
        <w:rPr>
          <w:rFonts w:ascii="Palatino Linotype" w:eastAsia="Palatino Linotype" w:hAnsi="Palatino Linotype" w:cs="Palatino Linotype"/>
        </w:rPr>
        <w:t xml:space="preserve"> considero que en el caso de la conciliación</w:t>
      </w:r>
      <w:r>
        <w:rPr>
          <w:rFonts w:ascii="Palatino Linotype" w:eastAsia="Palatino Linotype" w:hAnsi="Palatino Linotype" w:cs="Palatino Linotype"/>
        </w:rPr>
        <w:t xml:space="preserve"> nómina de policías operativos adscrito</w:t>
      </w:r>
      <w:r w:rsidR="00474674">
        <w:rPr>
          <w:rFonts w:ascii="Palatino Linotype" w:eastAsia="Palatino Linotype" w:hAnsi="Palatino Linotype" w:cs="Palatino Linotype"/>
        </w:rPr>
        <w:t>s al Ayuntamiento de Hueypoxtla</w:t>
      </w:r>
      <w:r>
        <w:rPr>
          <w:rFonts w:ascii="Palatino Linotype" w:eastAsia="Palatino Linotype" w:hAnsi="Palatino Linotype" w:cs="Palatino Linotype"/>
        </w:rPr>
        <w:t xml:space="preserve"> deben tomarse en cuenta las consideraciones que a continuación se exponen. </w:t>
      </w:r>
    </w:p>
    <w:p w:rsidR="00FB1784" w:rsidRDefault="00FB1784">
      <w:pPr>
        <w:spacing w:after="0" w:line="360" w:lineRule="auto"/>
        <w:jc w:val="both"/>
        <w:rPr>
          <w:rFonts w:ascii="Palatino Linotype" w:eastAsia="Palatino Linotype" w:hAnsi="Palatino Linotype" w:cs="Palatino Linotype"/>
        </w:rPr>
      </w:pPr>
    </w:p>
    <w:p w:rsidR="00FB1784" w:rsidRDefault="00A72EB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FB1784" w:rsidRDefault="00FB1784">
      <w:pPr>
        <w:spacing w:after="0" w:line="360" w:lineRule="auto"/>
        <w:jc w:val="both"/>
        <w:rPr>
          <w:rFonts w:ascii="Palatino Linotype" w:eastAsia="Palatino Linotype" w:hAnsi="Palatino Linotype" w:cs="Palatino Linotype"/>
        </w:rPr>
      </w:pPr>
    </w:p>
    <w:p w:rsidR="00FB1784" w:rsidRDefault="00A72EB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FB1784" w:rsidRDefault="00FB1784">
      <w:pPr>
        <w:spacing w:after="0" w:line="360" w:lineRule="auto"/>
        <w:jc w:val="both"/>
        <w:rPr>
          <w:rFonts w:ascii="Palatino Linotype" w:eastAsia="Palatino Linotype" w:hAnsi="Palatino Linotype" w:cs="Palatino Linotype"/>
        </w:rPr>
      </w:pPr>
    </w:p>
    <w:p w:rsidR="00FB1784" w:rsidRDefault="00A72EB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FB1784" w:rsidRDefault="00FB1784">
      <w:pPr>
        <w:spacing w:after="0" w:line="360" w:lineRule="auto"/>
        <w:jc w:val="both"/>
        <w:rPr>
          <w:rFonts w:ascii="Palatino Linotype" w:eastAsia="Palatino Linotype" w:hAnsi="Palatino Linotype" w:cs="Palatino Linotype"/>
        </w:rPr>
      </w:pPr>
    </w:p>
    <w:p w:rsidR="00FB1784" w:rsidRDefault="00A72EB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FB1784" w:rsidRDefault="00FB1784">
      <w:pPr>
        <w:spacing w:after="0" w:line="360" w:lineRule="auto"/>
        <w:jc w:val="both"/>
        <w:rPr>
          <w:rFonts w:ascii="Palatino Linotype" w:eastAsia="Palatino Linotype" w:hAnsi="Palatino Linotype" w:cs="Palatino Linotype"/>
        </w:rPr>
      </w:pPr>
    </w:p>
    <w:p w:rsidR="00FB1784" w:rsidRDefault="00A72EB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FB1784" w:rsidRDefault="00FB1784">
      <w:pPr>
        <w:spacing w:after="0" w:line="360" w:lineRule="auto"/>
        <w:jc w:val="both"/>
        <w:rPr>
          <w:rFonts w:ascii="Palatino Linotype" w:eastAsia="Palatino Linotype" w:hAnsi="Palatino Linotype" w:cs="Palatino Linotype"/>
        </w:rPr>
      </w:pPr>
    </w:p>
    <w:p w:rsidR="00FB1784" w:rsidRDefault="00A72EB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FB1784" w:rsidRDefault="00FB1784">
      <w:pPr>
        <w:spacing w:after="0" w:line="240" w:lineRule="auto"/>
        <w:ind w:left="851" w:right="900"/>
        <w:jc w:val="both"/>
        <w:rPr>
          <w:rFonts w:ascii="Palatino Linotype" w:eastAsia="Palatino Linotype" w:hAnsi="Palatino Linotype" w:cs="Palatino Linotype"/>
          <w:i/>
        </w:rPr>
      </w:pPr>
    </w:p>
    <w:p w:rsidR="00FB1784" w:rsidRDefault="00A72EBC">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FB1784" w:rsidRDefault="00A72EBC">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FB1784" w:rsidRDefault="00A72EBC">
      <w:pP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b/>
          <w:i/>
          <w:u w:val="single"/>
        </w:rPr>
        <w:t>II. Aquella cuya revelación pueda ser utilizada para actualizar o potenciar una amenaza a la seguridad pública o a las inst</w:t>
      </w:r>
      <w:r w:rsidR="006A12E2">
        <w:rPr>
          <w:rFonts w:ascii="Palatino Linotype" w:eastAsia="Palatino Linotype" w:hAnsi="Palatino Linotype" w:cs="Palatino Linotype"/>
          <w:b/>
          <w:i/>
          <w:u w:val="single"/>
        </w:rPr>
        <w:t xml:space="preserve">ituciones del Estado de </w:t>
      </w:r>
      <w:proofErr w:type="gramStart"/>
      <w:r w:rsidR="006A12E2">
        <w:rPr>
          <w:rFonts w:ascii="Palatino Linotype" w:eastAsia="Palatino Linotype" w:hAnsi="Palatino Linotype" w:cs="Palatino Linotype"/>
          <w:b/>
          <w:i/>
          <w:u w:val="single"/>
        </w:rPr>
        <w:t>México …</w:t>
      </w:r>
      <w:r>
        <w:rPr>
          <w:rFonts w:ascii="Palatino Linotype" w:eastAsia="Palatino Linotype" w:hAnsi="Palatino Linotype" w:cs="Palatino Linotype"/>
          <w:b/>
          <w:i/>
        </w:rPr>
        <w:t>”</w:t>
      </w:r>
      <w:proofErr w:type="gramEnd"/>
      <w:r>
        <w:rPr>
          <w:rFonts w:ascii="Palatino Linotype" w:eastAsia="Palatino Linotype" w:hAnsi="Palatino Linotype" w:cs="Palatino Linotype"/>
          <w:b/>
          <w:i/>
        </w:rPr>
        <w:t xml:space="preserve"> </w:t>
      </w:r>
    </w:p>
    <w:p w:rsidR="00FB1784" w:rsidRDefault="00FB1784">
      <w:pPr>
        <w:spacing w:after="0" w:line="360" w:lineRule="auto"/>
        <w:ind w:left="567" w:right="990"/>
        <w:jc w:val="both"/>
        <w:rPr>
          <w:rFonts w:ascii="Palatino Linotype" w:eastAsia="Palatino Linotype" w:hAnsi="Palatino Linotype" w:cs="Palatino Linotype"/>
          <w:b/>
          <w:i/>
          <w:u w:val="single"/>
        </w:rPr>
      </w:pPr>
    </w:p>
    <w:p w:rsidR="00FB1784" w:rsidRDefault="00A72EB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FB1784" w:rsidRDefault="00FB1784">
      <w:pPr>
        <w:tabs>
          <w:tab w:val="left" w:pos="284"/>
        </w:tabs>
        <w:spacing w:after="0" w:line="240" w:lineRule="auto"/>
        <w:ind w:left="567" w:right="709"/>
        <w:jc w:val="both"/>
        <w:rPr>
          <w:rFonts w:ascii="Palatino Linotype" w:eastAsia="Palatino Linotype" w:hAnsi="Palatino Linotype" w:cs="Palatino Linotype"/>
          <w:i/>
        </w:rPr>
      </w:pPr>
    </w:p>
    <w:p w:rsidR="00FB1784" w:rsidRDefault="00A72EBC">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FB1784" w:rsidRDefault="00A72EBC">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FB1784" w:rsidRDefault="00A72EBC">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FB1784" w:rsidRDefault="00A72EBC">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FB1784" w:rsidRDefault="00A72EBC">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FB1784" w:rsidRDefault="00A72EBC">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FB1784" w:rsidRDefault="00FB1784">
      <w:pPr>
        <w:spacing w:after="120" w:line="276" w:lineRule="auto"/>
        <w:ind w:left="567" w:right="900"/>
        <w:jc w:val="both"/>
        <w:rPr>
          <w:rFonts w:ascii="Palatino Linotype" w:eastAsia="Palatino Linotype" w:hAnsi="Palatino Linotype" w:cs="Palatino Linotype"/>
          <w:i/>
        </w:rPr>
      </w:pPr>
    </w:p>
    <w:p w:rsidR="00FB1784" w:rsidRDefault="00A72EB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FB1784" w:rsidRDefault="00FB1784">
      <w:pPr>
        <w:spacing w:after="0" w:line="360" w:lineRule="auto"/>
        <w:jc w:val="both"/>
        <w:rPr>
          <w:rFonts w:ascii="Palatino Linotype" w:eastAsia="Palatino Linotype" w:hAnsi="Palatino Linotype" w:cs="Palatino Linotype"/>
        </w:rPr>
      </w:pPr>
    </w:p>
    <w:p w:rsidR="00FB1784" w:rsidRDefault="00A72EB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FB1784" w:rsidRDefault="00FB1784">
      <w:pPr>
        <w:spacing w:after="0" w:line="360" w:lineRule="auto"/>
        <w:jc w:val="both"/>
        <w:rPr>
          <w:rFonts w:ascii="Palatino Linotype" w:eastAsia="Palatino Linotype" w:hAnsi="Palatino Linotype" w:cs="Palatino Linotype"/>
        </w:rPr>
      </w:pPr>
    </w:p>
    <w:p w:rsidR="00FB1784" w:rsidRDefault="00A72EB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FB1784" w:rsidRDefault="00FB1784">
      <w:pPr>
        <w:spacing w:after="0" w:line="360" w:lineRule="auto"/>
        <w:jc w:val="both"/>
        <w:rPr>
          <w:rFonts w:ascii="Palatino Linotype" w:eastAsia="Palatino Linotype" w:hAnsi="Palatino Linotype" w:cs="Palatino Linotype"/>
        </w:rPr>
      </w:pPr>
    </w:p>
    <w:p w:rsidR="00FB1784" w:rsidRDefault="00A72EBC">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FB1784" w:rsidRDefault="00A72EBC">
      <w:pPr>
        <w:spacing w:before="240" w:after="240" w:line="360" w:lineRule="auto"/>
        <w:ind w:left="567" w:right="992"/>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FB1784" w:rsidRDefault="00A72EBC">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FB1784" w:rsidRDefault="00A72EBC">
      <w:pPr>
        <w:spacing w:before="240" w:after="240" w:line="360" w:lineRule="auto"/>
        <w:ind w:left="567" w:right="900"/>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FB1784" w:rsidRDefault="00A72EBC">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FB1784" w:rsidRDefault="00A72EBC">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FB1784" w:rsidRDefault="00A72EBC">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FB1784" w:rsidRDefault="00A72EBC">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FB1784" w:rsidRDefault="00FB1784">
      <w:pPr>
        <w:spacing w:after="0" w:line="360" w:lineRule="auto"/>
        <w:ind w:right="139"/>
        <w:jc w:val="both"/>
        <w:rPr>
          <w:rFonts w:ascii="Palatino Linotype" w:eastAsia="Palatino Linotype" w:hAnsi="Palatino Linotype" w:cs="Palatino Linotype"/>
        </w:rPr>
      </w:pPr>
    </w:p>
    <w:p w:rsidR="00FB1784" w:rsidRDefault="00A72EBC">
      <w:pPr>
        <w:spacing w:after="0" w:line="360" w:lineRule="auto"/>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FB1784" w:rsidRDefault="00FB1784">
      <w:pPr>
        <w:spacing w:after="0" w:line="360" w:lineRule="auto"/>
        <w:jc w:val="both"/>
        <w:rPr>
          <w:rFonts w:ascii="Palatino Linotype" w:eastAsia="Palatino Linotype" w:hAnsi="Palatino Linotype" w:cs="Palatino Linotype"/>
        </w:rPr>
      </w:pPr>
    </w:p>
    <w:p w:rsidR="00FB1784" w:rsidRDefault="00A72EB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 4 para la entrega del informe trimestral 2024, en dicho documento obran los siguientes elementos:</w:t>
      </w:r>
    </w:p>
    <w:p w:rsidR="00FB1784" w:rsidRDefault="00A72EBC">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744378" cy="5829470"/>
            <wp:effectExtent l="3175" t="3175" r="3175" b="3175"/>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44378" cy="5829470"/>
                    </a:xfrm>
                    <a:prstGeom prst="rect">
                      <a:avLst/>
                    </a:prstGeom>
                    <a:ln w="3175">
                      <a:solidFill>
                        <a:srgbClr val="000000"/>
                      </a:solidFill>
                      <a:prstDash val="solid"/>
                    </a:ln>
                  </pic:spPr>
                </pic:pic>
              </a:graphicData>
            </a:graphic>
          </wp:inline>
        </w:drawing>
      </w:r>
    </w:p>
    <w:p w:rsidR="00FB1784" w:rsidRDefault="00FB1784">
      <w:pPr>
        <w:spacing w:after="0" w:line="360" w:lineRule="auto"/>
        <w:jc w:val="both"/>
        <w:rPr>
          <w:rFonts w:ascii="Palatino Linotype" w:eastAsia="Palatino Linotype" w:hAnsi="Palatino Linotype" w:cs="Palatino Linotype"/>
        </w:rPr>
      </w:pPr>
    </w:p>
    <w:p w:rsidR="00FB1784" w:rsidRDefault="00A72EBC">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633877" cy="4785428"/>
            <wp:effectExtent l="3175" t="3175" r="3175" b="3175"/>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33877" cy="4785428"/>
                    </a:xfrm>
                    <a:prstGeom prst="rect">
                      <a:avLst/>
                    </a:prstGeom>
                    <a:ln w="3175">
                      <a:solidFill>
                        <a:srgbClr val="000000"/>
                      </a:solidFill>
                      <a:prstDash val="solid"/>
                    </a:ln>
                  </pic:spPr>
                </pic:pic>
              </a:graphicData>
            </a:graphic>
          </wp:inline>
        </w:drawing>
      </w:r>
    </w:p>
    <w:p w:rsidR="00FB1784" w:rsidRDefault="00A72EB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FB1784" w:rsidRDefault="00FB1784">
      <w:pPr>
        <w:spacing w:after="0" w:line="360" w:lineRule="auto"/>
        <w:ind w:right="139"/>
        <w:jc w:val="both"/>
        <w:rPr>
          <w:rFonts w:ascii="Palatino Linotype" w:eastAsia="Palatino Linotype" w:hAnsi="Palatino Linotype" w:cs="Palatino Linotype"/>
        </w:rPr>
      </w:pPr>
    </w:p>
    <w:p w:rsidR="00FB1784" w:rsidRDefault="00A72EBC">
      <w:pPr>
        <w:spacing w:after="0" w:line="360" w:lineRule="auto"/>
        <w:ind w:right="139"/>
        <w:jc w:val="both"/>
        <w:rPr>
          <w:rFonts w:ascii="Palatino Linotype" w:eastAsia="Palatino Linotype" w:hAnsi="Palatino Linotype" w:cs="Palatino Linotype"/>
        </w:rPr>
      </w:pPr>
      <w:bookmarkStart w:id="6" w:name="_heading=h.jkaxn8mgxy7q" w:colFirst="0" w:colLast="0"/>
      <w:bookmarkEnd w:id="6"/>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rsidR="00FB1784" w:rsidRDefault="006F0709">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44450</wp:posOffset>
                </wp:positionV>
                <wp:extent cx="5727700" cy="4933950"/>
                <wp:effectExtent l="0" t="0" r="25400" b="19050"/>
                <wp:wrapNone/>
                <wp:docPr id="1" name="Conector recto 1"/>
                <wp:cNvGraphicFramePr/>
                <a:graphic xmlns:a="http://schemas.openxmlformats.org/drawingml/2006/main">
                  <a:graphicData uri="http://schemas.microsoft.com/office/word/2010/wordprocessingShape">
                    <wps:wsp>
                      <wps:cNvCnPr/>
                      <wps:spPr>
                        <a:xfrm>
                          <a:off x="0" y="0"/>
                          <a:ext cx="5727700" cy="4933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E9445"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3.5pt" to="452.9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" strokecolor="black [3200]" strokeweight=".5pt">
                <v:stroke joinstyle="miter"/>
              </v:line>
            </w:pict>
          </mc:Fallback>
        </mc:AlternateContent>
      </w:r>
    </w:p>
    <w:p w:rsidR="00FB1784" w:rsidRDefault="00FB1784">
      <w:pPr>
        <w:spacing w:before="240" w:after="240" w:line="360" w:lineRule="auto"/>
        <w:ind w:right="139"/>
        <w:jc w:val="both"/>
        <w:rPr>
          <w:rFonts w:ascii="Palatino Linotype" w:eastAsia="Palatino Linotype" w:hAnsi="Palatino Linotype" w:cs="Palatino Linotype"/>
        </w:rPr>
      </w:pPr>
      <w:bookmarkStart w:id="7" w:name="_heading=h.3znysh7" w:colFirst="0" w:colLast="0"/>
      <w:bookmarkEnd w:id="7"/>
    </w:p>
    <w:p w:rsidR="00FB1784" w:rsidRDefault="00FB1784">
      <w:pPr>
        <w:spacing w:before="240" w:after="240" w:line="360" w:lineRule="auto"/>
        <w:ind w:right="139"/>
        <w:jc w:val="both"/>
        <w:rPr>
          <w:rFonts w:ascii="Palatino Linotype" w:eastAsia="Palatino Linotype" w:hAnsi="Palatino Linotype" w:cs="Palatino Linotype"/>
        </w:rPr>
      </w:pPr>
      <w:bookmarkStart w:id="8" w:name="_GoBack"/>
      <w:bookmarkEnd w:id="8"/>
    </w:p>
    <w:p w:rsidR="00FB1784" w:rsidRDefault="00FB1784">
      <w:pPr>
        <w:spacing w:before="240" w:after="240" w:line="360" w:lineRule="auto"/>
        <w:ind w:right="139"/>
        <w:jc w:val="both"/>
        <w:rPr>
          <w:rFonts w:ascii="Palatino Linotype" w:eastAsia="Palatino Linotype" w:hAnsi="Palatino Linotype" w:cs="Palatino Linotype"/>
        </w:rPr>
      </w:pPr>
    </w:p>
    <w:p w:rsidR="00FB1784" w:rsidRDefault="00FB1784">
      <w:pPr>
        <w:spacing w:before="240" w:after="240" w:line="360" w:lineRule="auto"/>
        <w:ind w:right="139"/>
        <w:jc w:val="both"/>
        <w:rPr>
          <w:rFonts w:ascii="Palatino Linotype" w:eastAsia="Palatino Linotype" w:hAnsi="Palatino Linotype" w:cs="Palatino Linotype"/>
        </w:rPr>
      </w:pPr>
    </w:p>
    <w:p w:rsidR="00FB1784" w:rsidRDefault="00FB1784">
      <w:pPr>
        <w:spacing w:before="240" w:after="240" w:line="360" w:lineRule="auto"/>
        <w:ind w:right="139"/>
        <w:jc w:val="both"/>
        <w:rPr>
          <w:rFonts w:ascii="Palatino Linotype" w:eastAsia="Palatino Linotype" w:hAnsi="Palatino Linotype" w:cs="Palatino Linotype"/>
        </w:rPr>
      </w:pPr>
    </w:p>
    <w:p w:rsidR="00FB1784" w:rsidRDefault="00FB1784">
      <w:pPr>
        <w:spacing w:before="240" w:after="240" w:line="360" w:lineRule="auto"/>
        <w:ind w:right="139"/>
        <w:jc w:val="both"/>
        <w:rPr>
          <w:rFonts w:ascii="Palatino Linotype" w:eastAsia="Palatino Linotype" w:hAnsi="Palatino Linotype" w:cs="Palatino Linotype"/>
        </w:rPr>
      </w:pPr>
    </w:p>
    <w:p w:rsidR="00FB1784" w:rsidRDefault="00FB1784">
      <w:pPr>
        <w:spacing w:before="240" w:after="240" w:line="360" w:lineRule="auto"/>
        <w:ind w:right="139"/>
        <w:jc w:val="both"/>
        <w:rPr>
          <w:rFonts w:ascii="Palatino Linotype" w:eastAsia="Palatino Linotype" w:hAnsi="Palatino Linotype" w:cs="Palatino Linotype"/>
        </w:rPr>
      </w:pPr>
    </w:p>
    <w:p w:rsidR="00FB1784" w:rsidRDefault="00FB1784">
      <w:pPr>
        <w:spacing w:before="240" w:after="240" w:line="360" w:lineRule="auto"/>
        <w:ind w:right="139"/>
        <w:jc w:val="both"/>
        <w:rPr>
          <w:rFonts w:ascii="Palatino Linotype" w:eastAsia="Palatino Linotype" w:hAnsi="Palatino Linotype" w:cs="Palatino Linotype"/>
        </w:rPr>
        <w:sectPr w:rsidR="00FB1784">
          <w:headerReference w:type="default" r:id="rId9"/>
          <w:footerReference w:type="default" r:id="rId10"/>
          <w:pgSz w:w="12240" w:h="15840"/>
          <w:pgMar w:top="1871" w:right="900" w:bottom="2835" w:left="1701" w:header="709" w:footer="584" w:gutter="0"/>
          <w:pgNumType w:start="1"/>
          <w:cols w:space="720"/>
        </w:sectPr>
      </w:pPr>
    </w:p>
    <w:p w:rsidR="00FB1784" w:rsidRDefault="00FB1784">
      <w:pPr>
        <w:spacing w:before="240" w:after="240" w:line="360" w:lineRule="auto"/>
        <w:ind w:right="139"/>
        <w:jc w:val="both"/>
        <w:rPr>
          <w:rFonts w:ascii="Palatino Linotype" w:eastAsia="Palatino Linotype" w:hAnsi="Palatino Linotype" w:cs="Palatino Linotype"/>
        </w:rPr>
      </w:pPr>
    </w:p>
    <w:sectPr w:rsidR="00FB1784">
      <w:headerReference w:type="default" r:id="rId11"/>
      <w:pgSz w:w="12240" w:h="15840"/>
      <w:pgMar w:top="1871"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EBC" w:rsidRDefault="00A72EBC">
      <w:pPr>
        <w:spacing w:after="0" w:line="240" w:lineRule="auto"/>
      </w:pPr>
      <w:r>
        <w:separator/>
      </w:r>
    </w:p>
  </w:endnote>
  <w:endnote w:type="continuationSeparator" w:id="0">
    <w:p w:rsidR="00A72EBC" w:rsidRDefault="00A7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784" w:rsidRDefault="00FB1784">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p w:rsidR="00FB1784" w:rsidRDefault="00FB1784">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EBC" w:rsidRDefault="00A72EBC">
      <w:pPr>
        <w:spacing w:after="0" w:line="240" w:lineRule="auto"/>
      </w:pPr>
      <w:r>
        <w:separator/>
      </w:r>
    </w:p>
  </w:footnote>
  <w:footnote w:type="continuationSeparator" w:id="0">
    <w:p w:rsidR="00A72EBC" w:rsidRDefault="00A72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784" w:rsidRDefault="00A72EB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-1341739</wp:posOffset>
          </wp:positionH>
          <wp:positionV relativeFrom="paragraph">
            <wp:posOffset>-453371</wp:posOffset>
          </wp:positionV>
          <wp:extent cx="7510145" cy="9883775"/>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FB1784" w:rsidRDefault="00A72EB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FB1784" w:rsidRDefault="00A72EBC">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w:t>
    </w:r>
    <w:r w:rsidR="00474674">
      <w:rPr>
        <w:rFonts w:ascii="Palatino Linotype" w:eastAsia="Palatino Linotype" w:hAnsi="Palatino Linotype" w:cs="Palatino Linotype"/>
        <w:b/>
        <w:color w:val="000000"/>
        <w:sz w:val="20"/>
        <w:szCs w:val="20"/>
      </w:rPr>
      <w:t>Recurso de Revisión: 07139</w:t>
    </w:r>
    <w:r>
      <w:rPr>
        <w:rFonts w:ascii="Palatino Linotype" w:eastAsia="Palatino Linotype" w:hAnsi="Palatino Linotype" w:cs="Palatino Linotype"/>
        <w:b/>
        <w:color w:val="000000"/>
        <w:sz w:val="20"/>
        <w:szCs w:val="20"/>
      </w:rPr>
      <w:t>/INFOEM/IP/RR/2024</w:t>
    </w:r>
  </w:p>
  <w:p w:rsidR="00FB1784" w:rsidRDefault="00A72EBC">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w:t>
    </w:r>
    <w:r w:rsidR="00474674">
      <w:rPr>
        <w:rFonts w:ascii="Palatino Linotype" w:eastAsia="Palatino Linotype" w:hAnsi="Palatino Linotype" w:cs="Palatino Linotype"/>
        <w:b/>
        <w:color w:val="000000"/>
        <w:sz w:val="20"/>
        <w:szCs w:val="20"/>
      </w:rPr>
      <w:t>ado: Ayuntamiento de Hueypoxtla</w:t>
    </w:r>
    <w:r>
      <w:rPr>
        <w:rFonts w:ascii="Palatino Linotype" w:eastAsia="Palatino Linotype" w:hAnsi="Palatino Linotype" w:cs="Palatino Linotype"/>
        <w:b/>
        <w:color w:val="000000"/>
        <w:sz w:val="20"/>
        <w:szCs w:val="20"/>
      </w:rPr>
      <w:t xml:space="preserve"> </w:t>
    </w:r>
  </w:p>
  <w:p w:rsidR="00FB1784" w:rsidRDefault="00A72EB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 xml:space="preserve">Comisionada Ponente: </w:t>
    </w:r>
    <w:r w:rsidR="00474674">
      <w:rPr>
        <w:rFonts w:ascii="Palatino Linotype" w:eastAsia="Palatino Linotype" w:hAnsi="Palatino Linotype" w:cs="Palatino Linotype"/>
        <w:b/>
        <w:color w:val="000000"/>
        <w:sz w:val="20"/>
        <w:szCs w:val="20"/>
      </w:rPr>
      <w:t>Guadalupe Ramírez Peña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784" w:rsidRDefault="00FB178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p>
  <w:p w:rsidR="00FB1784" w:rsidRDefault="00FB178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84"/>
    <w:rsid w:val="004246FD"/>
    <w:rsid w:val="00474674"/>
    <w:rsid w:val="006A12E2"/>
    <w:rsid w:val="006F0709"/>
    <w:rsid w:val="00A72EBC"/>
    <w:rsid w:val="00FB17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700AB-E033-4D2B-9A39-AEA7BF9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a"/>
    <w:pPr>
      <w:spacing w:after="0" w:line="240" w:lineRule="auto"/>
    </w:pPr>
    <w:tblPr>
      <w:tblStyleRowBandSize w:val="1"/>
      <w:tblStyleColBandSize w:val="1"/>
      <w:tblCellMar>
        <w:left w:w="108" w:type="dxa"/>
        <w:right w:w="108" w:type="dxa"/>
      </w:tblCellMar>
    </w:tblPr>
  </w:style>
  <w:style w:type="table" w:customStyle="1" w:styleId="a0">
    <w:basedOn w:val="TableNormala"/>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8Szb8KbRw+TwMWSIsBkC6saWLg==">CgMxLjAyCGguZ2pkZ3hzMgloLjF0M2g1c2YyCWguMzBqMHpsbDIJaC4yZXQ5MnAwMgloLjFmb2I5dGUyCGgudHlqY3d0Mg5oLmprYXhuOG1neHk3cTIJaC4zem55c2g3OAByITF0NmhoNDZHWUVLd0RJUlNNaXl6alpHc2hWeWVMa2szaw==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1829</Words>
  <Characters>10064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4</cp:revision>
  <dcterms:created xsi:type="dcterms:W3CDTF">2024-12-05T19:51:00Z</dcterms:created>
  <dcterms:modified xsi:type="dcterms:W3CDTF">2024-12-05T20:13:00Z</dcterms:modified>
</cp:coreProperties>
</file>