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7F" w:rsidRDefault="009A25D2">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TRIGÉSIMA SÉPTIMA SESIÓN ORDINARIA DEL DIECISÉIS DE OCTUBRE DE DOS MIL VEINTICUATRO, EN EL RECURSO DE REVISIÓN 03009/INFOEM/IP/RR/2024 Y ACUMULADOS</w:t>
      </w:r>
    </w:p>
    <w:p w:rsidR="008F347F" w:rsidRDefault="008F347F">
      <w:pPr>
        <w:spacing w:after="0" w:line="360" w:lineRule="auto"/>
        <w:jc w:val="both"/>
        <w:rPr>
          <w:rFonts w:ascii="Palatino Linotype" w:eastAsia="Palatino Linotype" w:hAnsi="Palatino Linotype" w:cs="Palatino Linotype"/>
          <w:b/>
          <w:color w:val="FF0000"/>
        </w:rPr>
      </w:pPr>
    </w:p>
    <w:p w:rsidR="008F347F" w:rsidRDefault="009A25D2">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03009/INFOEM/IP/RR/2024 y Acumulados, </w:t>
      </w:r>
      <w:r>
        <w:rPr>
          <w:rFonts w:ascii="Palatino Linotype" w:eastAsia="Palatino Linotype" w:hAnsi="Palatino Linotype" w:cs="Palatino Linotype"/>
          <w:color w:val="000000"/>
        </w:rPr>
        <w:t>el cual fue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8F347F" w:rsidRDefault="009A25D2">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w:t>
      </w:r>
    </w:p>
    <w:p w:rsidR="008F347F" w:rsidRDefault="008F347F">
      <w:pPr>
        <w:spacing w:after="0" w:line="360" w:lineRule="auto"/>
        <w:ind w:right="49"/>
        <w:jc w:val="both"/>
        <w:rPr>
          <w:rFonts w:ascii="Palatino Linotype" w:eastAsia="Palatino Linotype" w:hAnsi="Palatino Linotype" w:cs="Palatino Linotype"/>
        </w:rPr>
      </w:pPr>
    </w:p>
    <w:p w:rsidR="008F347F" w:rsidRDefault="009A25D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particularmente respecto a lo siguiente:</w:t>
      </w:r>
    </w:p>
    <w:p w:rsidR="008F347F" w:rsidRDefault="008F347F">
      <w:pPr>
        <w:spacing w:after="0" w:line="360" w:lineRule="auto"/>
        <w:jc w:val="both"/>
        <w:rPr>
          <w:rFonts w:ascii="Palatino Linotype" w:eastAsia="Palatino Linotype" w:hAnsi="Palatino Linotype" w:cs="Palatino Linotype"/>
        </w:rPr>
      </w:pPr>
    </w:p>
    <w:p w:rsidR="008F347F" w:rsidRDefault="009A25D2">
      <w:pPr>
        <w:numPr>
          <w:ilvl w:val="0"/>
          <w:numId w:val="1"/>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u w:val="single"/>
        </w:rPr>
        <w:t>Fotografía de los servidores públicos.</w:t>
      </w:r>
    </w:p>
    <w:p w:rsidR="008F347F" w:rsidRDefault="008F347F">
      <w:pPr>
        <w:spacing w:after="0" w:line="360" w:lineRule="auto"/>
        <w:ind w:right="706"/>
        <w:jc w:val="both"/>
        <w:rPr>
          <w:rFonts w:ascii="Palatino Linotype" w:eastAsia="Palatino Linotype" w:hAnsi="Palatino Linotype" w:cs="Palatino Linotype"/>
          <w:b/>
        </w:rPr>
      </w:pPr>
    </w:p>
    <w:p w:rsidR="008F347F" w:rsidRDefault="009A25D2">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8F347F" w:rsidRDefault="008F347F">
      <w:pPr>
        <w:spacing w:after="0" w:line="360" w:lineRule="auto"/>
        <w:ind w:right="706"/>
        <w:jc w:val="both"/>
        <w:rPr>
          <w:rFonts w:ascii="Palatino Linotype" w:eastAsia="Palatino Linotype" w:hAnsi="Palatino Linotype" w:cs="Palatino Linotype"/>
          <w:i/>
        </w:rPr>
      </w:pPr>
    </w:p>
    <w:p w:rsidR="008F347F" w:rsidRDefault="009A25D2">
      <w:pPr>
        <w:spacing w:after="0" w:line="240" w:lineRule="auto"/>
        <w:ind w:left="567" w:right="423"/>
        <w:jc w:val="both"/>
        <w:rPr>
          <w:rFonts w:ascii="Palatino Linotype" w:eastAsia="Palatino Linotype" w:hAnsi="Palatino Linotype" w:cs="Palatino Linotype"/>
        </w:rPr>
      </w:pPr>
      <w:r>
        <w:rPr>
          <w:rFonts w:ascii="Palatino Linotype" w:eastAsia="Palatino Linotype" w:hAnsi="Palatino Linotype" w:cs="Palatino Linotype"/>
          <w:b/>
          <w:i/>
        </w:rPr>
        <w:t>“</w:t>
      </w:r>
      <w:r>
        <w:rPr>
          <w:rFonts w:ascii="Palatino Linotype" w:eastAsia="Palatino Linotype" w:hAnsi="Palatino Linotype" w:cs="Palatino Linotype"/>
          <w:b/>
        </w:rPr>
        <w:t>Fotografía de servidores públicos</w:t>
      </w:r>
      <w:r>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8F347F" w:rsidRDefault="009A25D2">
      <w:pPr>
        <w:spacing w:after="0" w:line="240" w:lineRule="auto"/>
        <w:ind w:left="567" w:right="423"/>
        <w:jc w:val="both"/>
        <w:rPr>
          <w:rFonts w:ascii="Palatino Linotype" w:eastAsia="Palatino Linotype" w:hAnsi="Palatino Linotype" w:cs="Palatino Linotype"/>
        </w:rPr>
      </w:pPr>
      <w:r>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8F347F" w:rsidRDefault="009A25D2">
      <w:pPr>
        <w:spacing w:after="0" w:line="240" w:lineRule="auto"/>
        <w:ind w:left="567" w:right="423"/>
        <w:jc w:val="both"/>
        <w:rPr>
          <w:rFonts w:ascii="Palatino Linotype" w:eastAsia="Palatino Linotype" w:hAnsi="Palatino Linotype" w:cs="Palatino Linotype"/>
        </w:rPr>
      </w:pPr>
      <w:r>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8F347F" w:rsidRDefault="009A25D2">
      <w:pPr>
        <w:spacing w:after="0" w:line="240" w:lineRule="auto"/>
        <w:ind w:left="567" w:right="423"/>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resultan aplicables por analogía, los Criterios SO/015/2017 y SO/001/2013 del Instituto Nacional de Transparencia y Acceso a la Información </w:t>
      </w:r>
      <w:r>
        <w:rPr>
          <w:rFonts w:ascii="Palatino Linotype" w:eastAsia="Palatino Linotype" w:hAnsi="Palatino Linotype" w:cs="Palatino Linotype"/>
        </w:rPr>
        <w:lastRenderedPageBreak/>
        <w:t>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8F347F" w:rsidRDefault="009A25D2">
      <w:pPr>
        <w:spacing w:after="0" w:line="240" w:lineRule="auto"/>
        <w:ind w:left="567" w:right="423"/>
        <w:jc w:val="both"/>
        <w:rPr>
          <w:rFonts w:ascii="Palatino Linotype" w:eastAsia="Palatino Linotype" w:hAnsi="Palatino Linotype" w:cs="Palatino Linotype"/>
        </w:rPr>
      </w:pPr>
      <w:r>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8F347F" w:rsidRDefault="009A25D2">
      <w:pPr>
        <w:spacing w:after="0" w:line="240" w:lineRule="auto"/>
        <w:ind w:left="567" w:right="423"/>
        <w:jc w:val="both"/>
        <w:rPr>
          <w:rFonts w:ascii="Palatino Linotype" w:eastAsia="Palatino Linotype" w:hAnsi="Palatino Linotype" w:cs="Palatino Linotype"/>
        </w:rPr>
      </w:pPr>
      <w:r>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8F347F" w:rsidRDefault="009A25D2">
      <w:pPr>
        <w:spacing w:after="0" w:line="240" w:lineRule="auto"/>
        <w:ind w:left="567" w:right="423"/>
        <w:jc w:val="both"/>
        <w:rPr>
          <w:rFonts w:ascii="Palatino Linotype" w:eastAsia="Palatino Linotype" w:hAnsi="Palatino Linotype" w:cs="Palatino Linotype"/>
        </w:rPr>
      </w:pPr>
      <w:r>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8F347F" w:rsidRDefault="009A25D2">
      <w:pPr>
        <w:spacing w:after="0" w:line="240" w:lineRule="auto"/>
        <w:ind w:left="567" w:right="423"/>
        <w:jc w:val="both"/>
        <w:rPr>
          <w:rFonts w:ascii="Palatino Linotype" w:eastAsia="Palatino Linotype" w:hAnsi="Palatino Linotype" w:cs="Palatino Linotype"/>
          <w:u w:val="single"/>
        </w:rPr>
      </w:pPr>
      <w:r>
        <w:rPr>
          <w:rFonts w:ascii="Palatino Linotype" w:eastAsia="Palatino Linotype" w:hAnsi="Palatino Linotype" w:cs="Palatino Linotype"/>
          <w:u w:val="singl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u w:val="single"/>
        </w:rPr>
        <w:t>”</w:t>
      </w:r>
    </w:p>
    <w:p w:rsidR="008F347F" w:rsidRDefault="008F347F">
      <w:pPr>
        <w:spacing w:after="0" w:line="240" w:lineRule="auto"/>
        <w:ind w:left="567" w:right="425"/>
        <w:jc w:val="both"/>
        <w:rPr>
          <w:rFonts w:ascii="Palatino Linotype" w:eastAsia="Palatino Linotype" w:hAnsi="Palatino Linotype" w:cs="Palatino Linotype"/>
          <w:b/>
          <w:i/>
        </w:rPr>
      </w:pPr>
    </w:p>
    <w:p w:rsidR="008F347F" w:rsidRDefault="009A25D2">
      <w:pPr>
        <w:spacing w:after="0" w:line="360" w:lineRule="auto"/>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 xml:space="preserve">Como se puede advertir, en el criterio de la mayoría no se distingue el nivel o cargo que ostente el servidor público. </w:t>
      </w:r>
    </w:p>
    <w:p w:rsidR="008F347F" w:rsidRDefault="008F347F">
      <w:pPr>
        <w:spacing w:after="0" w:line="360" w:lineRule="auto"/>
        <w:jc w:val="both"/>
        <w:rPr>
          <w:rFonts w:ascii="Palatino Linotype" w:eastAsia="Palatino Linotype" w:hAnsi="Palatino Linotype" w:cs="Palatino Linotype"/>
        </w:rPr>
      </w:pPr>
    </w:p>
    <w:p w:rsidR="008F347F" w:rsidRDefault="009A25D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8F347F" w:rsidRDefault="008F347F">
      <w:pPr>
        <w:spacing w:after="0" w:line="360" w:lineRule="auto"/>
        <w:jc w:val="both"/>
        <w:rPr>
          <w:rFonts w:ascii="Palatino Linotype" w:eastAsia="Palatino Linotype" w:hAnsi="Palatino Linotype" w:cs="Palatino Linotype"/>
        </w:rPr>
      </w:pPr>
    </w:p>
    <w:p w:rsidR="008F347F" w:rsidRDefault="009A25D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8F347F" w:rsidRDefault="008F347F">
      <w:pPr>
        <w:spacing w:after="0" w:line="360" w:lineRule="auto"/>
        <w:jc w:val="both"/>
        <w:rPr>
          <w:rFonts w:ascii="Palatino Linotype" w:eastAsia="Palatino Linotype" w:hAnsi="Palatino Linotype" w:cs="Palatino Linotype"/>
        </w:rPr>
      </w:pPr>
    </w:p>
    <w:p w:rsidR="008F347F" w:rsidRDefault="009A25D2">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w:t>
      </w:r>
      <w:r>
        <w:rPr>
          <w:rFonts w:ascii="Palatino Linotype" w:eastAsia="Palatino Linotype" w:hAnsi="Palatino Linotype" w:cs="Palatino Linotype"/>
        </w:rPr>
        <w:lastRenderedPageBreak/>
        <w:t>permitir a la ciudadanía identifique a los funcionarios que toman decisiones importantes en su nombre.</w:t>
      </w:r>
    </w:p>
    <w:p w:rsidR="008F347F" w:rsidRDefault="008F347F">
      <w:pPr>
        <w:spacing w:after="0" w:line="360" w:lineRule="auto"/>
        <w:ind w:right="140"/>
        <w:jc w:val="both"/>
        <w:rPr>
          <w:rFonts w:ascii="Palatino Linotype" w:eastAsia="Palatino Linotype" w:hAnsi="Palatino Linotype" w:cs="Palatino Linotype"/>
        </w:rPr>
      </w:pPr>
    </w:p>
    <w:p w:rsidR="008F347F" w:rsidRDefault="009A25D2">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8F347F" w:rsidRDefault="008F347F">
      <w:pPr>
        <w:tabs>
          <w:tab w:val="left" w:pos="4962"/>
        </w:tabs>
        <w:spacing w:after="0" w:line="360" w:lineRule="auto"/>
        <w:jc w:val="both"/>
        <w:rPr>
          <w:rFonts w:ascii="Palatino Linotype" w:eastAsia="Palatino Linotype" w:hAnsi="Palatino Linotype" w:cs="Palatino Linotype"/>
        </w:rPr>
      </w:pPr>
    </w:p>
    <w:p w:rsidR="008F347F" w:rsidRDefault="009A25D2">
      <w:pPr>
        <w:spacing w:after="0" w:line="360" w:lineRule="auto"/>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cómo es, por ejemp</w:t>
      </w:r>
      <w:r w:rsidR="000B5D94">
        <w:rPr>
          <w:rFonts w:ascii="Palatino Linotype" w:eastAsia="Palatino Linotype" w:hAnsi="Palatino Linotype" w:cs="Palatino Linotype"/>
        </w:rPr>
        <w:t>lo, documento que den cuenta de la experiencia profesional y laboral o requisitos legales</w:t>
      </w:r>
      <w:r w:rsidRPr="00543FAD">
        <w:rPr>
          <w:rFonts w:ascii="Palatino Linotype" w:eastAsia="Palatino Linotype" w:hAnsi="Palatino Linotype" w:cs="Palatino Linotype"/>
        </w:rPr>
        <w:t>,</w:t>
      </w:r>
      <w:r>
        <w:rPr>
          <w:rFonts w:ascii="Palatino Linotype" w:eastAsia="Palatino Linotype" w:hAnsi="Palatino Linotype" w:cs="Palatino Linotype"/>
        </w:rPr>
        <w:t xml:space="preserve"> pues el hecho de clasificar la fotografía no le resta valide</w:t>
      </w:r>
      <w:bookmarkStart w:id="3" w:name="_GoBack"/>
      <w:bookmarkEnd w:id="3"/>
      <w:r>
        <w:rPr>
          <w:rFonts w:ascii="Palatino Linotype" w:eastAsia="Palatino Linotype" w:hAnsi="Palatino Linotype" w:cs="Palatino Linotype"/>
        </w:rPr>
        <w:t>z a los documentos para los fines señalados.</w:t>
      </w:r>
    </w:p>
    <w:p w:rsidR="008F347F" w:rsidRDefault="008F347F">
      <w:pPr>
        <w:spacing w:after="0" w:line="360" w:lineRule="auto"/>
        <w:jc w:val="both"/>
        <w:rPr>
          <w:rFonts w:ascii="Palatino Linotype" w:eastAsia="Palatino Linotype" w:hAnsi="Palatino Linotype" w:cs="Palatino Linotype"/>
        </w:rPr>
      </w:pPr>
      <w:bookmarkStart w:id="4" w:name="_heading=h.9pxwjzms30qi" w:colFirst="0" w:colLast="0"/>
      <w:bookmarkEnd w:id="4"/>
    </w:p>
    <w:p w:rsidR="008F347F" w:rsidRDefault="009A25D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w:t>
      </w:r>
      <w:r>
        <w:rPr>
          <w:rFonts w:ascii="Palatino Linotype" w:eastAsia="Palatino Linotype" w:hAnsi="Palatino Linotype" w:cs="Palatino Linotype"/>
        </w:rPr>
        <w:lastRenderedPageBreak/>
        <w:t>servidoras públicas para ocupar sus puestos o para acreditar que cumplieron con determinados requisitos, lo que da cuenta de ello es el propio documento.</w:t>
      </w:r>
    </w:p>
    <w:p w:rsidR="008F347F" w:rsidRDefault="008F347F">
      <w:pPr>
        <w:spacing w:after="0" w:line="360" w:lineRule="auto"/>
        <w:jc w:val="both"/>
        <w:rPr>
          <w:rFonts w:ascii="Palatino Linotype" w:eastAsia="Palatino Linotype" w:hAnsi="Palatino Linotype" w:cs="Palatino Linotype"/>
          <w:b/>
          <w:u w:val="single"/>
        </w:rPr>
      </w:pPr>
      <w:bookmarkStart w:id="5" w:name="_heading=h.1t3h5sf" w:colFirst="0" w:colLast="0"/>
      <w:bookmarkEnd w:id="5"/>
    </w:p>
    <w:bookmarkStart w:id="6" w:name="_heading=h.1fob9te" w:colFirst="0" w:colLast="0"/>
    <w:bookmarkEnd w:id="6"/>
    <w:p w:rsidR="008F347F" w:rsidRDefault="00543FAD">
      <w:pPr>
        <w:tabs>
          <w:tab w:val="left" w:pos="4962"/>
        </w:tabs>
        <w:spacing w:after="0" w:line="360" w:lineRule="auto"/>
        <w:jc w:val="both"/>
        <w:rPr>
          <w:rFonts w:ascii="Palatino Linotype" w:eastAsia="Palatino Linotype" w:hAnsi="Palatino Linotype" w:cs="Palatino Linotype"/>
        </w:rPr>
        <w:sectPr w:rsidR="008F347F">
          <w:headerReference w:type="default" r:id="rId8"/>
          <w:pgSz w:w="12240" w:h="15840"/>
          <w:pgMar w:top="1871" w:right="1327" w:bottom="2836" w:left="1985" w:header="709" w:footer="586" w:gutter="0"/>
          <w:pgNumType w:start="1"/>
          <w:cols w:space="720"/>
        </w:sect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1756410</wp:posOffset>
                </wp:positionV>
                <wp:extent cx="5334000" cy="4616450"/>
                <wp:effectExtent l="0" t="0" r="19050" b="31750"/>
                <wp:wrapNone/>
                <wp:docPr id="1" name="Conector recto 1"/>
                <wp:cNvGraphicFramePr/>
                <a:graphic xmlns:a="http://schemas.openxmlformats.org/drawingml/2006/main">
                  <a:graphicData uri="http://schemas.microsoft.com/office/word/2010/wordprocessingShape">
                    <wps:wsp>
                      <wps:cNvCnPr/>
                      <wps:spPr>
                        <a:xfrm>
                          <a:off x="0" y="0"/>
                          <a:ext cx="5334000" cy="461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004D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138.3pt" to="424.25pt,5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" strokecolor="black [3200]" strokeweight=".5pt">
                <v:stroke joinstyle="miter"/>
              </v:line>
            </w:pict>
          </mc:Fallback>
        </mc:AlternateContent>
      </w:r>
      <w:r w:rsidR="009A25D2">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009A25D2">
        <w:rPr>
          <w:rFonts w:ascii="Palatino Linotype" w:eastAsia="Palatino Linotype" w:hAnsi="Palatino Linotype" w:cs="Palatino Linotype"/>
          <w:b/>
        </w:rPr>
        <w:t xml:space="preserve">Voto Particular pues considero que </w:t>
      </w:r>
      <w:r w:rsidR="009A25D2">
        <w:rPr>
          <w:rFonts w:ascii="Palatino Linotype" w:eastAsia="Palatino Linotype" w:hAnsi="Palatino Linotype" w:cs="Palatino Linotype"/>
          <w:b/>
          <w:u w:val="single"/>
        </w:rPr>
        <w:t>no se debe dejar visible la fotografía de las y los servidores públicos que NO cuenten con la calidad de mando medio y/o superior,</w:t>
      </w:r>
      <w:r w:rsidR="009A25D2">
        <w:rPr>
          <w:rFonts w:ascii="Palatino Linotype" w:eastAsia="Palatino Linotype" w:hAnsi="Palatino Linotype" w:cs="Palatino Linotype"/>
        </w:rPr>
        <w:t xml:space="preserve"> </w:t>
      </w:r>
      <w:r w:rsidR="009A25D2">
        <w:rPr>
          <w:rFonts w:ascii="Palatino Linotype" w:eastAsia="Palatino Linotype" w:hAnsi="Palatino Linotype" w:cs="Palatino Linotype"/>
          <w:b/>
          <w:u w:val="single"/>
        </w:rPr>
        <w:t>o no presten atención al público</w:t>
      </w:r>
      <w:r w:rsidR="009A25D2">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8F347F" w:rsidRDefault="008F347F">
      <w:pPr>
        <w:tabs>
          <w:tab w:val="left" w:pos="4962"/>
        </w:tabs>
        <w:spacing w:after="0" w:line="360" w:lineRule="auto"/>
        <w:jc w:val="both"/>
        <w:rPr>
          <w:rFonts w:ascii="Palatino Linotype" w:eastAsia="Palatino Linotype" w:hAnsi="Palatino Linotype" w:cs="Palatino Linotype"/>
          <w:i/>
        </w:rPr>
      </w:pPr>
    </w:p>
    <w:p w:rsidR="008F347F" w:rsidRDefault="008F347F">
      <w:pPr>
        <w:spacing w:after="0" w:line="360" w:lineRule="auto"/>
        <w:jc w:val="both"/>
        <w:rPr>
          <w:rFonts w:ascii="Palatino Linotype" w:eastAsia="Palatino Linotype" w:hAnsi="Palatino Linotype" w:cs="Palatino Linotype"/>
          <w:color w:val="FF0000"/>
        </w:rPr>
      </w:pPr>
    </w:p>
    <w:p w:rsidR="008F347F" w:rsidRDefault="008F347F">
      <w:pPr>
        <w:spacing w:after="0" w:line="360" w:lineRule="auto"/>
        <w:ind w:right="423"/>
        <w:jc w:val="both"/>
        <w:rPr>
          <w:rFonts w:ascii="Palatino Linotype" w:eastAsia="Palatino Linotype" w:hAnsi="Palatino Linotype" w:cs="Palatino Linotype"/>
        </w:rPr>
      </w:pPr>
      <w:bookmarkStart w:id="7" w:name="_heading=h.30j0zll" w:colFirst="0" w:colLast="0"/>
      <w:bookmarkEnd w:id="7"/>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bookmarkStart w:id="8" w:name="_heading=h.3znysh7" w:colFirst="0" w:colLast="0"/>
      <w:bookmarkEnd w:id="8"/>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Pr>
        <w:spacing w:after="0" w:line="360" w:lineRule="auto"/>
        <w:ind w:right="423"/>
        <w:jc w:val="both"/>
        <w:rPr>
          <w:rFonts w:ascii="Palatino Linotype" w:eastAsia="Palatino Linotype" w:hAnsi="Palatino Linotype" w:cs="Palatino Linotype"/>
        </w:rPr>
      </w:pPr>
    </w:p>
    <w:p w:rsidR="008F347F" w:rsidRDefault="008F347F"/>
    <w:p w:rsidR="008F347F" w:rsidRDefault="008F347F"/>
    <w:p w:rsidR="008F347F" w:rsidRDefault="008F347F"/>
    <w:p w:rsidR="008F347F" w:rsidRDefault="008F347F"/>
    <w:sectPr w:rsidR="008F347F">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16" w:rsidRDefault="008B3A16">
      <w:pPr>
        <w:spacing w:after="0" w:line="240" w:lineRule="auto"/>
      </w:pPr>
      <w:r>
        <w:separator/>
      </w:r>
    </w:p>
  </w:endnote>
  <w:endnote w:type="continuationSeparator" w:id="0">
    <w:p w:rsidR="008B3A16" w:rsidRDefault="008B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16" w:rsidRDefault="008B3A16">
      <w:pPr>
        <w:spacing w:after="0" w:line="240" w:lineRule="auto"/>
      </w:pPr>
      <w:r>
        <w:separator/>
      </w:r>
    </w:p>
  </w:footnote>
  <w:footnote w:type="continuationSeparator" w:id="0">
    <w:p w:rsidR="008B3A16" w:rsidRDefault="008B3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7F" w:rsidRDefault="009A25D2">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Palatino Linotype" w:eastAsia="Palatino Linotype" w:hAnsi="Palatino Linotype" w:cs="Palatino Linotype"/>
        <w:b/>
        <w:color w:val="000000"/>
        <w:sz w:val="20"/>
        <w:szCs w:val="20"/>
      </w:rPr>
      <w:t xml:space="preserve">VOTO PARTICULAR </w:t>
    </w:r>
  </w:p>
  <w:p w:rsidR="008F347F" w:rsidRDefault="009A25D2">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03009/INFOEM/IP/RR/2024 y Acumulados</w:t>
    </w:r>
  </w:p>
  <w:p w:rsidR="008F347F" w:rsidRDefault="009A25D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Valle de Bravo</w:t>
    </w:r>
  </w:p>
  <w:p w:rsidR="008F347F" w:rsidRDefault="009A25D2">
    <w:pPr>
      <w:pBdr>
        <w:top w:val="nil"/>
        <w:left w:val="nil"/>
        <w:bottom w:val="nil"/>
        <w:right w:val="nil"/>
        <w:between w:val="nil"/>
      </w:pBdr>
      <w:tabs>
        <w:tab w:val="center" w:pos="4419"/>
        <w:tab w:val="left" w:pos="6232"/>
        <w:tab w:val="right" w:pos="8838"/>
        <w:tab w:val="right" w:pos="8928"/>
      </w:tabs>
      <w:spacing w:after="0" w:line="240" w:lineRule="auto"/>
      <w:jc w:val="both"/>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                                                                                        Comisionada Ponente: Guadalupe Ramírez Peña</w:t>
    </w:r>
    <w:r>
      <w:rPr>
        <w:rFonts w:ascii="Arial" w:eastAsia="Arial" w:hAnsi="Arial" w:cs="Arial"/>
        <w:color w:val="000000"/>
        <w:sz w:val="20"/>
        <w:szCs w:val="20"/>
      </w:rPr>
      <w:tab/>
    </w:r>
    <w:r>
      <w:rPr>
        <w:rFonts w:ascii="Arial" w:eastAsia="Arial" w:hAnsi="Arial" w:cs="Arial"/>
        <w:color w:val="000000"/>
        <w:sz w:val="20"/>
        <w:szCs w:val="20"/>
      </w:rPr>
      <w:tab/>
    </w:r>
    <w:r>
      <w:rPr>
        <w:noProof/>
      </w:rPr>
      <w:drawing>
        <wp:anchor distT="0" distB="0" distL="0" distR="0" simplePos="0" relativeHeight="251658240" behindDoc="1" locked="0" layoutInCell="1" hidden="0" allowOverlap="1">
          <wp:simplePos x="0" y="0"/>
          <wp:positionH relativeFrom="column">
            <wp:posOffset>-1177744</wp:posOffset>
          </wp:positionH>
          <wp:positionV relativeFrom="paragraph">
            <wp:posOffset>-549272</wp:posOffset>
          </wp:positionV>
          <wp:extent cx="7510628" cy="9883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F347F" w:rsidRDefault="008F347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7F" w:rsidRDefault="009A25D2">
    <w:pPr>
      <w:pBdr>
        <w:top w:val="nil"/>
        <w:left w:val="nil"/>
        <w:bottom w:val="nil"/>
        <w:right w:val="nil"/>
        <w:between w:val="nil"/>
      </w:pBdr>
      <w:tabs>
        <w:tab w:val="center" w:pos="4419"/>
        <w:tab w:val="right" w:pos="8838"/>
      </w:tabs>
      <w:spacing w:after="0" w:line="240" w:lineRule="auto"/>
      <w:ind w:left="4253"/>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8F347F" w:rsidRDefault="008F347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C6988"/>
    <w:multiLevelType w:val="multilevel"/>
    <w:tmpl w:val="9F3C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7F"/>
    <w:rsid w:val="000B5D94"/>
    <w:rsid w:val="00543FAD"/>
    <w:rsid w:val="008B3A16"/>
    <w:rsid w:val="008F347F"/>
    <w:rsid w:val="009A25D2"/>
    <w:rsid w:val="00E60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1325B-2703-4DC3-83E6-A4EA606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8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94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189"/>
    <w:rPr>
      <w:rFonts w:ascii="Calibri" w:eastAsia="Calibri" w:hAnsi="Calibri" w:cs="Calibri"/>
      <w:lang w:eastAsia="es-MX"/>
    </w:rPr>
  </w:style>
  <w:style w:type="paragraph" w:styleId="Piedepgina">
    <w:name w:val="footer"/>
    <w:basedOn w:val="Normal"/>
    <w:link w:val="PiedepginaCar"/>
    <w:uiPriority w:val="99"/>
    <w:unhideWhenUsed/>
    <w:rsid w:val="00F94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189"/>
    <w:rPr>
      <w:rFonts w:ascii="Calibri" w:eastAsia="Calibri" w:hAnsi="Calibri" w:cs="Calibri"/>
      <w:lang w:eastAsia="es-MX"/>
    </w:rPr>
  </w:style>
  <w:style w:type="paragraph" w:styleId="Prrafodelista">
    <w:name w:val="List Paragraph"/>
    <w:basedOn w:val="Normal"/>
    <w:uiPriority w:val="34"/>
    <w:qFormat/>
    <w:rsid w:val="00F9418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rw1+TD68K3MXEhkU9Tb8nSwmuQ==">CgMxLjAyCGguZ2pkZ3hzMg5oLnNlem5rMHYza3dkcDIOaC54ZXpyMG9rZDU3dG4yDmguOXB4d2p6bXMzMHFpMgloLjF0M2g1c2YyCWguMWZvYjl0ZTIJaC4zMGowemxsMgloLjN6bnlzaDc4AHIhMWVhSE0yX0VINUYwZ19NbkM5YUV1cDUtUTd1V2tncTFU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1588</Words>
  <Characters>8739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INFOEM563</cp:lastModifiedBy>
  <cp:revision>3</cp:revision>
  <cp:lastPrinted>2024-10-21T18:29:00Z</cp:lastPrinted>
  <dcterms:created xsi:type="dcterms:W3CDTF">2024-10-18T19:22:00Z</dcterms:created>
  <dcterms:modified xsi:type="dcterms:W3CDTF">2024-10-21T18:30:00Z</dcterms:modified>
</cp:coreProperties>
</file>