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215" w:rsidRDefault="001E4858">
      <w:pPr>
        <w:spacing w:after="0" w:line="360" w:lineRule="auto"/>
        <w:jc w:val="both"/>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w:t>
      </w:r>
      <w:r>
        <w:rPr>
          <w:rFonts w:ascii="Palatino Linotype" w:eastAsia="Palatino Linotype" w:hAnsi="Palatino Linotype" w:cs="Palatino Linotype"/>
          <w:b/>
        </w:rPr>
        <w:t>NOVENA SESIÓN ORDINARIA DEL TRECE DE MARZO DE DOS MIL VEINTICUATRO, EN EL RECURSO DE REVISIÓN 05464/INFOEM/IP/RR/2023.</w:t>
      </w:r>
    </w:p>
    <w:p w:rsidR="00CB0215" w:rsidRDefault="00CB0215">
      <w:pPr>
        <w:spacing w:after="0" w:line="360" w:lineRule="auto"/>
        <w:jc w:val="both"/>
        <w:rPr>
          <w:rFonts w:ascii="Palatino Linotype" w:eastAsia="Palatino Linotype" w:hAnsi="Palatino Linotype" w:cs="Palatino Linotype"/>
          <w:b/>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fundamento en lo dispuesto por el artículo 14, fracciones X y XI, del Reglamento del Instituto de Transparencia, Acceso a la Informa</w:t>
      </w:r>
      <w:r>
        <w:rPr>
          <w:rFonts w:ascii="Palatino Linotype" w:eastAsia="Palatino Linotype" w:hAnsi="Palatino Linotype" w:cs="Palatino Linotype"/>
        </w:rPr>
        <w:t>ción Pública y Protección de Datos Personales del Estado de México, la Comisionada</w:t>
      </w:r>
      <w:r>
        <w:rPr>
          <w:rFonts w:ascii="Palatino Linotype" w:eastAsia="Palatino Linotype" w:hAnsi="Palatino Linotype" w:cs="Palatino Linotype"/>
          <w:b/>
        </w:rPr>
        <w:t xml:space="preserve"> Guadalupe Ramírez Peña</w:t>
      </w:r>
      <w:r>
        <w:rPr>
          <w:rFonts w:ascii="Palatino Linotype" w:eastAsia="Palatino Linotype" w:hAnsi="Palatino Linotype" w:cs="Palatino Linotype"/>
        </w:rPr>
        <w:t xml:space="preserve">, emite </w:t>
      </w:r>
      <w:r>
        <w:rPr>
          <w:rFonts w:ascii="Palatino Linotype" w:eastAsia="Palatino Linotype" w:hAnsi="Palatino Linotype" w:cs="Palatino Linotype"/>
          <w:b/>
        </w:rPr>
        <w:t xml:space="preserve">VOTO PARTICULAR </w:t>
      </w:r>
      <w:r>
        <w:rPr>
          <w:rFonts w:ascii="Palatino Linotype" w:eastAsia="Palatino Linotype" w:hAnsi="Palatino Linotype" w:cs="Palatino Linotype"/>
        </w:rPr>
        <w:t xml:space="preserve">respecto a la resolución dictada en el recurso de revisión número </w:t>
      </w:r>
      <w:r>
        <w:rPr>
          <w:rFonts w:ascii="Palatino Linotype" w:eastAsia="Palatino Linotype" w:hAnsi="Palatino Linotype" w:cs="Palatino Linotype"/>
          <w:b/>
        </w:rPr>
        <w:t>05464/INFOEM/IP/RR/2023</w:t>
      </w:r>
      <w:r>
        <w:rPr>
          <w:rFonts w:ascii="Palatino Linotype" w:eastAsia="Palatino Linotype" w:hAnsi="Palatino Linotype" w:cs="Palatino Linotype"/>
          <w:b/>
          <w:color w:val="000000"/>
        </w:rPr>
        <w:t>,</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pronunciada por el Pleno de este Ins</w:t>
      </w:r>
      <w:r>
        <w:rPr>
          <w:rFonts w:ascii="Palatino Linotype" w:eastAsia="Palatino Linotype" w:hAnsi="Palatino Linotype" w:cs="Palatino Linotype"/>
          <w:color w:val="000000"/>
        </w:rPr>
        <w:t>tituto ante el proyecto presentado por la suscrita, el cual fue engrosado conforme al criterio mayoritario que es del tenor siguiente:</w:t>
      </w: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CB0215" w:rsidRDefault="001E4858">
      <w:pPr>
        <w:numPr>
          <w:ilvl w:val="0"/>
          <w:numId w:val="4"/>
        </w:numPr>
        <w:tabs>
          <w:tab w:val="left" w:pos="284"/>
          <w:tab w:val="left" w:pos="567"/>
        </w:tabs>
        <w:spacing w:after="0"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b/>
        </w:rPr>
        <w:t>Antecedentes.</w:t>
      </w:r>
    </w:p>
    <w:p w:rsidR="00CB0215" w:rsidRDefault="00CB0215">
      <w:pPr>
        <w:tabs>
          <w:tab w:val="left" w:pos="567"/>
        </w:tabs>
        <w:spacing w:after="0" w:line="360" w:lineRule="auto"/>
        <w:ind w:left="1080"/>
        <w:jc w:val="both"/>
        <w:rPr>
          <w:rFonts w:ascii="Palatino Linotype" w:eastAsia="Palatino Linotype" w:hAnsi="Palatino Linotype" w:cs="Palatino Linotype"/>
          <w:b/>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asunto que nos ocupa,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solicitó a la </w:t>
      </w:r>
      <w:r>
        <w:rPr>
          <w:rFonts w:ascii="Palatino Linotype" w:eastAsia="Palatino Linotype" w:hAnsi="Palatino Linotype" w:cs="Palatino Linotype"/>
          <w:b/>
        </w:rPr>
        <w:t>Secretaría de Seguridad</w:t>
      </w:r>
      <w:r>
        <w:rPr>
          <w:rFonts w:ascii="Palatino Linotype" w:eastAsia="Palatino Linotype" w:hAnsi="Palatino Linotype" w:cs="Palatino Linotype"/>
        </w:rPr>
        <w:t>, en su carácter de</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la siguiente información: </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276" w:lineRule="auto"/>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 xml:space="preserve"> “Solicito la siguiente información de la Secretaría: 1. Se me informe sobre todos los inmuebles que esta Secretaría tiene arrendados para todos sus usos (agregar lista) así como la información</w:t>
      </w:r>
      <w:r>
        <w:rPr>
          <w:rFonts w:ascii="Palatino Linotype" w:eastAsia="Palatino Linotype" w:hAnsi="Palatino Linotype" w:cs="Palatino Linotype"/>
          <w:i/>
        </w:rPr>
        <w:t xml:space="preserve"> acerca de los arrendatarios. 2. Cuántos contratos de personal tiene la Secretaría vía el sistema de subcontratación conocido como Outsourcing desde el año 2022 y lo que se lleva hasta este momento así como la </w:t>
      </w:r>
      <w:proofErr w:type="gramStart"/>
      <w:r>
        <w:rPr>
          <w:rFonts w:ascii="Palatino Linotype" w:eastAsia="Palatino Linotype" w:hAnsi="Palatino Linotype" w:cs="Palatino Linotype"/>
          <w:i/>
        </w:rPr>
        <w:lastRenderedPageBreak/>
        <w:t>empresa</w:t>
      </w:r>
      <w:proofErr w:type="gramEnd"/>
      <w:r>
        <w:rPr>
          <w:rFonts w:ascii="Palatino Linotype" w:eastAsia="Palatino Linotype" w:hAnsi="Palatino Linotype" w:cs="Palatino Linotype"/>
          <w:i/>
        </w:rPr>
        <w:t xml:space="preserve"> que hizo las contrataciones. 3. Con cu</w:t>
      </w:r>
      <w:r>
        <w:rPr>
          <w:rFonts w:ascii="Palatino Linotype" w:eastAsia="Palatino Linotype" w:hAnsi="Palatino Linotype" w:cs="Palatino Linotype"/>
          <w:i/>
        </w:rPr>
        <w:t>ántos vehículos cuenta la Secretaría (la lista de los mismos), cuántos de ellos son propios y cuántos están bajo el esquema de arrendamiento, para estos últimos, qué empresa o empresas son las que prestan el servicio del arrendamiento. 4. Se me informe sob</w:t>
      </w:r>
      <w:r>
        <w:rPr>
          <w:rFonts w:ascii="Palatino Linotype" w:eastAsia="Palatino Linotype" w:hAnsi="Palatino Linotype" w:cs="Palatino Linotype"/>
          <w:i/>
        </w:rPr>
        <w:t>re los equipos de cómputo, impresoras, multifuncionales, cuántos son propios y cuántos arrendados y sobre este último, qué empresa o empresas son las que prestan el servicio del arrendamiento. 5. Anexar el capítulo 4000 del presupuesto de ingresos y egreso</w:t>
      </w:r>
      <w:r>
        <w:rPr>
          <w:rFonts w:ascii="Palatino Linotype" w:eastAsia="Palatino Linotype" w:hAnsi="Palatino Linotype" w:cs="Palatino Linotype"/>
          <w:i/>
        </w:rPr>
        <w:t>s 2021, 2022 y 2023 de esta Secretaría.” (Sic)</w:t>
      </w:r>
    </w:p>
    <w:p w:rsidR="00CB0215" w:rsidRDefault="001E4858">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indicó lo siguiente: </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“SE ANEXA RESPUESTA EN FORMATO PDF, EN CASO DE PRESENTAR PROBLEMAS CON LA RECEPCIÓN DE LA MISMA, LE PEDIMOS SE COMUNIQUE A LA UNIDAD DE TRANSPARENCIA </w:t>
      </w:r>
      <w:r>
        <w:rPr>
          <w:rFonts w:ascii="Palatino Linotype" w:eastAsia="Palatino Linotype" w:hAnsi="Palatino Linotype" w:cs="Palatino Linotype"/>
          <w:i/>
        </w:rPr>
        <w:t>DE LA SECRETARÍA DE SEGURIDAD DEL ESTADO DE MÉXICO, AL TELÉFONO 722 2 79 62 00 EXT. 4158, DE LUNES A VIERNES, EN UN HORARIO DE 9:00 A 18:00 HRS” (Sic)</w:t>
      </w:r>
    </w:p>
    <w:p w:rsidR="00CB0215" w:rsidRDefault="00CB0215">
      <w:pPr>
        <w:spacing w:after="0" w:line="360" w:lineRule="auto"/>
        <w:ind w:left="567" w:right="616"/>
        <w:jc w:val="both"/>
        <w:rPr>
          <w:rFonts w:ascii="Palatino Linotype" w:eastAsia="Palatino Linotype" w:hAnsi="Palatino Linotype" w:cs="Palatino Linotype"/>
          <w:i/>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Adjunto a su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aportó el archivo electrónico denominado “</w:t>
      </w:r>
      <w:r>
        <w:rPr>
          <w:rFonts w:ascii="Palatino Linotype" w:eastAsia="Palatino Linotype" w:hAnsi="Palatino Linotype" w:cs="Palatino Linotype"/>
          <w:b/>
          <w:i/>
        </w:rPr>
        <w:t>Respuesta 487.pdf</w:t>
      </w:r>
      <w:r>
        <w:rPr>
          <w:rFonts w:ascii="Palatino Linotype" w:eastAsia="Palatino Linotype" w:hAnsi="Palatino Linotype" w:cs="Palatino Linotype"/>
        </w:rPr>
        <w:t>”,</w:t>
      </w:r>
      <w:r>
        <w:rPr>
          <w:rFonts w:ascii="Palatino Linotype" w:eastAsia="Palatino Linotype" w:hAnsi="Palatino Linotype" w:cs="Palatino Linotype"/>
        </w:rPr>
        <w:t xml:space="preserve"> que contiene la información siguiente:</w:t>
      </w:r>
    </w:p>
    <w:p w:rsidR="00CB0215" w:rsidRDefault="00CB0215">
      <w:pPr>
        <w:spacing w:after="0" w:line="360" w:lineRule="auto"/>
        <w:jc w:val="both"/>
        <w:rPr>
          <w:rFonts w:ascii="Palatino Linotype" w:eastAsia="Palatino Linotype" w:hAnsi="Palatino Linotype" w:cs="Palatino Linotype"/>
        </w:rPr>
      </w:pPr>
    </w:p>
    <w:p w:rsidR="00CB0215" w:rsidRDefault="001E4858">
      <w:pPr>
        <w:numPr>
          <w:ilvl w:val="0"/>
          <w:numId w:val="1"/>
        </w:numPr>
        <w:pBdr>
          <w:top w:val="nil"/>
          <w:left w:val="nil"/>
          <w:bottom w:val="nil"/>
          <w:right w:val="nil"/>
          <w:between w:val="nil"/>
        </w:pBdr>
        <w:spacing w:after="0" w:line="276" w:lineRule="auto"/>
        <w:ind w:right="-7"/>
        <w:jc w:val="both"/>
        <w:rPr>
          <w:color w:val="000000"/>
        </w:rPr>
      </w:pPr>
      <w:r>
        <w:rPr>
          <w:rFonts w:ascii="Palatino Linotype" w:eastAsia="Palatino Linotype" w:hAnsi="Palatino Linotype" w:cs="Palatino Linotype"/>
          <w:color w:val="000000"/>
        </w:rPr>
        <w:t>Oficio del veinticinco de agosto de dos mil veintitrés, a través del cual la Titular de la Unidad de Transparencia informa a la persona solicitante que, con relación a su solicitud de información, lo peticionado se requirió al Servidor Público Habilitado d</w:t>
      </w:r>
      <w:r>
        <w:rPr>
          <w:rFonts w:ascii="Palatino Linotype" w:eastAsia="Palatino Linotype" w:hAnsi="Palatino Linotype" w:cs="Palatino Linotype"/>
          <w:color w:val="000000"/>
        </w:rPr>
        <w:t>e Oficialía Mayor, quien mediante diverso oficio informó sobre cada punto de la solicitud lo siguiente:</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numeral 1, informó que la Secretaría de Seguridad cuenta con 22 inmuebles arrendados en el año 2023, y que sobre la lista de arrendatarios co</w:t>
      </w:r>
      <w:r>
        <w:rPr>
          <w:rFonts w:ascii="Palatino Linotype" w:eastAsia="Palatino Linotype" w:hAnsi="Palatino Linotype" w:cs="Palatino Linotype"/>
          <w:color w:val="000000"/>
        </w:rPr>
        <w:t xml:space="preserve">rresponde a la Dirección de Recursos Materiales de la Secretaría de Finanzas dicha información, </w:t>
      </w:r>
      <w:r>
        <w:rPr>
          <w:rFonts w:ascii="Palatino Linotype" w:eastAsia="Palatino Linotype" w:hAnsi="Palatino Linotype" w:cs="Palatino Linotype"/>
          <w:color w:val="000000"/>
        </w:rPr>
        <w:lastRenderedPageBreak/>
        <w:t>sugiriendo se requiera la información a esta última, señalando para tal efecto el domicilio de su Módulo de Información Pública.</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numeral 2, informó q</w:t>
      </w:r>
      <w:r>
        <w:rPr>
          <w:rFonts w:ascii="Palatino Linotype" w:eastAsia="Palatino Linotype" w:hAnsi="Palatino Linotype" w:cs="Palatino Linotype"/>
          <w:color w:val="000000"/>
        </w:rPr>
        <w:t>ue dicho ente público no contaba con contratos de personal vía sistema de subcontratación conocido como Outsourcing.</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numeral 3, informó que al once de agosto de dos mil veintitrés se tenía un total de 2,895 vehículos, de los cuales 2,512 eran pr</w:t>
      </w:r>
      <w:r>
        <w:rPr>
          <w:rFonts w:ascii="Palatino Linotype" w:eastAsia="Palatino Linotype" w:hAnsi="Palatino Linotype" w:cs="Palatino Linotype"/>
          <w:color w:val="000000"/>
        </w:rPr>
        <w:t>opios y 383 arrendadas, siendo la empresa Integra Arrenda, S.A. de C.V. SOFOM E.N.R. la prestadora del servicio.</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numeral 4, indicó que al once de agosto de dos mil veintitrés se contaba con 3,657 equipos de cómputo, 589 impresoras y 98 multifunc</w:t>
      </w:r>
      <w:r>
        <w:rPr>
          <w:rFonts w:ascii="Palatino Linotype" w:eastAsia="Palatino Linotype" w:hAnsi="Palatino Linotype" w:cs="Palatino Linotype"/>
          <w:color w:val="000000"/>
        </w:rPr>
        <w:t>ionales, los cuales son propiedad del Gobierno del Estado de México.</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se informó que se tienen 3,197 equipos de cómputo bajo la modalidad de arrendamiento, con la empresa ALTUM TECNOLOGIC, S.A. de C.V.  </w:t>
      </w:r>
      <w:proofErr w:type="gramStart"/>
      <w:r>
        <w:rPr>
          <w:rFonts w:ascii="Palatino Linotype" w:eastAsia="Palatino Linotype" w:hAnsi="Palatino Linotype" w:cs="Palatino Linotype"/>
          <w:color w:val="000000"/>
        </w:rPr>
        <w:t>en</w:t>
      </w:r>
      <w:proofErr w:type="gramEnd"/>
      <w:r>
        <w:rPr>
          <w:rFonts w:ascii="Palatino Linotype" w:eastAsia="Palatino Linotype" w:hAnsi="Palatino Linotype" w:cs="Palatino Linotype"/>
          <w:color w:val="000000"/>
        </w:rPr>
        <w:t xml:space="preserve"> propuesta conjunta con Comercializadora </w:t>
      </w:r>
      <w:r>
        <w:rPr>
          <w:rFonts w:ascii="Palatino Linotype" w:eastAsia="Palatino Linotype" w:hAnsi="Palatino Linotype" w:cs="Palatino Linotype"/>
          <w:color w:val="000000"/>
        </w:rPr>
        <w:t>de Valor Agregado S.A. de C.V. y ALUXEN LUMINI S.A. de C.V.</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-Sobre el numeral 5, se proporcionaron las ligas electrónicas de la Secretaría de Finanzas donde se podía localizar la información:</w:t>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extent cx="5263974" cy="1497181"/>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63974" cy="1497181"/>
                    </a:xfrm>
                    <a:prstGeom prst="rect">
                      <a:avLst/>
                    </a:prstGeom>
                    <a:ln/>
                  </pic:spPr>
                </pic:pic>
              </a:graphicData>
            </a:graphic>
          </wp:inline>
        </w:drawing>
      </w:r>
    </w:p>
    <w:p w:rsidR="00CB0215" w:rsidRDefault="00CB0215">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76" w:lineRule="auto"/>
        <w:ind w:left="360"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igual forma, se indicó que respecto al capítulo 4000 del presupuesto de ingresos 2021, 2022 y 2023 de esa Secretaría de Seguridad, conforme lo dispuesto por el artículo 24, fracción II de la Ley Orgánica de la Administración Pública del Estado de México</w:t>
      </w:r>
      <w:r>
        <w:rPr>
          <w:rFonts w:ascii="Palatino Linotype" w:eastAsia="Palatino Linotype" w:hAnsi="Palatino Linotype" w:cs="Palatino Linotype"/>
          <w:color w:val="000000"/>
        </w:rPr>
        <w:t>, es la Secretaría de Finanzas la dependencia encargada de recaudar los impuestos, derechos, aportaciones de mejoras, productos y aprovechamientos que correspondan al Estado, y por tanto, no se contaba con la información referente a los ingresos de la soli</w:t>
      </w:r>
      <w:r>
        <w:rPr>
          <w:rFonts w:ascii="Palatino Linotype" w:eastAsia="Palatino Linotype" w:hAnsi="Palatino Linotype" w:cs="Palatino Linotype"/>
          <w:color w:val="000000"/>
        </w:rPr>
        <w:t>citud, sugiriendo dirigir dicha petición al Módulo de Información Pública de la Secretaría de Finanzas.</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360" w:lineRule="auto"/>
        <w:jc w:val="both"/>
        <w:rPr>
          <w:rFonts w:ascii="Palatino Linotype" w:eastAsia="Palatino Linotype" w:hAnsi="Palatino Linotype" w:cs="Palatino Linotype"/>
          <w:smallCaps/>
        </w:rPr>
      </w:pP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inconformó, expresando en el medio de impugnación las siguientes consideraciones</w:t>
      </w:r>
      <w:r>
        <w:rPr>
          <w:rFonts w:ascii="Palatino Linotype" w:eastAsia="Palatino Linotype" w:hAnsi="Palatino Linotype" w:cs="Palatino Linotype"/>
          <w:smallCaps/>
        </w:rPr>
        <w:t xml:space="preserve">: </w:t>
      </w:r>
    </w:p>
    <w:p w:rsidR="00CB0215" w:rsidRDefault="001E4858">
      <w:pPr>
        <w:tabs>
          <w:tab w:val="left" w:pos="2745"/>
        </w:tabs>
        <w:spacing w:before="240" w:after="240" w:line="360" w:lineRule="auto"/>
        <w:ind w:left="567" w:right="900"/>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 Acto impugnad</w:t>
      </w:r>
      <w:r>
        <w:rPr>
          <w:rFonts w:ascii="Palatino Linotype" w:eastAsia="Palatino Linotype" w:hAnsi="Palatino Linotype" w:cs="Palatino Linotype"/>
          <w:b/>
          <w:sz w:val="24"/>
          <w:szCs w:val="24"/>
        </w:rPr>
        <w:t xml:space="preserve">o: </w:t>
      </w:r>
    </w:p>
    <w:p w:rsidR="00CB0215" w:rsidRDefault="001E4858">
      <w:pPr>
        <w:tabs>
          <w:tab w:val="left" w:pos="2745"/>
        </w:tabs>
        <w:spacing w:before="240" w:after="240" w:line="24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“La respuesta a la solicitud de información con Folio: 00487/SSEM/IP/2023” (Sic)</w:t>
      </w:r>
    </w:p>
    <w:p w:rsidR="00CB0215" w:rsidRDefault="001E4858">
      <w:pPr>
        <w:spacing w:after="0" w:line="360" w:lineRule="auto"/>
        <w:ind w:left="567" w:right="900"/>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b) Razones o motivos de inconformidad</w:t>
      </w:r>
      <w:r>
        <w:rPr>
          <w:rFonts w:ascii="Palatino Linotype" w:eastAsia="Palatino Linotype" w:hAnsi="Palatino Linotype" w:cs="Palatino Linotype"/>
          <w:sz w:val="24"/>
          <w:szCs w:val="24"/>
        </w:rPr>
        <w:t xml:space="preserve">: </w:t>
      </w:r>
    </w:p>
    <w:p w:rsidR="00CB0215" w:rsidRDefault="001E4858">
      <w:pPr>
        <w:tabs>
          <w:tab w:val="left" w:pos="2745"/>
        </w:tabs>
        <w:spacing w:before="240" w:after="240" w:line="240"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“La respuesta que me fue enviada de parte de la Secretaría de Seguridad, no cumple con lo que estipulado en el artículo 222, fracción X. de la Ley de Transparencia y Acceso a la Información Pública del Estado de México y Municipios. </w:t>
      </w:r>
      <w:proofErr w:type="gramStart"/>
      <w:r>
        <w:rPr>
          <w:rFonts w:ascii="Palatino Linotype" w:eastAsia="Palatino Linotype" w:hAnsi="Palatino Linotype" w:cs="Palatino Linotype"/>
          <w:i/>
        </w:rPr>
        <w:t>toda</w:t>
      </w:r>
      <w:proofErr w:type="gramEnd"/>
      <w:r>
        <w:rPr>
          <w:rFonts w:ascii="Palatino Linotype" w:eastAsia="Palatino Linotype" w:hAnsi="Palatino Linotype" w:cs="Palatino Linotype"/>
          <w:i/>
        </w:rPr>
        <w:t xml:space="preserve"> vez que considero </w:t>
      </w:r>
      <w:r>
        <w:rPr>
          <w:rFonts w:ascii="Palatino Linotype" w:eastAsia="Palatino Linotype" w:hAnsi="Palatino Linotype" w:cs="Palatino Linotype"/>
          <w:i/>
        </w:rPr>
        <w:t>que la información fue entregada de manera incompleta, pues hacen falta la lista de arrendatarios de inmuebles de la Secretaría argumentando que le corresponde a Finanzas, sin embargo, esta información debe obrar dentro de la información con la que cuentan</w:t>
      </w:r>
      <w:r>
        <w:rPr>
          <w:rFonts w:ascii="Palatino Linotype" w:eastAsia="Palatino Linotype" w:hAnsi="Palatino Linotype" w:cs="Palatino Linotype"/>
          <w:i/>
        </w:rPr>
        <w:t>. En el caso del punto en el que se solicita la lista de vehículos propios y arrendados, no se entrega sin justificación alguna. Y en la solicitud donde se refiere la parte del capítulo 4000, se remiten ligas para consulta, sin embargo, la información soli</w:t>
      </w:r>
      <w:r>
        <w:rPr>
          <w:rFonts w:ascii="Palatino Linotype" w:eastAsia="Palatino Linotype" w:hAnsi="Palatino Linotype" w:cs="Palatino Linotype"/>
          <w:i/>
        </w:rPr>
        <w:t>citada fue de manera puntual sobre diversos aspectos y al parecer, no se dieron el tiempo de buscar la información específica y enviarla como se pidió, trasgrediendo así mi derecho al acceso a la información pública que esta dependencia debe poner a dispos</w:t>
      </w:r>
      <w:r>
        <w:rPr>
          <w:rFonts w:ascii="Palatino Linotype" w:eastAsia="Palatino Linotype" w:hAnsi="Palatino Linotype" w:cs="Palatino Linotype"/>
          <w:i/>
        </w:rPr>
        <w:t>ición de la ciudadanía de manera clara y puntual.” (Sic)</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recurso de revisión, se puso a disposición de las partes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 y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presentara sus manifestaciones o aleg</w:t>
      </w:r>
      <w:r>
        <w:rPr>
          <w:rFonts w:ascii="Palatino Linotype" w:eastAsia="Palatino Linotype" w:hAnsi="Palatino Linotype" w:cs="Palatino Linotype"/>
        </w:rPr>
        <w:t>atos.</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 motivo del medio de impugnación que nos ocupa, rindió su informe justificado, a través de los archivos electrónicos que contienen la información siguiente:</w:t>
      </w:r>
    </w:p>
    <w:p w:rsidR="00CB0215" w:rsidRDefault="001E4858">
      <w:pPr>
        <w:numPr>
          <w:ilvl w:val="0"/>
          <w:numId w:val="2"/>
        </w:numPr>
        <w:pBdr>
          <w:top w:val="nil"/>
          <w:left w:val="nil"/>
          <w:bottom w:val="nil"/>
          <w:right w:val="nil"/>
          <w:between w:val="nil"/>
        </w:pBdr>
        <w:spacing w:after="0" w:line="259" w:lineRule="auto"/>
        <w:jc w:val="both"/>
        <w:rPr>
          <w:b/>
          <w:color w:val="000000"/>
        </w:rPr>
      </w:pPr>
      <w:r>
        <w:rPr>
          <w:rFonts w:ascii="Palatino Linotype" w:eastAsia="Palatino Linotype" w:hAnsi="Palatino Linotype" w:cs="Palatino Linotype"/>
          <w:b/>
          <w:i/>
          <w:color w:val="000000"/>
        </w:rPr>
        <w:t>“Informe justificado RR-5464.pdf”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Oficio número 20600007000000S/UIPPE/1481/2023 del diecinueve de septiembre de dos mil veintitrés, a través del cual la Jefa de la UIPPE y Titular de la Unidad de Transparencia rindió informe justificado, señalando que con relación al acto impugnado así com</w:t>
      </w:r>
      <w:r>
        <w:rPr>
          <w:rFonts w:ascii="Palatino Linotype" w:eastAsia="Palatino Linotype" w:hAnsi="Palatino Linotype" w:cs="Palatino Linotype"/>
          <w:color w:val="000000"/>
        </w:rPr>
        <w:t>o las razones o motivos de inconformidad hechas valer en el recurso de revisión, se ampliaba y fortalecía la respuesta otorgada inicialmente; y, en tal virtud, se indicó que se volvió a requerir lo peticionado al servidor público habilitado de la Oficialía</w:t>
      </w:r>
      <w:r>
        <w:rPr>
          <w:rFonts w:ascii="Palatino Linotype" w:eastAsia="Palatino Linotype" w:hAnsi="Palatino Linotype" w:cs="Palatino Linotype"/>
          <w:color w:val="000000"/>
        </w:rPr>
        <w:t xml:space="preserve"> Mayor obteniendo lo siguiente:</w:t>
      </w:r>
    </w:p>
    <w:p w:rsidR="00CB0215" w:rsidRDefault="00CB0215">
      <w:pPr>
        <w:pBdr>
          <w:top w:val="nil"/>
          <w:left w:val="nil"/>
          <w:bottom w:val="nil"/>
          <w:right w:val="nil"/>
          <w:between w:val="nil"/>
        </w:pBdr>
        <w:spacing w:after="0" w:line="259" w:lineRule="auto"/>
        <w:ind w:left="360"/>
        <w:jc w:val="both"/>
        <w:rPr>
          <w:rFonts w:ascii="Palatino Linotype" w:eastAsia="Palatino Linotype" w:hAnsi="Palatino Linotype" w:cs="Palatino Linotype"/>
          <w:b/>
          <w:i/>
          <w:color w:val="000000"/>
        </w:rPr>
      </w:pPr>
    </w:p>
    <w:p w:rsidR="00CB0215" w:rsidRDefault="001E4858">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Sobre los inmuebles que la Secretaría de Seguridad tiene arrendados, se indicó que se adjuntaba el listado que contiene el nombre del arrendador y la ubicación de los mismos.</w:t>
      </w:r>
    </w:p>
    <w:p w:rsidR="00CB0215" w:rsidRDefault="00CB0215">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lo relativo al listado de vehículos, se informaba que únicamente se informaron las cifras en razón de que el listado de mérito se encuentra clasificado como información reservada por tratarse del Estado de Fuerza con que cuenta la Secretaría, en atenci</w:t>
      </w:r>
      <w:r>
        <w:rPr>
          <w:rFonts w:ascii="Palatino Linotype" w:eastAsia="Palatino Linotype" w:hAnsi="Palatino Linotype" w:cs="Palatino Linotype"/>
          <w:color w:val="000000"/>
        </w:rPr>
        <w:t xml:space="preserve">ón al acuerdo SS/CT/EXT/IX/001/2022, celebrado en la Novena Sesión Extraordinaria del Comité de Transparencia de la Secretaría de Seguridad, en términos de los artículos 4, 106, fracción I y 113 fracciones I y V de la Ley General de Transparencia y Acceso </w:t>
      </w:r>
      <w:r>
        <w:rPr>
          <w:rFonts w:ascii="Palatino Linotype" w:eastAsia="Palatino Linotype" w:hAnsi="Palatino Linotype" w:cs="Palatino Linotype"/>
          <w:color w:val="000000"/>
        </w:rPr>
        <w:t xml:space="preserve">a la Información Pública; 140, fracciones I y IV de la Ley de Transparencia y Acceso a la Información Pública del Estado de México y Municipios, Y, 81 Fracción II de la Ley de Seguridad del Estado de México, y, Numerales, Séptimo Fracción I, Décimo Octavo </w:t>
      </w:r>
      <w:r>
        <w:rPr>
          <w:rFonts w:ascii="Palatino Linotype" w:eastAsia="Palatino Linotype" w:hAnsi="Palatino Linotype" w:cs="Palatino Linotype"/>
          <w:color w:val="000000"/>
        </w:rPr>
        <w:t xml:space="preserve">y </w:t>
      </w:r>
      <w:r>
        <w:rPr>
          <w:rFonts w:ascii="Palatino Linotype" w:eastAsia="Palatino Linotype" w:hAnsi="Palatino Linotype" w:cs="Palatino Linotype"/>
          <w:color w:val="000000"/>
        </w:rPr>
        <w:lastRenderedPageBreak/>
        <w:t>Vigésimo Tercero de los Lineamientos Generales en materia de Clasificación y Desclasificación de la Información, así como para la Elaboración de Versiones Publicas.</w:t>
      </w:r>
    </w:p>
    <w:p w:rsidR="00CB0215" w:rsidRDefault="00CB0215">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sobre el capítulo 4000 relativo al presupuesto de ingresos y egresos 2021, </w:t>
      </w:r>
      <w:r>
        <w:rPr>
          <w:rFonts w:ascii="Palatino Linotype" w:eastAsia="Palatino Linotype" w:hAnsi="Palatino Linotype" w:cs="Palatino Linotype"/>
          <w:color w:val="000000"/>
        </w:rPr>
        <w:t xml:space="preserve">2022 y 2023 de la Secretaría, indica que se le proporcionaron al ahora recurrente los links electrónicos, con el objeto de consultar de manera directa su contenido; no obstante, se indica que de nueva cuenta se ponen a la vista los links de consulta y las </w:t>
      </w:r>
      <w:r>
        <w:rPr>
          <w:rFonts w:ascii="Palatino Linotype" w:eastAsia="Palatino Linotype" w:hAnsi="Palatino Linotype" w:cs="Palatino Linotype"/>
          <w:color w:val="000000"/>
        </w:rPr>
        <w:t>capturas de pantalla de la información que se encuentra disponible en los mismos:</w:t>
      </w:r>
    </w:p>
    <w:p w:rsidR="00CB0215" w:rsidRDefault="00CB0215">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p>
    <w:p w:rsidR="00CB0215" w:rsidRDefault="001E4858">
      <w:pPr>
        <w:pBdr>
          <w:top w:val="nil"/>
          <w:left w:val="nil"/>
          <w:bottom w:val="nil"/>
          <w:right w:val="nil"/>
          <w:between w:val="nil"/>
        </w:pBdr>
        <w:spacing w:after="0" w:line="259"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extent cx="5610225" cy="1775012"/>
            <wp:effectExtent l="0" t="0" r="0" b="0"/>
            <wp:docPr id="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48973" cy="1787271"/>
                    </a:xfrm>
                    <a:prstGeom prst="rect">
                      <a:avLst/>
                    </a:prstGeom>
                    <a:ln/>
                  </pic:spPr>
                </pic:pic>
              </a:graphicData>
            </a:graphic>
          </wp:inline>
        </w:drawing>
      </w:r>
    </w:p>
    <w:p w:rsidR="00CB0215" w:rsidRDefault="001E4858">
      <w:pPr>
        <w:pBdr>
          <w:top w:val="nil"/>
          <w:left w:val="nil"/>
          <w:bottom w:val="nil"/>
          <w:right w:val="nil"/>
          <w:between w:val="nil"/>
        </w:pBdr>
        <w:spacing w:after="0" w:line="259" w:lineRule="auto"/>
        <w:ind w:left="36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w:t>
      </w:r>
    </w:p>
    <w:p w:rsidR="00CB0215" w:rsidRDefault="001E4858">
      <w:pPr>
        <w:pBdr>
          <w:top w:val="nil"/>
          <w:left w:val="nil"/>
          <w:bottom w:val="nil"/>
          <w:right w:val="nil"/>
          <w:between w:val="nil"/>
        </w:pBdr>
        <w:spacing w:after="0" w:line="259" w:lineRule="auto"/>
        <w:ind w:left="360"/>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Respecto del Ejercicio 2021:</w:t>
      </w:r>
    </w:p>
    <w:p w:rsidR="00CB0215" w:rsidRDefault="001E4858">
      <w:pPr>
        <w:pBdr>
          <w:top w:val="nil"/>
          <w:left w:val="nil"/>
          <w:bottom w:val="nil"/>
          <w:right w:val="nil"/>
          <w:between w:val="nil"/>
        </w:pBdr>
        <w:spacing w:after="0" w:line="259" w:lineRule="auto"/>
        <w:ind w:left="360"/>
        <w:jc w:val="center"/>
        <w:rPr>
          <w:color w:val="000000"/>
        </w:rPr>
      </w:pPr>
      <w:r>
        <w:rPr>
          <w:rFonts w:ascii="Palatino Linotype" w:eastAsia="Palatino Linotype" w:hAnsi="Palatino Linotype" w:cs="Palatino Linotype"/>
          <w:b/>
          <w:noProof/>
          <w:color w:val="000000"/>
        </w:rPr>
        <w:drawing>
          <wp:inline distT="0" distB="0" distL="0" distR="0">
            <wp:extent cx="2151529" cy="2398395"/>
            <wp:effectExtent l="19050" t="19050" r="20320" b="20955"/>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52900" cy="2399923"/>
                    </a:xfrm>
                    <a:prstGeom prst="rect">
                      <a:avLst/>
                    </a:prstGeom>
                    <a:ln w="3175">
                      <a:solidFill>
                        <a:srgbClr val="000000"/>
                      </a:solidFill>
                      <a:prstDash val="solid"/>
                    </a:ln>
                  </pic:spPr>
                </pic:pic>
              </a:graphicData>
            </a:graphic>
          </wp:inline>
        </w:drawing>
      </w:r>
      <w:r>
        <w:rPr>
          <w:color w:val="000000"/>
        </w:rPr>
        <w:t xml:space="preserve"> </w:t>
      </w:r>
      <w:r>
        <w:rPr>
          <w:rFonts w:ascii="Palatino Linotype" w:eastAsia="Palatino Linotype" w:hAnsi="Palatino Linotype" w:cs="Palatino Linotype"/>
          <w:b/>
          <w:noProof/>
          <w:color w:val="000000"/>
        </w:rPr>
        <w:drawing>
          <wp:inline distT="0" distB="0" distL="0" distR="0">
            <wp:extent cx="2720975" cy="2377006"/>
            <wp:effectExtent l="19050" t="19050" r="22225" b="23495"/>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864" r="9524"/>
                    <a:stretch>
                      <a:fillRect/>
                    </a:stretch>
                  </pic:blipFill>
                  <pic:spPr>
                    <a:xfrm>
                      <a:off x="0" y="0"/>
                      <a:ext cx="2742209" cy="2395556"/>
                    </a:xfrm>
                    <a:prstGeom prst="rect">
                      <a:avLst/>
                    </a:prstGeom>
                    <a:ln w="3175">
                      <a:solidFill>
                        <a:srgbClr val="000000"/>
                      </a:solidFill>
                      <a:prstDash val="solid"/>
                    </a:ln>
                  </pic:spPr>
                </pic:pic>
              </a:graphicData>
            </a:graphic>
          </wp:inline>
        </w:drawing>
      </w:r>
    </w:p>
    <w:p w:rsidR="00CB0215" w:rsidRDefault="00CB0215">
      <w:pPr>
        <w:pBdr>
          <w:top w:val="nil"/>
          <w:left w:val="nil"/>
          <w:bottom w:val="nil"/>
          <w:right w:val="nil"/>
          <w:between w:val="nil"/>
        </w:pBdr>
        <w:spacing w:after="0" w:line="259" w:lineRule="auto"/>
        <w:ind w:left="360"/>
        <w:jc w:val="center"/>
        <w:rPr>
          <w:color w:val="000000"/>
        </w:rPr>
      </w:pPr>
    </w:p>
    <w:p w:rsidR="00CB0215" w:rsidRDefault="001E4858">
      <w:pPr>
        <w:pBdr>
          <w:top w:val="nil"/>
          <w:left w:val="nil"/>
          <w:bottom w:val="nil"/>
          <w:right w:val="nil"/>
          <w:between w:val="nil"/>
        </w:pBdr>
        <w:spacing w:after="0" w:line="259" w:lineRule="auto"/>
        <w:ind w:left="360"/>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lastRenderedPageBreak/>
        <w:t>Respecto del Ejercicio 2022:</w:t>
      </w:r>
    </w:p>
    <w:p w:rsidR="00CB0215" w:rsidRDefault="00CB0215">
      <w:pPr>
        <w:pBdr>
          <w:top w:val="nil"/>
          <w:left w:val="nil"/>
          <w:bottom w:val="nil"/>
          <w:right w:val="nil"/>
          <w:between w:val="nil"/>
        </w:pBdr>
        <w:spacing w:after="0" w:line="259" w:lineRule="auto"/>
        <w:ind w:left="360"/>
        <w:rPr>
          <w:rFonts w:ascii="Palatino Linotype" w:eastAsia="Palatino Linotype" w:hAnsi="Palatino Linotype" w:cs="Palatino Linotype"/>
          <w:b/>
          <w:color w:val="000000"/>
        </w:rPr>
      </w:pPr>
    </w:p>
    <w:p w:rsidR="00CB0215" w:rsidRDefault="001E4858">
      <w:pPr>
        <w:pBdr>
          <w:top w:val="nil"/>
          <w:left w:val="nil"/>
          <w:bottom w:val="nil"/>
          <w:right w:val="nil"/>
          <w:between w:val="nil"/>
        </w:pBdr>
        <w:spacing w:after="0" w:line="259" w:lineRule="auto"/>
        <w:ind w:left="360"/>
        <w:rPr>
          <w:color w:val="000000"/>
        </w:rPr>
      </w:pPr>
      <w:r>
        <w:rPr>
          <w:rFonts w:ascii="Palatino Linotype" w:eastAsia="Palatino Linotype" w:hAnsi="Palatino Linotype" w:cs="Palatino Linotype"/>
          <w:b/>
          <w:noProof/>
          <w:color w:val="000000"/>
        </w:rPr>
        <w:drawing>
          <wp:inline distT="0" distB="0" distL="0" distR="0">
            <wp:extent cx="2665003" cy="2752091"/>
            <wp:effectExtent l="3175" t="3175" r="3175" b="3175"/>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65003" cy="2752091"/>
                    </a:xfrm>
                    <a:prstGeom prst="rect">
                      <a:avLst/>
                    </a:prstGeom>
                    <a:ln w="3175">
                      <a:solidFill>
                        <a:srgbClr val="000000"/>
                      </a:solidFill>
                      <a:prstDash val="solid"/>
                    </a:ln>
                  </pic:spPr>
                </pic:pic>
              </a:graphicData>
            </a:graphic>
          </wp:inline>
        </w:drawing>
      </w:r>
      <w:r>
        <w:rPr>
          <w:color w:val="000000"/>
        </w:rPr>
        <w:t xml:space="preserve"> </w:t>
      </w:r>
      <w:r>
        <w:rPr>
          <w:rFonts w:ascii="Palatino Linotype" w:eastAsia="Palatino Linotype" w:hAnsi="Palatino Linotype" w:cs="Palatino Linotype"/>
          <w:b/>
          <w:noProof/>
          <w:color w:val="000000"/>
        </w:rPr>
        <w:drawing>
          <wp:inline distT="0" distB="0" distL="0" distR="0">
            <wp:extent cx="2563492" cy="2737678"/>
            <wp:effectExtent l="3175" t="3175" r="3175" b="3175"/>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63492" cy="2737678"/>
                    </a:xfrm>
                    <a:prstGeom prst="rect">
                      <a:avLst/>
                    </a:prstGeom>
                    <a:ln w="3175">
                      <a:solidFill>
                        <a:srgbClr val="000000"/>
                      </a:solidFill>
                      <a:prstDash val="solid"/>
                    </a:ln>
                  </pic:spPr>
                </pic:pic>
              </a:graphicData>
            </a:graphic>
          </wp:inline>
        </w:drawing>
      </w:r>
    </w:p>
    <w:p w:rsidR="00CB0215" w:rsidRDefault="001E4858">
      <w:pPr>
        <w:pBdr>
          <w:top w:val="nil"/>
          <w:left w:val="nil"/>
          <w:bottom w:val="nil"/>
          <w:right w:val="nil"/>
          <w:between w:val="nil"/>
        </w:pBdr>
        <w:spacing w:after="0" w:line="259" w:lineRule="auto"/>
        <w:ind w:left="360"/>
        <w:jc w:val="center"/>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rPr>
        <w:drawing>
          <wp:inline distT="0" distB="0" distL="0" distR="0">
            <wp:extent cx="4143953" cy="3439005"/>
            <wp:effectExtent l="3175" t="3175" r="3175" b="3175"/>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43953" cy="3439005"/>
                    </a:xfrm>
                    <a:prstGeom prst="rect">
                      <a:avLst/>
                    </a:prstGeom>
                    <a:ln w="3175">
                      <a:solidFill>
                        <a:srgbClr val="000000"/>
                      </a:solidFill>
                      <a:prstDash val="solid"/>
                    </a:ln>
                  </pic:spPr>
                </pic:pic>
              </a:graphicData>
            </a:graphic>
          </wp:inline>
        </w:drawing>
      </w:r>
    </w:p>
    <w:p w:rsidR="00CB0215" w:rsidRDefault="00CB0215">
      <w:pPr>
        <w:pBdr>
          <w:top w:val="nil"/>
          <w:left w:val="nil"/>
          <w:bottom w:val="nil"/>
          <w:right w:val="nil"/>
          <w:between w:val="nil"/>
        </w:pBdr>
        <w:spacing w:after="0" w:line="259" w:lineRule="auto"/>
        <w:ind w:left="360"/>
        <w:rPr>
          <w:rFonts w:ascii="Palatino Linotype" w:eastAsia="Palatino Linotype" w:hAnsi="Palatino Linotype" w:cs="Palatino Linotype"/>
          <w:b/>
          <w:color w:val="000000"/>
          <w:u w:val="single"/>
        </w:rPr>
      </w:pPr>
    </w:p>
    <w:p w:rsidR="00CB0215" w:rsidRDefault="001E4858">
      <w:pPr>
        <w:pBdr>
          <w:top w:val="nil"/>
          <w:left w:val="nil"/>
          <w:bottom w:val="nil"/>
          <w:right w:val="nil"/>
          <w:between w:val="nil"/>
        </w:pBdr>
        <w:spacing w:after="0" w:line="259" w:lineRule="auto"/>
        <w:ind w:left="360"/>
        <w:rPr>
          <w:rFonts w:ascii="Palatino Linotype" w:eastAsia="Palatino Linotype" w:hAnsi="Palatino Linotype" w:cs="Palatino Linotype"/>
          <w:b/>
          <w:color w:val="000000"/>
        </w:rPr>
      </w:pPr>
      <w:r>
        <w:rPr>
          <w:rFonts w:ascii="Palatino Linotype" w:eastAsia="Palatino Linotype" w:hAnsi="Palatino Linotype" w:cs="Palatino Linotype"/>
          <w:b/>
          <w:color w:val="000000"/>
          <w:u w:val="single"/>
        </w:rPr>
        <w:t>Respecto del Ejercicio 2023:</w:t>
      </w:r>
    </w:p>
    <w:p w:rsidR="00CB0215" w:rsidRDefault="001E4858">
      <w:pPr>
        <w:pBdr>
          <w:top w:val="nil"/>
          <w:left w:val="nil"/>
          <w:bottom w:val="nil"/>
          <w:right w:val="nil"/>
          <w:between w:val="nil"/>
        </w:pBdr>
        <w:spacing w:after="0" w:line="259" w:lineRule="auto"/>
        <w:ind w:left="360"/>
        <w:jc w:val="center"/>
        <w:rPr>
          <w:rFonts w:ascii="Palatino Linotype" w:eastAsia="Palatino Linotype" w:hAnsi="Palatino Linotype" w:cs="Palatino Linotype"/>
          <w:color w:val="000000"/>
        </w:rPr>
      </w:pPr>
      <w:r>
        <w:rPr>
          <w:rFonts w:ascii="Palatino Linotype" w:eastAsia="Palatino Linotype" w:hAnsi="Palatino Linotype" w:cs="Palatino Linotype"/>
          <w:b/>
          <w:noProof/>
          <w:color w:val="000000"/>
        </w:rPr>
        <w:drawing>
          <wp:inline distT="0" distB="0" distL="0" distR="0">
            <wp:extent cx="2650963" cy="2467281"/>
            <wp:effectExtent l="3175" t="3175" r="3175" b="3175"/>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650963" cy="2467281"/>
                    </a:xfrm>
                    <a:prstGeom prst="rect">
                      <a:avLst/>
                    </a:prstGeom>
                    <a:ln w="3175">
                      <a:solidFill>
                        <a:srgbClr val="000000"/>
                      </a:solidFill>
                      <a:prstDash val="solid"/>
                    </a:ln>
                  </pic:spPr>
                </pic:pic>
              </a:graphicData>
            </a:graphic>
          </wp:inline>
        </w:drawing>
      </w:r>
      <w:r>
        <w:rPr>
          <w:rFonts w:ascii="Palatino Linotype" w:eastAsia="Palatino Linotype" w:hAnsi="Palatino Linotype" w:cs="Palatino Linotype"/>
          <w:b/>
          <w:noProof/>
          <w:color w:val="000000"/>
        </w:rPr>
        <w:drawing>
          <wp:inline distT="0" distB="0" distL="0" distR="0">
            <wp:extent cx="2686433" cy="2448274"/>
            <wp:effectExtent l="3175" t="3175" r="3175" b="3175"/>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686433" cy="2448274"/>
                    </a:xfrm>
                    <a:prstGeom prst="rect">
                      <a:avLst/>
                    </a:prstGeom>
                    <a:ln w="3175">
                      <a:solidFill>
                        <a:srgbClr val="000000"/>
                      </a:solidFill>
                      <a:prstDash val="solid"/>
                    </a:ln>
                  </pic:spPr>
                </pic:pic>
              </a:graphicData>
            </a:graphic>
          </wp:inline>
        </w:drawing>
      </w:r>
    </w:p>
    <w:p w:rsidR="00CB0215" w:rsidRDefault="00CB0215">
      <w:pPr>
        <w:pBdr>
          <w:top w:val="nil"/>
          <w:left w:val="nil"/>
          <w:bottom w:val="nil"/>
          <w:right w:val="nil"/>
          <w:between w:val="nil"/>
        </w:pBdr>
        <w:spacing w:after="0" w:line="259" w:lineRule="auto"/>
        <w:ind w:left="360"/>
        <w:jc w:val="center"/>
        <w:rPr>
          <w:rFonts w:ascii="Palatino Linotype" w:eastAsia="Palatino Linotype" w:hAnsi="Palatino Linotype" w:cs="Palatino Linotype"/>
          <w:color w:val="000000"/>
        </w:rPr>
      </w:pPr>
    </w:p>
    <w:p w:rsidR="00CB0215" w:rsidRDefault="001E4858">
      <w:pPr>
        <w:numPr>
          <w:ilvl w:val="0"/>
          <w:numId w:val="2"/>
        </w:numPr>
        <w:pBdr>
          <w:top w:val="nil"/>
          <w:left w:val="nil"/>
          <w:bottom w:val="nil"/>
          <w:right w:val="nil"/>
          <w:between w:val="nil"/>
        </w:pBdr>
        <w:spacing w:after="0" w:line="259" w:lineRule="auto"/>
        <w:jc w:val="both"/>
        <w:rPr>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ANEXO RR-5464.pdf</w:t>
      </w:r>
      <w:r>
        <w:rPr>
          <w:rFonts w:ascii="Palatino Linotype" w:eastAsia="Palatino Linotype" w:hAnsi="Palatino Linotype" w:cs="Palatino Linotype"/>
          <w:color w:val="000000"/>
        </w:rPr>
        <w:t>”: Listado que contiene el nombre del arrendador, la ubicación de los 22 inmuebles que tiene arrendados la Secretaría de Seguridad y el monto con impuesto al valor agregado que se paga por concepto de renta.</w:t>
      </w:r>
    </w:p>
    <w:p w:rsidR="00CB0215" w:rsidRDefault="00CB0215">
      <w:pPr>
        <w:pBdr>
          <w:top w:val="nil"/>
          <w:left w:val="nil"/>
          <w:bottom w:val="nil"/>
          <w:right w:val="nil"/>
          <w:between w:val="nil"/>
        </w:pBdr>
        <w:spacing w:after="0" w:line="259" w:lineRule="auto"/>
        <w:ind w:left="360"/>
        <w:jc w:val="both"/>
        <w:rPr>
          <w:color w:val="000000"/>
        </w:rPr>
      </w:pPr>
    </w:p>
    <w:p w:rsidR="00CB0215" w:rsidRDefault="001E485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Documentos los anteriores que se pusieron a la </w:t>
      </w:r>
      <w:r>
        <w:rPr>
          <w:rFonts w:ascii="Palatino Linotype" w:eastAsia="Palatino Linotype" w:hAnsi="Palatino Linotype" w:cs="Palatino Linotype"/>
          <w:color w:val="000000"/>
        </w:rPr>
        <w:t xml:space="preserve">vista de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efecto de que hiciera valer manifestaciones que a su derecho resultaran convenientes, o bien rindiera alegatos; no obstante fue omisa en ejercer dicha prerrogativa.</w:t>
      </w:r>
    </w:p>
    <w:p w:rsidR="00CB0215" w:rsidRDefault="00CB0215">
      <w:pPr>
        <w:spacing w:after="0" w:line="360" w:lineRule="auto"/>
        <w:jc w:val="both"/>
        <w:rPr>
          <w:rFonts w:ascii="Palatino Linotype" w:eastAsia="Palatino Linotype" w:hAnsi="Palatino Linotype" w:cs="Palatino Linotype"/>
        </w:rPr>
      </w:pPr>
    </w:p>
    <w:p w:rsidR="00CB0215" w:rsidRDefault="001E4858">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ese contexto, del análisis de las constancias que inte</w:t>
      </w:r>
      <w:r>
        <w:rPr>
          <w:rFonts w:ascii="Palatino Linotype" w:eastAsia="Palatino Linotype" w:hAnsi="Palatino Linotype" w:cs="Palatino Linotype"/>
        </w:rPr>
        <w:t xml:space="preserve">gran el expediente aperturado con motivo del recurso de revisión de nuestra atención, este Instituto consideró que los motivos de inconformidad aducidos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resultaban parcialmente fundados y determinó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t>Obligado</w:t>
      </w:r>
      <w:r>
        <w:rPr>
          <w:rFonts w:ascii="Palatino Linotype" w:eastAsia="Palatino Linotype" w:hAnsi="Palatino Linotype" w:cs="Palatino Linotype"/>
        </w:rPr>
        <w:t>, ordenando la entrega de la siguiente información:</w:t>
      </w:r>
    </w:p>
    <w:p w:rsidR="00CB0215" w:rsidRDefault="00CB0215">
      <w:pPr>
        <w:spacing w:after="0" w:line="276" w:lineRule="auto"/>
        <w:ind w:left="567" w:right="474"/>
        <w:jc w:val="both"/>
        <w:rPr>
          <w:rFonts w:ascii="Palatino Linotype" w:eastAsia="Palatino Linotype" w:hAnsi="Palatino Linotype" w:cs="Palatino Linotype"/>
          <w:b/>
          <w:i/>
        </w:rPr>
      </w:pPr>
    </w:p>
    <w:p w:rsidR="00CB0215" w:rsidRDefault="001E4858">
      <w:pPr>
        <w:pBdr>
          <w:top w:val="nil"/>
          <w:left w:val="nil"/>
          <w:bottom w:val="nil"/>
          <w:right w:val="nil"/>
          <w:between w:val="nil"/>
        </w:pBdr>
        <w:spacing w:line="240" w:lineRule="auto"/>
        <w:ind w:left="567" w:right="616"/>
        <w:jc w:val="both"/>
        <w:rPr>
          <w:rFonts w:ascii="Palatino Linotype" w:eastAsia="Palatino Linotype" w:hAnsi="Palatino Linotype" w:cs="Palatino Linotype"/>
          <w:b/>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 xml:space="preserve">Primero. </w:t>
      </w:r>
      <w:r>
        <w:rPr>
          <w:rFonts w:ascii="Palatino Linotype" w:eastAsia="Palatino Linotype" w:hAnsi="Palatino Linotype" w:cs="Palatino Linotype"/>
          <w:i/>
        </w:rPr>
        <w:t xml:space="preserve">Resultan </w:t>
      </w:r>
      <w:r>
        <w:rPr>
          <w:rFonts w:ascii="Palatino Linotype" w:eastAsia="Palatino Linotype" w:hAnsi="Palatino Linotype" w:cs="Palatino Linotype"/>
          <w:b/>
          <w:i/>
        </w:rPr>
        <w:t>parcialmente</w:t>
      </w:r>
      <w:r>
        <w:rPr>
          <w:rFonts w:ascii="Palatino Linotype" w:eastAsia="Palatino Linotype" w:hAnsi="Palatino Linotype" w:cs="Palatino Linotype"/>
          <w:i/>
        </w:rPr>
        <w:t xml:space="preserve"> </w:t>
      </w:r>
      <w:r>
        <w:rPr>
          <w:rFonts w:ascii="Palatino Linotype" w:eastAsia="Palatino Linotype" w:hAnsi="Palatino Linotype" w:cs="Palatino Linotype"/>
          <w:b/>
          <w:i/>
        </w:rPr>
        <w:t>fundadas</w:t>
      </w:r>
      <w:r>
        <w:rPr>
          <w:rFonts w:ascii="Palatino Linotype" w:eastAsia="Palatino Linotype" w:hAnsi="Palatino Linotype" w:cs="Palatino Linotype"/>
          <w:i/>
        </w:rPr>
        <w:t xml:space="preserve"> las</w:t>
      </w:r>
      <w:r>
        <w:rPr>
          <w:rFonts w:ascii="Palatino Linotype" w:eastAsia="Palatino Linotype" w:hAnsi="Palatino Linotype" w:cs="Palatino Linotype"/>
          <w:b/>
          <w:i/>
        </w:rPr>
        <w:t xml:space="preserve"> </w:t>
      </w:r>
      <w:r>
        <w:rPr>
          <w:rFonts w:ascii="Palatino Linotype" w:eastAsia="Palatino Linotype" w:hAnsi="Palatino Linotype" w:cs="Palatino Linotype"/>
          <w:i/>
        </w:rPr>
        <w:t xml:space="preserve">razones o motivos de inconformidad hechos valer por la parte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en el Recurso de Revisión </w:t>
      </w:r>
      <w:r>
        <w:rPr>
          <w:rFonts w:ascii="Palatino Linotype" w:eastAsia="Palatino Linotype" w:hAnsi="Palatino Linotype" w:cs="Palatino Linotype"/>
          <w:b/>
          <w:i/>
        </w:rPr>
        <w:t xml:space="preserve">05464/INFOEM/IP/RR/2023; </w:t>
      </w:r>
      <w:r>
        <w:rPr>
          <w:rFonts w:ascii="Palatino Linotype" w:eastAsia="Palatino Linotype" w:hAnsi="Palatino Linotype" w:cs="Palatino Linotype"/>
          <w:i/>
        </w:rPr>
        <w:t xml:space="preserve">por lo que, en términos del Considerando </w:t>
      </w:r>
      <w:r>
        <w:rPr>
          <w:rFonts w:ascii="Palatino Linotype" w:eastAsia="Palatino Linotype" w:hAnsi="Palatino Linotype" w:cs="Palatino Linotype"/>
          <w:b/>
          <w:i/>
        </w:rPr>
        <w:t>Cuarto</w:t>
      </w:r>
      <w:r>
        <w:rPr>
          <w:rFonts w:ascii="Palatino Linotype" w:eastAsia="Palatino Linotype" w:hAnsi="Palatino Linotype" w:cs="Palatino Linotype"/>
          <w:i/>
        </w:rPr>
        <w:t xml:space="preserve"> de la presente resolución se </w:t>
      </w:r>
      <w:r>
        <w:rPr>
          <w:rFonts w:ascii="Palatino Linotype" w:eastAsia="Palatino Linotype" w:hAnsi="Palatino Linotype" w:cs="Palatino Linotype"/>
          <w:b/>
          <w:i/>
        </w:rPr>
        <w:t xml:space="preserve">Modifica </w:t>
      </w:r>
      <w:r>
        <w:rPr>
          <w:rFonts w:ascii="Palatino Linotype" w:eastAsia="Palatino Linotype" w:hAnsi="Palatino Linotype" w:cs="Palatino Linotype"/>
          <w:i/>
        </w:rPr>
        <w:t xml:space="preserve">la respuesta emitida por el </w:t>
      </w:r>
      <w:r>
        <w:rPr>
          <w:rFonts w:ascii="Palatino Linotype" w:eastAsia="Palatino Linotype" w:hAnsi="Palatino Linotype" w:cs="Palatino Linotype"/>
          <w:b/>
          <w:i/>
        </w:rPr>
        <w:t xml:space="preserve">Sujeto Obligado. </w:t>
      </w:r>
    </w:p>
    <w:p w:rsidR="00CB0215" w:rsidRDefault="00CB0215">
      <w:pPr>
        <w:pBdr>
          <w:top w:val="nil"/>
          <w:left w:val="nil"/>
          <w:bottom w:val="nil"/>
          <w:right w:val="nil"/>
          <w:between w:val="nil"/>
        </w:pBdr>
        <w:spacing w:line="240" w:lineRule="auto"/>
        <w:ind w:left="567" w:right="616"/>
        <w:jc w:val="both"/>
        <w:rPr>
          <w:rFonts w:ascii="Palatino Linotype" w:eastAsia="Palatino Linotype" w:hAnsi="Palatino Linotype" w:cs="Palatino Linotype"/>
          <w:b/>
          <w:i/>
        </w:rPr>
      </w:pPr>
    </w:p>
    <w:p w:rsidR="00CB0215" w:rsidRDefault="001E4858">
      <w:pPr>
        <w:pBdr>
          <w:top w:val="nil"/>
          <w:left w:val="nil"/>
          <w:bottom w:val="nil"/>
          <w:right w:val="nil"/>
          <w:between w:val="nil"/>
        </w:pBdr>
        <w:spacing w:line="24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Segundo. </w:t>
      </w:r>
      <w:r>
        <w:rPr>
          <w:rFonts w:ascii="Palatino Linotype" w:eastAsia="Palatino Linotype" w:hAnsi="Palatino Linotype" w:cs="Palatino Linotype"/>
          <w:i/>
        </w:rPr>
        <w:t xml:space="preserve">Se </w:t>
      </w:r>
      <w:r>
        <w:rPr>
          <w:rFonts w:ascii="Palatino Linotype" w:eastAsia="Palatino Linotype" w:hAnsi="Palatino Linotype" w:cs="Palatino Linotype"/>
          <w:b/>
          <w:i/>
        </w:rPr>
        <w:t>ordena</w:t>
      </w:r>
      <w:r>
        <w:rPr>
          <w:rFonts w:ascii="Palatino Linotype" w:eastAsia="Palatino Linotype" w:hAnsi="Palatino Linotype" w:cs="Palatino Linotype"/>
          <w:i/>
        </w:rPr>
        <w:t xml:space="preserve"> al </w:t>
      </w:r>
      <w:r>
        <w:rPr>
          <w:rFonts w:ascii="Palatino Linotype" w:eastAsia="Palatino Linotype" w:hAnsi="Palatino Linotype" w:cs="Palatino Linotype"/>
          <w:b/>
          <w:i/>
        </w:rPr>
        <w:t>Sujeto Obligado</w:t>
      </w:r>
      <w:r>
        <w:rPr>
          <w:rFonts w:ascii="Palatino Linotype" w:eastAsia="Palatino Linotype" w:hAnsi="Palatino Linotype" w:cs="Palatino Linotype"/>
          <w:i/>
        </w:rPr>
        <w:t xml:space="preserve"> que, en términos de los Considerandos </w:t>
      </w:r>
      <w:r>
        <w:rPr>
          <w:rFonts w:ascii="Palatino Linotype" w:eastAsia="Palatino Linotype" w:hAnsi="Palatino Linotype" w:cs="Palatino Linotype"/>
          <w:b/>
          <w:i/>
        </w:rPr>
        <w:t xml:space="preserve">Cuarto </w:t>
      </w:r>
      <w:r>
        <w:rPr>
          <w:rFonts w:ascii="Palatino Linotype" w:eastAsia="Palatino Linotype" w:hAnsi="Palatino Linotype" w:cs="Palatino Linotype"/>
          <w:i/>
        </w:rPr>
        <w:t xml:space="preserve">y </w:t>
      </w:r>
      <w:r>
        <w:rPr>
          <w:rFonts w:ascii="Palatino Linotype" w:eastAsia="Palatino Linotype" w:hAnsi="Palatino Linotype" w:cs="Palatino Linotype"/>
          <w:b/>
          <w:i/>
        </w:rPr>
        <w:t>Quinto</w:t>
      </w:r>
      <w:r>
        <w:rPr>
          <w:rFonts w:ascii="Palatino Linotype" w:eastAsia="Palatino Linotype" w:hAnsi="Palatino Linotype" w:cs="Palatino Linotype"/>
          <w:i/>
        </w:rPr>
        <w:t>, haga entrega vía Sistema de Acceso a la Información Mexiquense, de ser procedente en versión pública, los documentos en donde conste lo siguiente:</w:t>
      </w:r>
    </w:p>
    <w:p w:rsidR="00CB0215" w:rsidRDefault="00CB0215">
      <w:pPr>
        <w:pBdr>
          <w:top w:val="nil"/>
          <w:left w:val="nil"/>
          <w:bottom w:val="nil"/>
          <w:right w:val="nil"/>
          <w:between w:val="nil"/>
        </w:pBdr>
        <w:spacing w:line="240" w:lineRule="auto"/>
        <w:ind w:left="567" w:right="616"/>
        <w:jc w:val="both"/>
        <w:rPr>
          <w:rFonts w:ascii="Palatino Linotype" w:eastAsia="Palatino Linotype" w:hAnsi="Palatino Linotype" w:cs="Palatino Linotype"/>
          <w:b/>
          <w:i/>
        </w:rPr>
      </w:pPr>
    </w:p>
    <w:p w:rsidR="00CB0215" w:rsidRDefault="001E4858">
      <w:pPr>
        <w:numPr>
          <w:ilvl w:val="6"/>
          <w:numId w:val="3"/>
        </w:numPr>
        <w:pBdr>
          <w:top w:val="nil"/>
          <w:left w:val="nil"/>
          <w:bottom w:val="nil"/>
          <w:right w:val="nil"/>
          <w:between w:val="nil"/>
        </w:pBdr>
        <w:tabs>
          <w:tab w:val="left" w:pos="8222"/>
        </w:tabs>
        <w:spacing w:line="240" w:lineRule="auto"/>
        <w:ind w:left="993" w:right="616"/>
        <w:jc w:val="both"/>
        <w:rPr>
          <w:rFonts w:ascii="Palatino Linotype" w:eastAsia="Palatino Linotype" w:hAnsi="Palatino Linotype" w:cs="Palatino Linotype"/>
          <w:b/>
          <w:i/>
        </w:rPr>
      </w:pPr>
      <w:r>
        <w:rPr>
          <w:rFonts w:ascii="Palatino Linotype" w:eastAsia="Palatino Linotype" w:hAnsi="Palatino Linotype" w:cs="Palatino Linotype"/>
          <w:b/>
          <w:i/>
        </w:rPr>
        <w:t>El listado de los vehículos propios y arrendados con que cuenta al once de agosto de dos mil veintitrés, s</w:t>
      </w:r>
      <w:r>
        <w:rPr>
          <w:rFonts w:ascii="Palatino Linotype" w:eastAsia="Palatino Linotype" w:hAnsi="Palatino Linotype" w:cs="Palatino Linotype"/>
          <w:b/>
          <w:i/>
        </w:rPr>
        <w:t>eñalados en respuesta.</w:t>
      </w:r>
    </w:p>
    <w:p w:rsidR="00CB0215" w:rsidRDefault="00CB0215">
      <w:pPr>
        <w:pBdr>
          <w:top w:val="nil"/>
          <w:left w:val="nil"/>
          <w:bottom w:val="nil"/>
          <w:right w:val="nil"/>
          <w:between w:val="nil"/>
        </w:pBdr>
        <w:tabs>
          <w:tab w:val="left" w:pos="8222"/>
        </w:tabs>
        <w:spacing w:line="240" w:lineRule="auto"/>
        <w:ind w:left="993" w:right="616"/>
        <w:jc w:val="both"/>
        <w:rPr>
          <w:rFonts w:ascii="Palatino Linotype" w:eastAsia="Palatino Linotype" w:hAnsi="Palatino Linotype" w:cs="Palatino Linotype"/>
          <w:b/>
          <w:i/>
        </w:rPr>
      </w:pPr>
    </w:p>
    <w:p w:rsidR="00CB0215" w:rsidRDefault="001E4858">
      <w:pPr>
        <w:numPr>
          <w:ilvl w:val="6"/>
          <w:numId w:val="3"/>
        </w:numPr>
        <w:pBdr>
          <w:top w:val="nil"/>
          <w:left w:val="nil"/>
          <w:bottom w:val="nil"/>
          <w:right w:val="nil"/>
          <w:between w:val="nil"/>
        </w:pBdr>
        <w:tabs>
          <w:tab w:val="left" w:pos="8222"/>
        </w:tabs>
        <w:spacing w:line="240" w:lineRule="auto"/>
        <w:ind w:left="993" w:right="616"/>
        <w:jc w:val="both"/>
        <w:rPr>
          <w:rFonts w:ascii="Palatino Linotype" w:eastAsia="Palatino Linotype" w:hAnsi="Palatino Linotype" w:cs="Palatino Linotype"/>
          <w:b/>
          <w:i/>
        </w:rPr>
      </w:pPr>
      <w:r>
        <w:rPr>
          <w:rFonts w:ascii="Palatino Linotype" w:eastAsia="Palatino Linotype" w:hAnsi="Palatino Linotype" w:cs="Palatino Linotype"/>
          <w:b/>
          <w:i/>
        </w:rPr>
        <w:t>El presupuesto asignado al capítulo de gasto 4000 “Transferencias, asignaciones, subsidios y otras ayudas”, del ejercicio fiscal 2023.</w:t>
      </w:r>
    </w:p>
    <w:p w:rsidR="00CB0215" w:rsidRDefault="00CB0215">
      <w:pPr>
        <w:pBdr>
          <w:top w:val="nil"/>
          <w:left w:val="nil"/>
          <w:bottom w:val="nil"/>
          <w:right w:val="nil"/>
          <w:between w:val="nil"/>
        </w:pBdr>
        <w:spacing w:line="240" w:lineRule="auto"/>
        <w:ind w:left="567" w:right="616"/>
        <w:jc w:val="both"/>
        <w:rPr>
          <w:rFonts w:ascii="Palatino Linotype" w:eastAsia="Palatino Linotype" w:hAnsi="Palatino Linotype" w:cs="Palatino Linotype"/>
          <w:b/>
          <w:i/>
        </w:rPr>
      </w:pPr>
    </w:p>
    <w:p w:rsidR="00CB0215" w:rsidRDefault="001E4858">
      <w:pPr>
        <w:pBdr>
          <w:top w:val="nil"/>
          <w:left w:val="nil"/>
          <w:bottom w:val="nil"/>
          <w:right w:val="nil"/>
          <w:between w:val="nil"/>
        </w:pBdr>
        <w:spacing w:line="240" w:lineRule="auto"/>
        <w:ind w:left="567" w:right="616"/>
        <w:jc w:val="both"/>
        <w:rPr>
          <w:rFonts w:ascii="Palatino Linotype" w:eastAsia="Palatino Linotype" w:hAnsi="Palatino Linotype" w:cs="Palatino Linotype"/>
          <w:i/>
        </w:rPr>
      </w:pPr>
      <w:bookmarkStart w:id="1" w:name="_heading=h.tyjcwt" w:colFirst="0" w:colLast="0"/>
      <w:bookmarkEnd w:id="1"/>
      <w:r>
        <w:rPr>
          <w:rFonts w:ascii="Palatino Linotype" w:eastAsia="Palatino Linotype" w:hAnsi="Palatino Linotype" w:cs="Palatino Linotype"/>
          <w:i/>
        </w:rPr>
        <w:t xml:space="preserve">Respecto de lo ordenado en el </w:t>
      </w:r>
      <w:r>
        <w:rPr>
          <w:rFonts w:ascii="Palatino Linotype" w:eastAsia="Palatino Linotype" w:hAnsi="Palatino Linotype" w:cs="Palatino Linotype"/>
          <w:b/>
          <w:i/>
        </w:rPr>
        <w:t>numeral 1,</w:t>
      </w:r>
      <w:r>
        <w:rPr>
          <w:rFonts w:ascii="Palatino Linotype" w:eastAsia="Palatino Linotype" w:hAnsi="Palatino Linotype" w:cs="Palatino Linotype"/>
          <w:i/>
        </w:rPr>
        <w:t xml:space="preserve"> deberá emitir el Acuerdo del Comité de Transparencia de conformidad con la Ley de Transparencia y Acceso a la Información Pública del Estado de México y Municipios, en el que funde y motive las razones sobre los datos que se supriman, eliminen o testen de</w:t>
      </w:r>
      <w:r>
        <w:rPr>
          <w:rFonts w:ascii="Palatino Linotype" w:eastAsia="Palatino Linotype" w:hAnsi="Palatino Linotype" w:cs="Palatino Linotype"/>
          <w:i/>
        </w:rPr>
        <w:t xml:space="preserve"> los soportes documentales objeto de las versiones públicas que se formulen y se pongan a disposición de la parte </w:t>
      </w:r>
      <w:r>
        <w:rPr>
          <w:rFonts w:ascii="Palatino Linotype" w:eastAsia="Palatino Linotype" w:hAnsi="Palatino Linotype" w:cs="Palatino Linotype"/>
          <w:b/>
          <w:i/>
        </w:rPr>
        <w:t>Recurrente,</w:t>
      </w:r>
      <w:r>
        <w:rPr>
          <w:rFonts w:ascii="Palatino Linotype" w:eastAsia="Palatino Linotype" w:hAnsi="Palatino Linotype" w:cs="Palatino Linotype"/>
          <w:i/>
        </w:rPr>
        <w:t xml:space="preserve"> mismo que igualmente hará de su conocimiento. […]”</w:t>
      </w:r>
    </w:p>
    <w:p w:rsidR="00CB0215" w:rsidRDefault="00CB0215">
      <w:pPr>
        <w:spacing w:after="0" w:line="276" w:lineRule="auto"/>
        <w:ind w:left="567" w:right="706"/>
        <w:jc w:val="both"/>
        <w:rPr>
          <w:rFonts w:ascii="Palatino Linotype" w:eastAsia="Palatino Linotype" w:hAnsi="Palatino Linotype" w:cs="Palatino Linotype"/>
          <w:i/>
        </w:rPr>
      </w:pPr>
    </w:p>
    <w:p w:rsidR="00CB0215" w:rsidRDefault="001E4858">
      <w:pPr>
        <w:pBdr>
          <w:top w:val="nil"/>
          <w:left w:val="nil"/>
          <w:bottom w:val="nil"/>
          <w:right w:val="nil"/>
          <w:between w:val="nil"/>
        </w:pBd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II. Razones del Voto Particular.</w:t>
      </w:r>
    </w:p>
    <w:p w:rsidR="00CB0215" w:rsidRDefault="00CB0215">
      <w:pPr>
        <w:spacing w:after="0" w:line="360" w:lineRule="auto"/>
        <w:jc w:val="both"/>
        <w:rPr>
          <w:rFonts w:ascii="Palatino Linotype" w:eastAsia="Palatino Linotype" w:hAnsi="Palatino Linotype" w:cs="Palatino Linotype"/>
          <w:b/>
          <w:sz w:val="12"/>
          <w:szCs w:val="12"/>
        </w:rPr>
      </w:pPr>
      <w:bookmarkStart w:id="2" w:name="_heading=h.1fob9te" w:colFirst="0" w:colLast="0"/>
      <w:bookmarkEnd w:id="2"/>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Derivado de lo anterior, si bien coincido en</w:t>
      </w:r>
      <w:r>
        <w:rPr>
          <w:rFonts w:ascii="Palatino Linotype" w:eastAsia="Palatino Linotype" w:hAnsi="Palatino Linotype" w:cs="Palatino Linotype"/>
        </w:rPr>
        <w:t xml:space="preserve"> que los documentos que se ordenan atenderían los puntos solicitados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la suscrita considera que</w:t>
      </w:r>
      <w:r>
        <w:rPr>
          <w:rFonts w:ascii="Palatino Linotype" w:eastAsia="Palatino Linotype" w:hAnsi="Palatino Linotype" w:cs="Palatino Linotype"/>
          <w:b/>
        </w:rPr>
        <w:t xml:space="preserve"> </w:t>
      </w:r>
      <w:r>
        <w:rPr>
          <w:rFonts w:ascii="Palatino Linotype" w:eastAsia="Palatino Linotype" w:hAnsi="Palatino Linotype" w:cs="Palatino Linotype"/>
        </w:rPr>
        <w:t>en los documentos que dan cuenta o se relacionan con el inventario del parque vehicular, pueden contener el número de placas de los vehí</w:t>
      </w:r>
      <w:r>
        <w:rPr>
          <w:rFonts w:ascii="Palatino Linotype" w:eastAsia="Palatino Linotype" w:hAnsi="Palatino Linotype" w:cs="Palatino Linotype"/>
        </w:rPr>
        <w:t xml:space="preserve">culos vinculados a los nombres del personal del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Obligado que los tiene asignados</w:t>
      </w:r>
      <w:r>
        <w:rPr>
          <w:rFonts w:ascii="Palatino Linotype" w:eastAsia="Palatino Linotype" w:hAnsi="Palatino Linotype" w:cs="Palatino Linotype"/>
        </w:rPr>
        <w:t xml:space="preserve">, por lo que de actualizarse dicho supuesta a consideración de la suscrita es información que debe clasificarse como información reservada. </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En ese sentido, se consider</w:t>
      </w:r>
      <w:r>
        <w:rPr>
          <w:rFonts w:ascii="Palatino Linotype" w:eastAsia="Palatino Linotype" w:hAnsi="Palatino Linotype" w:cs="Palatino Linotype"/>
        </w:rPr>
        <w:t xml:space="preserve">a que toda vez, que los datos de identificación de los vehículos, concretamente respecto del número de placa vinculado con el nombre del servidor público que lo tiene bajo su uso, se trata de información que hace plenamente identificable a la unidad y por </w:t>
      </w:r>
      <w:r>
        <w:rPr>
          <w:rFonts w:ascii="Palatino Linotype" w:eastAsia="Palatino Linotype" w:hAnsi="Palatino Linotype" w:cs="Palatino Linotype"/>
        </w:rPr>
        <w:t xml:space="preserve">consiguiente hace altamente posible identificar también a sus tripulantes. </w:t>
      </w:r>
    </w:p>
    <w:p w:rsidR="00CB0215" w:rsidRDefault="00CB0215">
      <w:pPr>
        <w:spacing w:after="0" w:line="360" w:lineRule="auto"/>
        <w:ind w:right="142"/>
        <w:jc w:val="both"/>
        <w:rPr>
          <w:rFonts w:ascii="Times New Roman" w:eastAsia="Times New Roman" w:hAnsi="Times New Roman" w:cs="Times New Roman"/>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Lo anterior, conforme a lo establecido en la Ley de Transparencia y Acceso a la Información Pública del Estado de México y Municipios, ya que prevé que la clasificación de la info</w:t>
      </w:r>
      <w:r>
        <w:rPr>
          <w:rFonts w:ascii="Palatino Linotype" w:eastAsia="Palatino Linotype" w:hAnsi="Palatino Linotype" w:cs="Palatino Linotype"/>
        </w:rPr>
        <w:t xml:space="preserve">rmación es el proceso mediante el cual el Sujeto Obligado determina que la información en su poder </w:t>
      </w:r>
      <w:proofErr w:type="spellStart"/>
      <w:r>
        <w:rPr>
          <w:rFonts w:ascii="Palatino Linotype" w:eastAsia="Palatino Linotype" w:hAnsi="Palatino Linotype" w:cs="Palatino Linotype"/>
        </w:rPr>
        <w:t>actualiza</w:t>
      </w:r>
      <w:proofErr w:type="spellEnd"/>
      <w:r>
        <w:rPr>
          <w:rFonts w:ascii="Palatino Linotype" w:eastAsia="Palatino Linotype" w:hAnsi="Palatino Linotype" w:cs="Palatino Linotype"/>
        </w:rPr>
        <w:t xml:space="preserve"> alguno de los supuestos de reserva o confidencialidad.</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En el entendido de que la clasificación de la información se llevará a cabo en el momento en que se reciba una solicitud de acceso a la información, se determine mediante resolución de autoridad competente o se generen versiones públicas para dar cumplimie</w:t>
      </w:r>
      <w:r>
        <w:rPr>
          <w:rFonts w:ascii="Palatino Linotype" w:eastAsia="Palatino Linotype" w:hAnsi="Palatino Linotype" w:cs="Palatino Linotype"/>
        </w:rPr>
        <w:t>nto a las obligaciones de transparencia previstas en la ley.</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Así, excepcionalmente por razones de interés público, se clasificará como reservada aquella información pública que encuadre en alguno de los supuestos previstos en el artículo 140 de la Ley de </w:t>
      </w:r>
      <w:r>
        <w:rPr>
          <w:rFonts w:ascii="Palatino Linotype" w:eastAsia="Palatino Linotype" w:hAnsi="Palatino Linotype" w:cs="Palatino Linotype"/>
        </w:rPr>
        <w:t>la materia, y que para el caso concreto se actualiza el previsto en la fracción IV, esto es ponga en riesgo la vida, seguridad o la salud de una persona física.</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tanto que se clasificará como información confidencial, entre otras y atendiendo al caso qu</w:t>
      </w:r>
      <w:r>
        <w:rPr>
          <w:rFonts w:ascii="Palatino Linotype" w:eastAsia="Palatino Linotype" w:hAnsi="Palatino Linotype" w:cs="Palatino Linotype"/>
        </w:rPr>
        <w:t>e nos ocupa, la información privada, datos personales concernientes a una persona física o jurídica colectiva identificada o identificable.</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bookmarkStart w:id="3" w:name="_heading=h.3dy6vkm" w:colFirst="0" w:colLast="0"/>
      <w:bookmarkEnd w:id="3"/>
      <w:r>
        <w:rPr>
          <w:rFonts w:ascii="Palatino Linotype" w:eastAsia="Palatino Linotype" w:hAnsi="Palatino Linotype" w:cs="Palatino Linotype"/>
        </w:rPr>
        <w:t>De acuerdo con lo anterior y conforme a las actuaciones que integran el expediente electrónico, se estima que la in</w:t>
      </w:r>
      <w:r>
        <w:rPr>
          <w:rFonts w:ascii="Palatino Linotype" w:eastAsia="Palatino Linotype" w:hAnsi="Palatino Linotype" w:cs="Palatino Linotype"/>
        </w:rPr>
        <w:t xml:space="preserve">formación que pudieran entregar al momento de dar cumplimiento a la presente resolución, </w:t>
      </w:r>
      <w:r>
        <w:rPr>
          <w:rFonts w:ascii="Palatino Linotype" w:eastAsia="Palatino Linotype" w:hAnsi="Palatino Linotype" w:cs="Palatino Linotype"/>
          <w:b/>
          <w:u w:val="single"/>
        </w:rPr>
        <w:t>específicamente lo ordenado en el numeral 1</w:t>
      </w:r>
      <w:r>
        <w:rPr>
          <w:rFonts w:ascii="Palatino Linotype" w:eastAsia="Palatino Linotype" w:hAnsi="Palatino Linotype" w:cs="Palatino Linotype"/>
        </w:rPr>
        <w:t xml:space="preserve">, es susceptible de contener datos de identificación de vehículos que son utilizados por servidores públicos adscritos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el desarrollo de sus funciones; información que a criterio de la mayoría de los integrantes del Pleno, se trata de datos que deben revelarse. </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Es de precisar que a consideración de la suscrita, el número de placas es reservado si se v</w:t>
      </w:r>
      <w:r>
        <w:rPr>
          <w:rFonts w:ascii="Palatino Linotype" w:eastAsia="Palatino Linotype" w:hAnsi="Palatino Linotype" w:cs="Palatino Linotype"/>
        </w:rPr>
        <w:t xml:space="preserve">incula con el nombre del servidor público que lo tiene bajo su uso, toda vez que los vehículos, con independencia de que sean particulares o pertenezcan al parque vehicular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son utilizados para el desarrollo de las actividades de su pe</w:t>
      </w:r>
      <w:r>
        <w:rPr>
          <w:rFonts w:ascii="Palatino Linotype" w:eastAsia="Palatino Linotype" w:hAnsi="Palatino Linotype" w:cs="Palatino Linotype"/>
        </w:rPr>
        <w:t>rsonal que ostentan cargos de Dirección, mandos medios y/o superiores, que, a diferencia de cualquier otro vehículo utilitario, en ellos asisten a eventos públicos derivados de sus funciones y se trasladan de sus oficinas a sus domicilios.</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b/>
          <w:u w:val="single"/>
        </w:rPr>
      </w:pPr>
      <w:r>
        <w:rPr>
          <w:rFonts w:ascii="Palatino Linotype" w:eastAsia="Palatino Linotype" w:hAnsi="Palatino Linotype" w:cs="Palatino Linotype"/>
        </w:rPr>
        <w:t>Por lo que, pro</w:t>
      </w:r>
      <w:r>
        <w:rPr>
          <w:rFonts w:ascii="Palatino Linotype" w:eastAsia="Palatino Linotype" w:hAnsi="Palatino Linotype" w:cs="Palatino Linotype"/>
        </w:rPr>
        <w:t xml:space="preserve">porcionar la información de identificación de un vehículo como el número de placas si se vincula con el nombre del servidor público que lo tiene bajo su uso, </w:t>
      </w:r>
      <w:r>
        <w:rPr>
          <w:rFonts w:ascii="Palatino Linotype" w:eastAsia="Palatino Linotype" w:hAnsi="Palatino Linotype" w:cs="Palatino Linotype"/>
          <w:b/>
          <w:u w:val="single"/>
        </w:rPr>
        <w:t xml:space="preserve">aun perteneciendo al servicio público, atenta contra la seguridad de los servidores públicos </w:t>
      </w:r>
      <w:r>
        <w:rPr>
          <w:rFonts w:ascii="Palatino Linotype" w:eastAsia="Palatino Linotype" w:hAnsi="Palatino Linotype" w:cs="Palatino Linotype"/>
          <w:b/>
          <w:u w:val="single"/>
        </w:rPr>
        <w:lastRenderedPageBreak/>
        <w:t>que e</w:t>
      </w:r>
      <w:r>
        <w:rPr>
          <w:rFonts w:ascii="Palatino Linotype" w:eastAsia="Palatino Linotype" w:hAnsi="Palatino Linotype" w:cs="Palatino Linotype"/>
          <w:b/>
          <w:u w:val="single"/>
        </w:rPr>
        <w:t>n ellos se trasladan, máxime de aquellos que a nivel Estatal representan a la autoridad; incluso, se pone en riesgo a su familia, al vulnerar su esfera privada.</w:t>
      </w:r>
    </w:p>
    <w:p w:rsidR="00CB0215" w:rsidRDefault="00CB0215">
      <w:pPr>
        <w:spacing w:after="0" w:line="360" w:lineRule="auto"/>
        <w:ind w:right="142"/>
        <w:jc w:val="both"/>
        <w:rPr>
          <w:rFonts w:ascii="Palatino Linotype" w:eastAsia="Palatino Linotype" w:hAnsi="Palatino Linotype" w:cs="Palatino Linotype"/>
          <w:b/>
          <w:u w:val="singl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Aunado a las condiciones socioeconómicas por las que atraviesa el país, en el que han prolifer</w:t>
      </w:r>
      <w:r>
        <w:rPr>
          <w:rFonts w:ascii="Palatino Linotype" w:eastAsia="Palatino Linotype" w:hAnsi="Palatino Linotype" w:cs="Palatino Linotype"/>
        </w:rPr>
        <w:t>ado grupos delictivos, que pudieran utilizar esa información para vulnerar la vida, seguridad o salud de dicho funcionario, de sus familias o entorno social, aumentando, incluso, el riesgo de que personas ajenas a los intereses institucionales intenten rea</w:t>
      </w:r>
      <w:r>
        <w:rPr>
          <w:rFonts w:ascii="Palatino Linotype" w:eastAsia="Palatino Linotype" w:hAnsi="Palatino Linotype" w:cs="Palatino Linotype"/>
        </w:rPr>
        <w:t>lizar actos para inhibir o entrometerse en la función pública, situación que puede corroborarse con la incidencia delictiva, que publica el Secretariado Ejecutivo del Sistema Nacional de Seguridad Pública, en el que en lo toral éste concentra la ocurrencia</w:t>
      </w:r>
      <w:r>
        <w:rPr>
          <w:rFonts w:ascii="Palatino Linotype" w:eastAsia="Palatino Linotype" w:hAnsi="Palatino Linotype" w:cs="Palatino Linotype"/>
        </w:rPr>
        <w:t xml:space="preserve"> de delitos registrados en Carpetas de Investigación, reportadas por las Procuradurías de Justicia y las Fiscalías Generales de las entidades federativas, en el caso del fuero común y la Fiscalía General de la República en el fuero federal.</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Sirve de apoyo</w:t>
      </w:r>
      <w:r>
        <w:rPr>
          <w:rFonts w:ascii="Palatino Linotype" w:eastAsia="Palatino Linotype" w:hAnsi="Palatino Linotype" w:cs="Palatino Linotype"/>
        </w:rPr>
        <w:t xml:space="preserve"> a lo anterior, el Criterio 9/2008 que sustenta por unanimidad de votos, el Comité de Acceso a la Información y de Protección de Datos Personales de la Suprema Corte de Justicia de la Nación, que cuenta con el siguiente rubro </w:t>
      </w:r>
      <w:r>
        <w:rPr>
          <w:rFonts w:ascii="Palatino Linotype" w:eastAsia="Palatino Linotype" w:hAnsi="Palatino Linotype" w:cs="Palatino Linotype"/>
          <w:b/>
        </w:rPr>
        <w:t>SERVIDORES PÚBLICOS DE LA SUPR</w:t>
      </w:r>
      <w:r>
        <w:rPr>
          <w:rFonts w:ascii="Palatino Linotype" w:eastAsia="Palatino Linotype" w:hAnsi="Palatino Linotype" w:cs="Palatino Linotype"/>
          <w:b/>
        </w:rPr>
        <w:t xml:space="preserve">EMA CORTE DE JUSTICIA DE LA NACIÓN. LA INFORMACIÓN RELATIVA A LOS VEHÍCULOS QUE LES SON ASIGNADOS ES PÚBLICA SALVO POR LO QUE SE REFIERE A LOS DATOS QUE PERMITAN IDENTIFICAR CUÁL CORRESPONDE A CADA UNO DE ELLOS, </w:t>
      </w:r>
      <w:r>
        <w:rPr>
          <w:rFonts w:ascii="Palatino Linotype" w:eastAsia="Palatino Linotype" w:hAnsi="Palatino Linotype" w:cs="Palatino Linotype"/>
        </w:rPr>
        <w:t>la cual señala:</w:t>
      </w:r>
    </w:p>
    <w:p w:rsidR="00CB0215" w:rsidRDefault="00CB0215">
      <w:pPr>
        <w:spacing w:after="0" w:line="360" w:lineRule="auto"/>
        <w:ind w:right="142"/>
        <w:jc w:val="both"/>
        <w:rPr>
          <w:rFonts w:ascii="Palatino Linotype" w:eastAsia="Palatino Linotype" w:hAnsi="Palatino Linotype" w:cs="Palatino Linotype"/>
        </w:rPr>
      </w:pPr>
    </w:p>
    <w:p w:rsidR="00CB0215" w:rsidRDefault="001E4858">
      <w:pPr>
        <w:spacing w:after="0"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“La asignación de vehículos</w:t>
      </w:r>
      <w:r>
        <w:rPr>
          <w:rFonts w:ascii="Palatino Linotype" w:eastAsia="Palatino Linotype" w:hAnsi="Palatino Linotype" w:cs="Palatino Linotype"/>
          <w:i/>
        </w:rPr>
        <w:t xml:space="preserve"> a los servidores públicos de la Suprema Corte de Justicia de la Nación constituye un apoyo que se otorga para coadyuvar en el desempeño de </w:t>
      </w:r>
      <w:r>
        <w:rPr>
          <w:rFonts w:ascii="Palatino Linotype" w:eastAsia="Palatino Linotype" w:hAnsi="Palatino Linotype" w:cs="Palatino Linotype"/>
          <w:i/>
        </w:rPr>
        <w:lastRenderedPageBreak/>
        <w:t>sus funciones y cumplimiento de sus responsabilidades; además, tal apoyo se sujeta al presupuesto autorizado y se ej</w:t>
      </w:r>
      <w:r>
        <w:rPr>
          <w:rFonts w:ascii="Palatino Linotype" w:eastAsia="Palatino Linotype" w:hAnsi="Palatino Linotype" w:cs="Palatino Linotype"/>
          <w:i/>
        </w:rPr>
        <w:t>erce en afectación al mismo. En este sentido, los registros administrativos en que consten los datos inherentes a la asignación de vehículos a dichos servidores públicos (marcas y modelos de autos asignados, así como las fechas de asignación y el kilometra</w:t>
      </w:r>
      <w:r>
        <w:rPr>
          <w:rFonts w:ascii="Palatino Linotype" w:eastAsia="Palatino Linotype" w:hAnsi="Palatino Linotype" w:cs="Palatino Linotype"/>
          <w:i/>
        </w:rPr>
        <w:t>je registrado al momento de la misma), en razón del ejercicio de su cargo, son públicos, en términos de lo dispuesto en los artículos 2° y 7°, fracciones IV y IX, de la Ley Federal de Transparencia y Acceso a la Información Pública Gubernamental. No obstan</w:t>
      </w:r>
      <w:r>
        <w:rPr>
          <w:rFonts w:ascii="Palatino Linotype" w:eastAsia="Palatino Linotype" w:hAnsi="Palatino Linotype" w:cs="Palatino Linotype"/>
          <w:i/>
        </w:rPr>
        <w:t xml:space="preserve">te, </w:t>
      </w:r>
      <w:r>
        <w:rPr>
          <w:rFonts w:ascii="Palatino Linotype" w:eastAsia="Palatino Linotype" w:hAnsi="Palatino Linotype" w:cs="Palatino Linotype"/>
          <w:b/>
          <w:i/>
        </w:rPr>
        <w:t>la naturaleza pública de esta información no debe entenderse de manera absoluta, ya que encuentra su excepción respecto del dato consistente en el nombre de los mencionados servidores públicos, pues al relacionarse con los datos del vehículo o vehículo</w:t>
      </w:r>
      <w:r>
        <w:rPr>
          <w:rFonts w:ascii="Palatino Linotype" w:eastAsia="Palatino Linotype" w:hAnsi="Palatino Linotype" w:cs="Palatino Linotype"/>
          <w:b/>
          <w:i/>
        </w:rPr>
        <w:t>s de su asignación, constituye un dato relevante y trascendente en su vida privada, pues los autos que se les otorgan son usados por ellos en apoyo del ejercicio de sus funciones y responsabilidades, las cuales pueden desarrollarse conjuntamente con sus ac</w:t>
      </w:r>
      <w:r>
        <w:rPr>
          <w:rFonts w:ascii="Palatino Linotype" w:eastAsia="Palatino Linotype" w:hAnsi="Palatino Linotype" w:cs="Palatino Linotype"/>
          <w:b/>
          <w:i/>
        </w:rPr>
        <w:t>tividades personales y/o privadas</w:t>
      </w:r>
      <w:r>
        <w:rPr>
          <w:rFonts w:ascii="Palatino Linotype" w:eastAsia="Palatino Linotype" w:hAnsi="Palatino Linotype" w:cs="Palatino Linotype"/>
          <w:i/>
        </w:rPr>
        <w:t xml:space="preserve">. Por lo tanto, el dato de su nombre relacionado con el de los vehículos de su asignación constituye un dato personal que trasciende a su vida privada que debe ser objeto de protección, ya que su difusión pondría en riesgo </w:t>
      </w:r>
      <w:r>
        <w:rPr>
          <w:rFonts w:ascii="Palatino Linotype" w:eastAsia="Palatino Linotype" w:hAnsi="Palatino Linotype" w:cs="Palatino Linotype"/>
          <w:i/>
        </w:rPr>
        <w:t>el derecho fundamental a la vida privada.”</w:t>
      </w:r>
    </w:p>
    <w:p w:rsidR="00CB0215" w:rsidRDefault="00CB0215">
      <w:pPr>
        <w:spacing w:after="0" w:line="276" w:lineRule="auto"/>
        <w:ind w:left="567" w:right="900"/>
        <w:jc w:val="both"/>
        <w:rPr>
          <w:rFonts w:ascii="Palatino Linotype" w:eastAsia="Palatino Linotype" w:hAnsi="Palatino Linotype" w:cs="Palatino Linotype"/>
          <w:i/>
          <w:sz w:val="23"/>
          <w:szCs w:val="23"/>
        </w:rPr>
      </w:pPr>
    </w:p>
    <w:p w:rsidR="00CB0215" w:rsidRDefault="001E4858">
      <w:pPr>
        <w:spacing w:after="0" w:line="360" w:lineRule="auto"/>
        <w:ind w:right="139"/>
        <w:jc w:val="both"/>
        <w:rPr>
          <w:rFonts w:ascii="Palatino Linotype" w:eastAsia="Palatino Linotype" w:hAnsi="Palatino Linotype" w:cs="Palatino Linotype"/>
        </w:rPr>
      </w:pPr>
      <w:r>
        <w:rPr>
          <w:rFonts w:ascii="Palatino Linotype" w:eastAsia="Palatino Linotype" w:hAnsi="Palatino Linotype" w:cs="Palatino Linotype"/>
        </w:rPr>
        <w:t>Del criterio en cita, se advierte que no debe proporcionarse el número de placa de los vehículos oficiales que utilizan los servidores públicos si se vincula con el nombre del servidor público que lo tiene bajo s</w:t>
      </w:r>
      <w:r>
        <w:rPr>
          <w:rFonts w:ascii="Palatino Linotype" w:eastAsia="Palatino Linotype" w:hAnsi="Palatino Linotype" w:cs="Palatino Linotype"/>
        </w:rPr>
        <w:t xml:space="preserve">u uso, por hacerlos identificables y trascender a su vida privada, garantizando con ello su protección. </w:t>
      </w:r>
    </w:p>
    <w:p w:rsidR="00CB0215" w:rsidRDefault="00CB0215">
      <w:pPr>
        <w:spacing w:after="0" w:line="360" w:lineRule="auto"/>
        <w:ind w:right="139"/>
        <w:jc w:val="both"/>
        <w:rPr>
          <w:rFonts w:ascii="Palatino Linotype" w:eastAsia="Palatino Linotype" w:hAnsi="Palatino Linotype" w:cs="Palatino Linotype"/>
        </w:rPr>
      </w:pPr>
    </w:p>
    <w:p w:rsidR="00CB0215" w:rsidRDefault="001E4858">
      <w:pPr>
        <w:spacing w:after="0" w:line="360" w:lineRule="auto"/>
        <w:ind w:right="139"/>
        <w:jc w:val="both"/>
        <w:rPr>
          <w:rFonts w:ascii="Palatino Linotype" w:eastAsia="Palatino Linotype" w:hAnsi="Palatino Linotype" w:cs="Palatino Linotype"/>
        </w:rPr>
      </w:pPr>
      <w:bookmarkStart w:id="4" w:name="_heading=h.1t3h5sf" w:colFirst="0" w:colLast="0"/>
      <w:bookmarkEnd w:id="4"/>
      <w:r>
        <w:rPr>
          <w:rFonts w:ascii="Palatino Linotype" w:eastAsia="Palatino Linotype" w:hAnsi="Palatino Linotype" w:cs="Palatino Linotype"/>
        </w:rPr>
        <w:t xml:space="preserve">Es por las razones expuestas se emite el presente </w:t>
      </w:r>
      <w:r>
        <w:rPr>
          <w:rFonts w:ascii="Palatino Linotype" w:eastAsia="Palatino Linotype" w:hAnsi="Palatino Linotype" w:cs="Palatino Linotype"/>
          <w:b/>
        </w:rPr>
        <w:t>Voto Particular</w:t>
      </w:r>
      <w:r>
        <w:rPr>
          <w:rFonts w:ascii="Palatino Linotype" w:eastAsia="Palatino Linotype" w:hAnsi="Palatino Linotype" w:cs="Palatino Linotype"/>
        </w:rPr>
        <w:t>, pues considero que se debió considerar procedente la reserva del número de placa de</w:t>
      </w:r>
      <w:r>
        <w:rPr>
          <w:rFonts w:ascii="Palatino Linotype" w:eastAsia="Palatino Linotype" w:hAnsi="Palatino Linotype" w:cs="Palatino Linotype"/>
        </w:rPr>
        <w:t xml:space="preserve"> los vehículos si este se vincula  con el nombre del servidor público que lo tiene bajo su uso, información que por </w:t>
      </w:r>
      <w:r>
        <w:rPr>
          <w:rFonts w:ascii="Palatino Linotype" w:eastAsia="Palatino Linotype" w:hAnsi="Palatino Linotype" w:cs="Palatino Linotype"/>
        </w:rPr>
        <w:lastRenderedPageBreak/>
        <w:t>su naturaleza, puede trascender  en su vida privada, cuyo ámbito de protección es mucho más amplia, al ponderar los derechos que se protegen</w:t>
      </w:r>
      <w:r>
        <w:rPr>
          <w:rFonts w:ascii="Palatino Linotype" w:eastAsia="Palatino Linotype" w:hAnsi="Palatino Linotype" w:cs="Palatino Linotype"/>
        </w:rPr>
        <w:t xml:space="preserve"> con la reserva, como la vida, integridad personal, el pleno ejercicio del servicio público, contra el acceso a la información de un particular, y en mi criterio resulta proporcional clasificar esta información; es por </w:t>
      </w:r>
      <w:bookmarkStart w:id="5" w:name="_GoBack"/>
      <w:r w:rsidR="004F6DED">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simplePos x="0" y="0"/>
                <wp:positionH relativeFrom="column">
                  <wp:posOffset>6386</wp:posOffset>
                </wp:positionH>
                <wp:positionV relativeFrom="paragraph">
                  <wp:posOffset>1334919</wp:posOffset>
                </wp:positionV>
                <wp:extent cx="5400339" cy="5862918"/>
                <wp:effectExtent l="38100" t="19050" r="67310" b="81280"/>
                <wp:wrapNone/>
                <wp:docPr id="1" name="Conector recto 1"/>
                <wp:cNvGraphicFramePr/>
                <a:graphic xmlns:a="http://schemas.openxmlformats.org/drawingml/2006/main">
                  <a:graphicData uri="http://schemas.microsoft.com/office/word/2010/wordprocessingShape">
                    <wps:wsp>
                      <wps:cNvCnPr/>
                      <wps:spPr>
                        <a:xfrm>
                          <a:off x="0" y="0"/>
                          <a:ext cx="5400339" cy="58629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733405"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05.1pt" to="425.7pt,5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" strokecolor="#4f81bd [3204]" strokeweight="2pt">
                <v:shadow on="t" color="black" opacity="24903f" origin=",.5" offset="0,.55556mm"/>
              </v:line>
            </w:pict>
          </mc:Fallback>
        </mc:AlternateContent>
      </w:r>
      <w:bookmarkEnd w:id="5"/>
      <w:r>
        <w:rPr>
          <w:rFonts w:ascii="Palatino Linotype" w:eastAsia="Palatino Linotype" w:hAnsi="Palatino Linotype" w:cs="Palatino Linotype"/>
        </w:rPr>
        <w:t xml:space="preserve">todo lo vertido en líneas anteriores </w:t>
      </w:r>
      <w:r>
        <w:rPr>
          <w:rFonts w:ascii="Palatino Linotype" w:eastAsia="Palatino Linotype" w:hAnsi="Palatino Linotype" w:cs="Palatino Linotype"/>
        </w:rPr>
        <w:t xml:space="preserve">que la suscrita formula el presente </w:t>
      </w:r>
      <w:r>
        <w:rPr>
          <w:rFonts w:ascii="Palatino Linotype" w:eastAsia="Palatino Linotype" w:hAnsi="Palatino Linotype" w:cs="Palatino Linotype"/>
          <w:b/>
        </w:rPr>
        <w:t>voto particular</w:t>
      </w:r>
      <w:r>
        <w:rPr>
          <w:rFonts w:ascii="Palatino Linotype" w:eastAsia="Palatino Linotype" w:hAnsi="Palatino Linotype" w:cs="Palatino Linotype"/>
        </w:rPr>
        <w:t>.</w:t>
      </w:r>
    </w:p>
    <w:p w:rsidR="00CB0215" w:rsidRDefault="001E4858">
      <w:pPr>
        <w:spacing w:after="0" w:line="360" w:lineRule="auto"/>
        <w:ind w:right="49"/>
        <w:jc w:val="both"/>
        <w:rPr>
          <w:rFonts w:ascii="Palatino Linotype" w:eastAsia="Palatino Linotype" w:hAnsi="Palatino Linotype" w:cs="Palatino Linotype"/>
        </w:rPr>
        <w:sectPr w:rsidR="00CB0215">
          <w:headerReference w:type="default" r:id="rId17"/>
          <w:footerReference w:type="default" r:id="rId18"/>
          <w:pgSz w:w="12240" w:h="15840"/>
          <w:pgMar w:top="2438" w:right="1701" w:bottom="2778" w:left="1701" w:header="1134" w:footer="1134" w:gutter="0"/>
          <w:pgNumType w:start="1"/>
          <w:cols w:space="720"/>
        </w:sectPr>
      </w:pPr>
      <w:r>
        <w:rPr>
          <w:rFonts w:ascii="Palatino Linotype" w:eastAsia="Palatino Linotype" w:hAnsi="Palatino Linotype" w:cs="Palatino Linotype"/>
        </w:rPr>
        <w:t xml:space="preserve"> </w:t>
      </w: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bookmarkStart w:id="6" w:name="_heading=h.3znysh7" w:colFirst="0" w:colLast="0"/>
      <w:bookmarkEnd w:id="6"/>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p w:rsidR="00CB0215" w:rsidRDefault="00CB0215">
      <w:pPr>
        <w:spacing w:after="0" w:line="360" w:lineRule="auto"/>
        <w:ind w:right="423"/>
        <w:jc w:val="both"/>
        <w:rPr>
          <w:rFonts w:ascii="Palatino Linotype" w:eastAsia="Palatino Linotype" w:hAnsi="Palatino Linotype" w:cs="Palatino Linotype"/>
        </w:rPr>
      </w:pPr>
    </w:p>
    <w:sectPr w:rsidR="00CB0215">
      <w:headerReference w:type="default" r:id="rId19"/>
      <w:pgSz w:w="12240" w:h="15840"/>
      <w:pgMar w:top="1871" w:right="1327" w:bottom="2836" w:left="1985" w:header="709" w:footer="58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858" w:rsidRDefault="001E4858">
      <w:pPr>
        <w:spacing w:after="0" w:line="240" w:lineRule="auto"/>
      </w:pPr>
      <w:r>
        <w:separator/>
      </w:r>
    </w:p>
  </w:endnote>
  <w:endnote w:type="continuationSeparator" w:id="0">
    <w:p w:rsidR="001E4858" w:rsidRDefault="001E4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215" w:rsidRDefault="001E4858">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Página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sidR="004F6DED">
      <w:rPr>
        <w:rFonts w:ascii="Times New Roman" w:eastAsia="Times New Roman" w:hAnsi="Times New Roman" w:cs="Times New Roman"/>
        <w:b/>
        <w:color w:val="000000"/>
        <w:sz w:val="20"/>
        <w:szCs w:val="20"/>
      </w:rPr>
      <w:fldChar w:fldCharType="separate"/>
    </w:r>
    <w:r w:rsidR="002C2FBB">
      <w:rPr>
        <w:rFonts w:ascii="Times New Roman" w:eastAsia="Times New Roman" w:hAnsi="Times New Roman" w:cs="Times New Roman"/>
        <w:b/>
        <w:noProof/>
        <w:color w:val="000000"/>
        <w:sz w:val="20"/>
        <w:szCs w:val="20"/>
      </w:rPr>
      <w:t>1</w:t>
    </w:r>
    <w:r>
      <w:rPr>
        <w:rFonts w:ascii="Times New Roman" w:eastAsia="Times New Roman" w:hAnsi="Times New Roman" w:cs="Times New Roman"/>
        <w:b/>
        <w:color w:val="000000"/>
        <w:sz w:val="20"/>
        <w:szCs w:val="20"/>
      </w:rPr>
      <w:fldChar w:fldCharType="end"/>
    </w:r>
    <w:r>
      <w:rPr>
        <w:rFonts w:ascii="Times New Roman" w:eastAsia="Times New Roman" w:hAnsi="Times New Roman" w:cs="Times New Roman"/>
        <w:color w:val="000000"/>
        <w:sz w:val="20"/>
        <w:szCs w:val="20"/>
      </w:rPr>
      <w:t xml:space="preserve"> de </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NUMPAGES</w:instrText>
    </w:r>
    <w:r w:rsidR="004F6DED">
      <w:rPr>
        <w:rFonts w:ascii="Times New Roman" w:eastAsia="Times New Roman" w:hAnsi="Times New Roman" w:cs="Times New Roman"/>
        <w:b/>
        <w:color w:val="000000"/>
        <w:sz w:val="20"/>
        <w:szCs w:val="20"/>
      </w:rPr>
      <w:fldChar w:fldCharType="separate"/>
    </w:r>
    <w:r w:rsidR="002C2FBB">
      <w:rPr>
        <w:rFonts w:ascii="Times New Roman" w:eastAsia="Times New Roman" w:hAnsi="Times New Roman" w:cs="Times New Roman"/>
        <w:b/>
        <w:noProof/>
        <w:color w:val="000000"/>
        <w:sz w:val="20"/>
        <w:szCs w:val="20"/>
      </w:rPr>
      <w:t>15</w:t>
    </w:r>
    <w:r>
      <w:rPr>
        <w:rFonts w:ascii="Times New Roman" w:eastAsia="Times New Roman" w:hAnsi="Times New Roman" w:cs="Times New Roman"/>
        <w:b/>
        <w:color w:val="000000"/>
        <w:sz w:val="20"/>
        <w:szCs w:val="20"/>
      </w:rPr>
      <w:fldChar w:fldCharType="end"/>
    </w:r>
  </w:p>
  <w:p w:rsidR="00CB0215" w:rsidRDefault="00CB0215">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858" w:rsidRDefault="001E4858">
      <w:pPr>
        <w:spacing w:after="0" w:line="240" w:lineRule="auto"/>
      </w:pPr>
      <w:r>
        <w:separator/>
      </w:r>
    </w:p>
  </w:footnote>
  <w:footnote w:type="continuationSeparator" w:id="0">
    <w:p w:rsidR="001E4858" w:rsidRDefault="001E48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215" w:rsidRDefault="001E4858">
    <w:pPr>
      <w:pBdr>
        <w:top w:val="nil"/>
        <w:left w:val="nil"/>
        <w:bottom w:val="nil"/>
        <w:right w:val="nil"/>
        <w:between w:val="nil"/>
      </w:pBdr>
      <w:tabs>
        <w:tab w:val="center" w:pos="4419"/>
        <w:tab w:val="right" w:pos="8364"/>
      </w:tabs>
      <w:spacing w:after="0" w:line="240" w:lineRule="auto"/>
      <w:ind w:right="49"/>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r>
      <w:rPr>
        <w:noProof/>
      </w:rPr>
      <w:drawing>
        <wp:anchor distT="0" distB="0" distL="0" distR="0" simplePos="0" relativeHeight="251658240" behindDoc="1" locked="0" layoutInCell="1" hidden="0" allowOverlap="1">
          <wp:simplePos x="0" y="0"/>
          <wp:positionH relativeFrom="column">
            <wp:posOffset>-660398</wp:posOffset>
          </wp:positionH>
          <wp:positionV relativeFrom="paragraph">
            <wp:posOffset>-746758</wp:posOffset>
          </wp:positionV>
          <wp:extent cx="7510628" cy="9883775"/>
          <wp:effectExtent l="0" t="0" r="0" b="0"/>
          <wp:wrapNone/>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p>
  <w:p w:rsidR="00CB0215" w:rsidRDefault="001E4858">
    <w:pPr>
      <w:pBdr>
        <w:top w:val="nil"/>
        <w:left w:val="nil"/>
        <w:bottom w:val="nil"/>
        <w:right w:val="nil"/>
        <w:between w:val="nil"/>
      </w:pBdr>
      <w:tabs>
        <w:tab w:val="center" w:pos="4419"/>
        <w:tab w:val="right" w:pos="8505"/>
      </w:tabs>
      <w:spacing w:after="0" w:line="240" w:lineRule="auto"/>
      <w:ind w:right="49"/>
      <w:jc w:val="right"/>
      <w:rPr>
        <w:rFonts w:ascii="Arial" w:eastAsia="Arial" w:hAnsi="Arial" w:cs="Arial"/>
        <w:color w:val="000000"/>
        <w:sz w:val="20"/>
        <w:szCs w:val="20"/>
      </w:rPr>
    </w:pPr>
    <w:r>
      <w:rPr>
        <w:rFonts w:ascii="Palatino Linotype" w:eastAsia="Palatino Linotype" w:hAnsi="Palatino Linotype" w:cs="Palatino Linotype"/>
        <w:b/>
        <w:color w:val="000000"/>
        <w:sz w:val="20"/>
        <w:szCs w:val="20"/>
      </w:rPr>
      <w:t>RECURSO DE REVISIÓN 05464/INFOEM/IP/RR/2023</w:t>
    </w:r>
  </w:p>
  <w:p w:rsidR="00CB0215" w:rsidRDefault="00CB021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215" w:rsidRDefault="001E485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noProof/>
      </w:rPr>
      <w:drawing>
        <wp:anchor distT="0" distB="0" distL="0" distR="0" simplePos="0" relativeHeight="251659264" behindDoc="1" locked="0" layoutInCell="1" hidden="0" allowOverlap="1">
          <wp:simplePos x="0" y="0"/>
          <wp:positionH relativeFrom="column">
            <wp:posOffset>-1227452</wp:posOffset>
          </wp:positionH>
          <wp:positionV relativeFrom="paragraph">
            <wp:posOffset>-485137</wp:posOffset>
          </wp:positionV>
          <wp:extent cx="7510628" cy="988377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p>
  <w:p w:rsidR="00CB0215" w:rsidRDefault="001E4858">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p>
  <w:p w:rsidR="00CB0215" w:rsidRDefault="001E4858">
    <w:pPr>
      <w:pBdr>
        <w:top w:val="nil"/>
        <w:left w:val="nil"/>
        <w:bottom w:val="nil"/>
        <w:right w:val="nil"/>
        <w:between w:val="nil"/>
      </w:pBdr>
      <w:tabs>
        <w:tab w:val="center" w:pos="4419"/>
        <w:tab w:val="right" w:pos="8838"/>
      </w:tabs>
      <w:spacing w:after="0" w:line="240" w:lineRule="auto"/>
      <w:ind w:left="2552"/>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   RECURSO DE REVISIÓN 05464/INFOEM/IP/RR/2023</w:t>
    </w:r>
  </w:p>
  <w:p w:rsidR="00CB0215" w:rsidRDefault="00CB021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rsidR="00CB0215" w:rsidRDefault="00CB0215">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731E2E"/>
    <w:multiLevelType w:val="multilevel"/>
    <w:tmpl w:val="E58E2B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14E76F5"/>
    <w:multiLevelType w:val="multilevel"/>
    <w:tmpl w:val="CD7E0692"/>
    <w:lvl w:ilvl="0">
      <w:start w:val="5"/>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D594D3F"/>
    <w:multiLevelType w:val="multilevel"/>
    <w:tmpl w:val="81F411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211329"/>
    <w:multiLevelType w:val="multilevel"/>
    <w:tmpl w:val="9056CC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215"/>
    <w:rsid w:val="001E4858"/>
    <w:rsid w:val="002C2FBB"/>
    <w:rsid w:val="004F6DED"/>
    <w:rsid w:val="00CB0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80EAD-F975-4BF4-8DE0-E0EDCD6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AF39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398D"/>
  </w:style>
  <w:style w:type="paragraph" w:styleId="Piedepgina">
    <w:name w:val="footer"/>
    <w:basedOn w:val="Normal"/>
    <w:link w:val="PiedepginaCar"/>
    <w:uiPriority w:val="99"/>
    <w:unhideWhenUsed/>
    <w:rsid w:val="00AF39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398D"/>
  </w:style>
  <w:style w:type="paragraph" w:styleId="Prrafodelista">
    <w:name w:val="List Paragraph"/>
    <w:basedOn w:val="Normal"/>
    <w:uiPriority w:val="34"/>
    <w:qFormat/>
    <w:rsid w:val="00823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k62AWdlGHCWL1I9wgVwRvbSPA==">CgMxLjAyCGguZ2pkZ3hzMghoLnR5amN3dDIJaC4xZm9iOXRlMgloLjNkeTZ2a20yCWguMXQzaDVzZjIJaC4zem55c2g3OAByITFnYU5KOVJmdjNQWDNZNlQwUWI0Sm9yQUkzVU1ta3ZkWQ==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2892</Words>
  <Characters>15910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INFOEM411</cp:lastModifiedBy>
  <cp:revision>3</cp:revision>
  <cp:lastPrinted>2024-03-19T20:17:00Z</cp:lastPrinted>
  <dcterms:created xsi:type="dcterms:W3CDTF">2024-03-18T15:30:00Z</dcterms:created>
  <dcterms:modified xsi:type="dcterms:W3CDTF">2024-03-19T20:17:00Z</dcterms:modified>
</cp:coreProperties>
</file>