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40A95" w14:textId="77777777" w:rsidR="00321B60" w:rsidRDefault="00321B60" w:rsidP="00B72811">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p>
    <w:p w14:paraId="1934E5FB" w14:textId="46811DB5" w:rsidR="00184DC6" w:rsidRPr="00B662E1" w:rsidRDefault="00321B60" w:rsidP="00B72811">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hAnsi="Palatino Linotype"/>
        </w:rPr>
        <w:pict w14:anchorId="2C92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58240;visibility:hidden">
            <o:lock v:ext="edit" selection="t"/>
          </v:shape>
        </w:pict>
      </w:r>
      <w:r>
        <w:rPr>
          <w:rFonts w:ascii="Palatino Linotype" w:hAnsi="Palatino Linotype"/>
        </w:rPr>
        <w:pict w14:anchorId="7B07106D">
          <v:shape id="_x0000_s1028" type="#_x0000_t136" style="position:absolute;left:0;text-align:left;margin-left:0;margin-top:0;width:50pt;height:50pt;z-index:251657216;visibility:hidden">
            <o:lock v:ext="edit" selection="t"/>
          </v:shape>
        </w:pict>
      </w:r>
      <w:r w:rsidR="00610EBB" w:rsidRPr="00B662E1">
        <w:rPr>
          <w:rFonts w:ascii="Palatino Linotype" w:eastAsia="Palatino Linotype" w:hAnsi="Palatino Linotype" w:cs="Palatino Linotype"/>
          <w:b/>
        </w:rPr>
        <w:t>VOTO PARTICULAR CONCURRENTE QUE FORMULAN EL COMISIONADO LUIS GUSTAVO PARRA NORIEGA Y LA COMISIONADA GUADALUPE RAMÍREZ PEÑA CON RELACIÓN A LA RESOLUCIÓN EMITIDA POR EL PLENO DEL INSTITUTO DE TRANSPARENCIA, ACCESO A LA INFORMACIÓN PÚBLICA Y PROTECCIÓN DE DATOS PERSONALES DEL ESTADO DE MÉXICO Y MUNICIPIOS AL RECURSO DE REVISIÓN 0</w:t>
      </w:r>
      <w:r w:rsidR="00B72811" w:rsidRPr="00B662E1">
        <w:rPr>
          <w:rFonts w:ascii="Palatino Linotype" w:eastAsia="Palatino Linotype" w:hAnsi="Palatino Linotype" w:cs="Palatino Linotype"/>
          <w:b/>
        </w:rPr>
        <w:t>4696</w:t>
      </w:r>
      <w:r w:rsidR="00610EBB" w:rsidRPr="00B662E1">
        <w:rPr>
          <w:rFonts w:ascii="Palatino Linotype" w:eastAsia="Palatino Linotype" w:hAnsi="Palatino Linotype" w:cs="Palatino Linotype"/>
          <w:b/>
        </w:rPr>
        <w:t>/INFOEM/IP/RR/202</w:t>
      </w:r>
      <w:r w:rsidR="00B72811" w:rsidRPr="00B662E1">
        <w:rPr>
          <w:rFonts w:ascii="Palatino Linotype" w:eastAsia="Palatino Linotype" w:hAnsi="Palatino Linotype" w:cs="Palatino Linotype"/>
          <w:b/>
        </w:rPr>
        <w:t>4</w:t>
      </w:r>
      <w:r w:rsidR="00610EBB" w:rsidRPr="00B662E1">
        <w:rPr>
          <w:rFonts w:ascii="Palatino Linotype" w:eastAsia="Palatino Linotype" w:hAnsi="Palatino Linotype" w:cs="Palatino Linotype"/>
          <w:b/>
        </w:rPr>
        <w:t xml:space="preserve">, PROMOVIDO EN CONTRA DEL SISTEMA MUNICIPAL PARA EL DESARROLLO INTEGRAL DE LA FAMILIA DE </w:t>
      </w:r>
      <w:r w:rsidR="00B72811" w:rsidRPr="00B662E1">
        <w:rPr>
          <w:rFonts w:ascii="Palatino Linotype" w:eastAsia="Palatino Linotype" w:hAnsi="Palatino Linotype" w:cs="Palatino Linotype"/>
          <w:b/>
        </w:rPr>
        <w:t>TULTITLAN</w:t>
      </w:r>
      <w:r w:rsidR="00610EBB" w:rsidRPr="00B662E1">
        <w:rPr>
          <w:rFonts w:ascii="Palatino Linotype" w:eastAsia="Palatino Linotype" w:hAnsi="Palatino Linotype" w:cs="Palatino Linotype"/>
          <w:b/>
        </w:rPr>
        <w:t>.</w:t>
      </w:r>
    </w:p>
    <w:p w14:paraId="1D677F30" w14:textId="77777777" w:rsidR="00184DC6" w:rsidRPr="00B662E1" w:rsidRDefault="00184DC6">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color w:val="000000"/>
        </w:rPr>
      </w:pPr>
    </w:p>
    <w:p w14:paraId="26872656" w14:textId="22236410" w:rsidR="00184DC6" w:rsidRPr="00B662E1" w:rsidRDefault="00610EBB">
      <w:pPr>
        <w:spacing w:after="0" w:line="360" w:lineRule="auto"/>
        <w:ind w:right="-93"/>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Pr="00B662E1">
        <w:rPr>
          <w:rFonts w:ascii="Palatino Linotype" w:eastAsia="Palatino Linotype" w:hAnsi="Palatino Linotype" w:cs="Palatino Linotype"/>
          <w:b/>
        </w:rPr>
        <w:t>0</w:t>
      </w:r>
      <w:r w:rsidR="0024169B" w:rsidRPr="00B662E1">
        <w:rPr>
          <w:rFonts w:ascii="Palatino Linotype" w:eastAsia="Palatino Linotype" w:hAnsi="Palatino Linotype" w:cs="Palatino Linotype"/>
          <w:b/>
        </w:rPr>
        <w:t>469</w:t>
      </w:r>
      <w:r w:rsidRPr="00B662E1">
        <w:rPr>
          <w:rFonts w:ascii="Palatino Linotype" w:eastAsia="Palatino Linotype" w:hAnsi="Palatino Linotype" w:cs="Palatino Linotype"/>
          <w:b/>
        </w:rPr>
        <w:t>6/INFOEM/IP/RR/202</w:t>
      </w:r>
      <w:r w:rsidR="0024169B" w:rsidRPr="00B662E1">
        <w:rPr>
          <w:rFonts w:ascii="Palatino Linotype" w:eastAsia="Palatino Linotype" w:hAnsi="Palatino Linotype" w:cs="Palatino Linotype"/>
          <w:b/>
        </w:rPr>
        <w:t>4</w:t>
      </w:r>
      <w:r w:rsidRPr="00B662E1">
        <w:rPr>
          <w:rFonts w:ascii="Palatino Linotype" w:eastAsia="Palatino Linotype" w:hAnsi="Palatino Linotype" w:cs="Palatino Linotype"/>
          <w:b/>
        </w:rPr>
        <w:t xml:space="preserve">, </w:t>
      </w:r>
      <w:r w:rsidRPr="00B662E1">
        <w:rPr>
          <w:rFonts w:ascii="Palatino Linotype" w:eastAsia="Palatino Linotype" w:hAnsi="Palatino Linotype" w:cs="Palatino Linotype"/>
        </w:rPr>
        <w:t xml:space="preserve">presentada por el Comisionado Luis Gustavo Parra Noriega </w:t>
      </w:r>
      <w:r w:rsidRPr="00B662E1">
        <w:rPr>
          <w:rFonts w:ascii="Palatino Linotype" w:eastAsia="Palatino Linotype" w:hAnsi="Palatino Linotype" w:cs="Palatino Linotype"/>
          <w:b/>
        </w:rPr>
        <w:t>conforme al criterio mayoritario del Pleno</w:t>
      </w:r>
      <w:r w:rsidRPr="00B662E1">
        <w:rPr>
          <w:rFonts w:ascii="Palatino Linotype" w:eastAsia="Palatino Linotype" w:hAnsi="Palatino Linotype" w:cs="Palatino Linotype"/>
        </w:rPr>
        <w:t xml:space="preserve">, respecto de la cual, quienes suscriben, emiten </w:t>
      </w:r>
      <w:r w:rsidRPr="00B662E1">
        <w:rPr>
          <w:rFonts w:ascii="Palatino Linotype" w:eastAsia="Palatino Linotype" w:hAnsi="Palatino Linotype" w:cs="Palatino Linotype"/>
          <w:b/>
        </w:rPr>
        <w:t>VOTO PARTICULAR CONCURRENTE</w:t>
      </w:r>
      <w:r w:rsidRPr="00B662E1">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29D6792D" w14:textId="77777777" w:rsidR="00184DC6" w:rsidRPr="00B662E1" w:rsidRDefault="00184DC6">
      <w:pPr>
        <w:spacing w:after="0" w:line="360" w:lineRule="auto"/>
        <w:jc w:val="both"/>
        <w:rPr>
          <w:rFonts w:ascii="Palatino Linotype" w:eastAsia="Palatino Linotype" w:hAnsi="Palatino Linotype" w:cs="Palatino Linotype"/>
        </w:rPr>
      </w:pPr>
    </w:p>
    <w:p w14:paraId="3BE6D384" w14:textId="63920393" w:rsidR="0024169B"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A través de la solicitud de acceso a la información que nos ocupa, el Particular, requirió</w:t>
      </w:r>
      <w:r w:rsidR="0024169B" w:rsidRPr="00B662E1">
        <w:rPr>
          <w:rFonts w:ascii="Palatino Linotype" w:eastAsia="Palatino Linotype" w:hAnsi="Palatino Linotype" w:cs="Palatino Linotype"/>
        </w:rPr>
        <w:t xml:space="preserve">: </w:t>
      </w:r>
    </w:p>
    <w:p w14:paraId="621E8F68" w14:textId="77777777" w:rsidR="00A6013D" w:rsidRPr="00B662E1" w:rsidRDefault="00A6013D">
      <w:pPr>
        <w:spacing w:after="0" w:line="360" w:lineRule="auto"/>
        <w:jc w:val="both"/>
        <w:rPr>
          <w:rFonts w:ascii="Palatino Linotype" w:eastAsia="Palatino Linotype" w:hAnsi="Palatino Linotype" w:cs="Palatino Linotype"/>
        </w:rPr>
      </w:pPr>
    </w:p>
    <w:p w14:paraId="3BF0534B"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r w:rsidRPr="0024169B">
        <w:rPr>
          <w:rFonts w:ascii="Palatino Linotype" w:eastAsia="Palatino Linotype" w:hAnsi="Palatino Linotype" w:cs="Palatino Linotype"/>
          <w:i/>
          <w:iCs/>
          <w:lang w:val="es-MX"/>
        </w:rPr>
        <w:t>El Padrón de Proveedores con los que cuenta el Sistema Municipal para el Desarrollo Integral de la Familia de Tultitlán, actualizada al primero de julio del dos mil veinticuatro.</w:t>
      </w:r>
    </w:p>
    <w:p w14:paraId="0DB82DAE"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r w:rsidRPr="0024169B">
        <w:rPr>
          <w:rFonts w:ascii="Palatino Linotype" w:eastAsia="Palatino Linotype" w:hAnsi="Palatino Linotype" w:cs="Palatino Linotype"/>
          <w:i/>
          <w:iCs/>
          <w:lang w:val="es-MX"/>
        </w:rPr>
        <w:t>Todas y cada una de las compras y adquisiciones que se han realizado del uno de enero al uno de julio del dos mil veinticuatro, con el soporte documental tales como facturas y la evidencia de su entrega.</w:t>
      </w:r>
    </w:p>
    <w:p w14:paraId="6DBD1FFC"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r w:rsidRPr="0024169B">
        <w:rPr>
          <w:rFonts w:ascii="Palatino Linotype" w:eastAsia="Palatino Linotype" w:hAnsi="Palatino Linotype" w:cs="Palatino Linotype"/>
          <w:i/>
          <w:iCs/>
          <w:lang w:val="es-MX"/>
        </w:rPr>
        <w:lastRenderedPageBreak/>
        <w:t xml:space="preserve"> Todas y cada una de las donaciones que haya recibo el Sistema Municipal.</w:t>
      </w:r>
    </w:p>
    <w:p w14:paraId="0B80F418"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r w:rsidRPr="0024169B">
        <w:rPr>
          <w:rFonts w:ascii="Palatino Linotype" w:eastAsia="Palatino Linotype" w:hAnsi="Palatino Linotype" w:cs="Palatino Linotype"/>
          <w:i/>
          <w:iCs/>
          <w:lang w:val="es-MX"/>
        </w:rPr>
        <w:t>Todos y cada uno de los procesos de licitación pública, ya sea local, nacional o internacional que se hayan llevado del periodo que comprende del primero de enero al primero de julio del dos mil veinticuatro.</w:t>
      </w:r>
    </w:p>
    <w:p w14:paraId="6D2105C5"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bookmarkStart w:id="0" w:name="_heading=h.4d34og8"/>
      <w:bookmarkEnd w:id="0"/>
      <w:r w:rsidRPr="0024169B">
        <w:rPr>
          <w:rFonts w:ascii="Palatino Linotype" w:eastAsia="Palatino Linotype" w:hAnsi="Palatino Linotype" w:cs="Palatino Linotype"/>
          <w:i/>
          <w:iCs/>
          <w:lang w:val="es-MX"/>
        </w:rPr>
        <w:t>Todos y cada uno de los procedimientos de adjudicación ya sea por licitación pública, adjudicación directa o invitación restringida, que se han llevado a cabo del primero de enero al primero de julio de dos mil veinticuatro.</w:t>
      </w:r>
    </w:p>
    <w:p w14:paraId="26E75A98"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bookmarkStart w:id="1" w:name="_heading=h.2s8eyo1"/>
      <w:bookmarkEnd w:id="1"/>
      <w:r w:rsidRPr="0024169B">
        <w:rPr>
          <w:rFonts w:ascii="Palatino Linotype" w:eastAsia="Palatino Linotype" w:hAnsi="Palatino Linotype" w:cs="Palatino Linotype"/>
          <w:i/>
          <w:iCs/>
          <w:lang w:val="es-MX"/>
        </w:rPr>
        <w:t>Todos y cada uno de los contratos celebrados del primero de enero al primero de julio de dos mil veintidós, con los que se ampare la adjudicación a los proveedores para la adquisición de bienes y servicios.</w:t>
      </w:r>
    </w:p>
    <w:p w14:paraId="148B2ECC" w14:textId="739FFB03"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r w:rsidRPr="0024169B">
        <w:rPr>
          <w:rFonts w:ascii="Palatino Linotype" w:eastAsia="Palatino Linotype" w:hAnsi="Palatino Linotype" w:cs="Palatino Linotype"/>
          <w:i/>
          <w:iCs/>
          <w:lang w:val="es-MX"/>
        </w:rPr>
        <w:t>Todas y cada una de las actas de las sesiones ordinarias y extraordinarias llevadas a cabo por parte del Comité de Adquisiciones y Servicios del Sistema Municipal, del primero de enero al primero de julio de dos mil veinticuatro.</w:t>
      </w:r>
    </w:p>
    <w:p w14:paraId="3A8EF6B7"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r w:rsidRPr="0024169B">
        <w:rPr>
          <w:rFonts w:ascii="Palatino Linotype" w:eastAsia="Palatino Linotype" w:hAnsi="Palatino Linotype" w:cs="Palatino Linotype"/>
          <w:i/>
          <w:iCs/>
          <w:lang w:val="es-MX"/>
        </w:rPr>
        <w:t>La relación de todos y cada uno de los vehículos propiedad del Sistema Municipal.</w:t>
      </w:r>
    </w:p>
    <w:p w14:paraId="199BA393" w14:textId="77777777" w:rsidR="0024169B" w:rsidRPr="0024169B" w:rsidRDefault="0024169B" w:rsidP="0024169B">
      <w:pPr>
        <w:numPr>
          <w:ilvl w:val="0"/>
          <w:numId w:val="4"/>
        </w:numPr>
        <w:spacing w:after="0" w:line="276" w:lineRule="auto"/>
        <w:ind w:left="851" w:right="616" w:firstLine="0"/>
        <w:jc w:val="both"/>
        <w:rPr>
          <w:rFonts w:ascii="Palatino Linotype" w:eastAsia="Palatino Linotype" w:hAnsi="Palatino Linotype" w:cs="Palatino Linotype"/>
          <w:i/>
          <w:iCs/>
          <w:lang w:val="es-MX"/>
        </w:rPr>
      </w:pPr>
      <w:r w:rsidRPr="0024169B">
        <w:rPr>
          <w:rFonts w:ascii="Palatino Linotype" w:eastAsia="Palatino Linotype" w:hAnsi="Palatino Linotype" w:cs="Palatino Linotype"/>
          <w:i/>
          <w:iCs/>
          <w:lang w:val="es-MX"/>
        </w:rPr>
        <w:t>Los nombramientos de los Directores, Subdirectores, Jefes de Departamento, Coordinadores y todo servidor público que conforme a la ley del Trabajo de los Servidores Públicos del Estado de México y Municipios, requiera de dicho nombramiento, así como los documentos con los que acreditan que cuentan con el perfil para ocupar el puesto, tales como Título Profesional, Cedula Profesional y experiencia laboral comprobable en el área de adscripción.</w:t>
      </w:r>
    </w:p>
    <w:p w14:paraId="3D638B2A" w14:textId="77777777" w:rsidR="0024169B" w:rsidRPr="00B662E1" w:rsidRDefault="0024169B">
      <w:pPr>
        <w:spacing w:after="0" w:line="360" w:lineRule="auto"/>
        <w:jc w:val="both"/>
        <w:rPr>
          <w:rFonts w:ascii="Palatino Linotype" w:eastAsia="Palatino Linotype" w:hAnsi="Palatino Linotype" w:cs="Palatino Linotype"/>
        </w:rPr>
      </w:pPr>
    </w:p>
    <w:p w14:paraId="23F37536" w14:textId="58025F3E" w:rsidR="00184DC6" w:rsidRPr="00B662E1" w:rsidRDefault="0024169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E</w:t>
      </w:r>
      <w:r w:rsidR="00610EBB" w:rsidRPr="00B662E1">
        <w:rPr>
          <w:rFonts w:ascii="Palatino Linotype" w:eastAsia="Palatino Linotype" w:hAnsi="Palatino Linotype" w:cs="Palatino Linotype"/>
        </w:rPr>
        <w:t xml:space="preserve">n respuesta el Ente Recurrido proporcionó diversos documentos que daban cuenta de lo solicitado, los cuales no fueron impugnados, por lo que </w:t>
      </w:r>
      <w:r w:rsidR="00B662E1" w:rsidRPr="00B662E1">
        <w:rPr>
          <w:rFonts w:ascii="Palatino Linotype" w:eastAsia="Palatino Linotype" w:hAnsi="Palatino Linotype" w:cs="Palatino Linotype"/>
        </w:rPr>
        <w:t xml:space="preserve">no </w:t>
      </w:r>
      <w:r w:rsidR="00610EBB" w:rsidRPr="00B662E1">
        <w:rPr>
          <w:rFonts w:ascii="Palatino Linotype" w:eastAsia="Palatino Linotype" w:hAnsi="Palatino Linotype" w:cs="Palatino Linotype"/>
        </w:rPr>
        <w:t xml:space="preserve">se realizó </w:t>
      </w:r>
      <w:r w:rsidR="00BD193B" w:rsidRPr="00B662E1">
        <w:rPr>
          <w:rFonts w:ascii="Palatino Linotype" w:eastAsia="Palatino Linotype" w:hAnsi="Palatino Linotype" w:cs="Palatino Linotype"/>
        </w:rPr>
        <w:t xml:space="preserve">el </w:t>
      </w:r>
      <w:r w:rsidR="00610EBB" w:rsidRPr="00B662E1">
        <w:rPr>
          <w:rFonts w:ascii="Palatino Linotype" w:eastAsia="Palatino Linotype" w:hAnsi="Palatino Linotype" w:cs="Palatino Linotype"/>
        </w:rPr>
        <w:t>análisis de estos en la resolución y se invocó la figura jurídica de actos consentidos.</w:t>
      </w:r>
    </w:p>
    <w:p w14:paraId="4DE4657E" w14:textId="77777777" w:rsidR="00184DC6" w:rsidRPr="00B662E1" w:rsidRDefault="00184DC6">
      <w:pPr>
        <w:spacing w:after="0" w:line="360" w:lineRule="auto"/>
        <w:jc w:val="both"/>
        <w:rPr>
          <w:rFonts w:ascii="Palatino Linotype" w:eastAsia="Palatino Linotype" w:hAnsi="Palatino Linotype" w:cs="Palatino Linotype"/>
        </w:rPr>
      </w:pPr>
    </w:p>
    <w:p w14:paraId="4E167A8C" w14:textId="17D0B75C"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A partir de tales actuaciones, se consideró procedente dar vista a la Dirección General de Protección de Datos Personales; sin embargo, el Particular, no se inconformó respecto de la información entregada, sino de los documentos faltantes, a saber, el </w:t>
      </w:r>
      <w:r w:rsidR="00BD193B" w:rsidRPr="00B662E1">
        <w:rPr>
          <w:rFonts w:ascii="Palatino Linotype" w:eastAsia="Palatino Linotype" w:hAnsi="Palatino Linotype" w:cs="Palatino Linotype"/>
        </w:rPr>
        <w:t xml:space="preserve">Padrón de Proveedores con los que cuenta el Sistema Municipal para el Desarrollo Integral de la Familia de Tultitlán, actualizada al primero de julio del dos mil veinticuatro y los contratos celebrados </w:t>
      </w:r>
      <w:r w:rsidR="00BD193B" w:rsidRPr="00B662E1">
        <w:rPr>
          <w:rFonts w:ascii="Palatino Linotype" w:eastAsia="Palatino Linotype" w:hAnsi="Palatino Linotype" w:cs="Palatino Linotype"/>
        </w:rPr>
        <w:lastRenderedPageBreak/>
        <w:t xml:space="preserve">del primero de enero al primero de julio de dos mil veintidós, con los que se ampare la adjudicación a los proveedores para la adquisición de bienes y servicios. </w:t>
      </w:r>
      <w:r w:rsidRPr="00B662E1">
        <w:rPr>
          <w:rFonts w:ascii="Palatino Linotype" w:eastAsia="Palatino Linotype" w:hAnsi="Palatino Linotype" w:cs="Palatino Linotype"/>
        </w:rPr>
        <w:t>Al respecto, es preciso mencionar que, si bien se comparte el sentido de la Resolución emitida, no coincidimos en el sentido de dar vista al área de datos personales, máxime de que los documentos por los cuales se da la vista no fueron impugnados</w:t>
      </w:r>
      <w:r w:rsidR="00321B60">
        <w:rPr>
          <w:rFonts w:ascii="Palatino Linotype" w:eastAsia="Palatino Linotype" w:hAnsi="Palatino Linotype" w:cs="Palatino Linotype"/>
        </w:rPr>
        <w:t>, ni formaron parte del estudio</w:t>
      </w:r>
      <w:r w:rsidRPr="00B662E1">
        <w:rPr>
          <w:rFonts w:ascii="Palatino Linotype" w:eastAsia="Palatino Linotype" w:hAnsi="Palatino Linotype" w:cs="Palatino Linotype"/>
        </w:rPr>
        <w:t>.</w:t>
      </w:r>
    </w:p>
    <w:p w14:paraId="4F683CA7" w14:textId="77777777" w:rsidR="00184DC6" w:rsidRPr="00B662E1" w:rsidRDefault="00184DC6">
      <w:pPr>
        <w:tabs>
          <w:tab w:val="left" w:pos="0"/>
        </w:tabs>
        <w:spacing w:after="0" w:line="360" w:lineRule="auto"/>
        <w:ind w:right="49"/>
        <w:jc w:val="both"/>
        <w:rPr>
          <w:rFonts w:ascii="Palatino Linotype" w:eastAsia="Palatino Linotype" w:hAnsi="Palatino Linotype" w:cs="Palatino Linotype"/>
        </w:rPr>
      </w:pPr>
    </w:p>
    <w:p w14:paraId="6CEBACCE" w14:textId="77777777" w:rsidR="00184DC6" w:rsidRPr="00B662E1" w:rsidRDefault="00610EBB">
      <w:pPr>
        <w:tabs>
          <w:tab w:val="left" w:pos="0"/>
        </w:tabs>
        <w:spacing w:after="0" w:line="360" w:lineRule="auto"/>
        <w:ind w:right="49"/>
        <w:jc w:val="both"/>
        <w:rPr>
          <w:rFonts w:ascii="Palatino Linotype" w:eastAsia="Palatino Linotype" w:hAnsi="Palatino Linotype" w:cs="Palatino Linotype"/>
        </w:rPr>
      </w:pPr>
      <w:r w:rsidRPr="00B662E1">
        <w:rPr>
          <w:rFonts w:ascii="Palatino Linotype" w:eastAsia="Palatino Linotype" w:hAnsi="Palatino Linotype" w:cs="Palatino Linotype"/>
        </w:rPr>
        <w:t>Determinación que constituye el motivo para la emisión del presente Voto Particular Concurrente, toda vez,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organismo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14:paraId="28514862" w14:textId="77777777" w:rsidR="00184DC6" w:rsidRPr="00B662E1" w:rsidRDefault="00184DC6">
      <w:pPr>
        <w:tabs>
          <w:tab w:val="left" w:pos="0"/>
        </w:tabs>
        <w:spacing w:after="0" w:line="360" w:lineRule="auto"/>
        <w:ind w:right="49"/>
        <w:jc w:val="both"/>
        <w:rPr>
          <w:rFonts w:ascii="Palatino Linotype" w:eastAsia="Palatino Linotype" w:hAnsi="Palatino Linotype" w:cs="Palatino Linotype"/>
        </w:rPr>
      </w:pPr>
    </w:p>
    <w:p w14:paraId="5152A0A8" w14:textId="77777777" w:rsidR="00184DC6" w:rsidRPr="00B662E1" w:rsidRDefault="00610EBB">
      <w:pPr>
        <w:shd w:val="clear" w:color="auto" w:fill="FFFFFF"/>
        <w:spacing w:after="0" w:line="360" w:lineRule="auto"/>
        <w:ind w:right="49"/>
        <w:jc w:val="both"/>
        <w:rPr>
          <w:rFonts w:ascii="Palatino Linotype" w:eastAsia="Palatino Linotype" w:hAnsi="Palatino Linotype" w:cs="Palatino Linotype"/>
        </w:rPr>
      </w:pPr>
      <w:r w:rsidRPr="00B662E1">
        <w:rPr>
          <w:rFonts w:ascii="Palatino Linotype" w:eastAsia="Palatino Linotype" w:hAnsi="Palatino Linotype" w:cs="Palatino Linotype"/>
        </w:rPr>
        <w:t>En ese sentido, es de resaltar que el recurso de revisión es la garantía secundaria mediante la cual se pretende reparar cualquier posible afectación al derecho de acceso a la información pública, en donde las resoluciones de este Organismo Garante pueden:</w:t>
      </w:r>
    </w:p>
    <w:p w14:paraId="69EA2AB0" w14:textId="77777777" w:rsidR="00184DC6" w:rsidRPr="00B662E1" w:rsidRDefault="00184DC6">
      <w:pPr>
        <w:shd w:val="clear" w:color="auto" w:fill="FFFFFF"/>
        <w:spacing w:after="0" w:line="360" w:lineRule="auto"/>
        <w:ind w:right="49"/>
        <w:jc w:val="both"/>
        <w:rPr>
          <w:rFonts w:ascii="Palatino Linotype" w:eastAsia="Palatino Linotype" w:hAnsi="Palatino Linotype" w:cs="Palatino Linotype"/>
        </w:rPr>
      </w:pPr>
    </w:p>
    <w:p w14:paraId="5774A416"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Desechar o sobreseer el recurso</w:t>
      </w:r>
    </w:p>
    <w:p w14:paraId="30C7CD64"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lastRenderedPageBreak/>
        <w:t>Confirma la respuesta del sujeto obligado</w:t>
      </w:r>
    </w:p>
    <w:p w14:paraId="7C1F304B"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Revocar o modificar la respuesta del sujeto obligado; y </w:t>
      </w:r>
    </w:p>
    <w:p w14:paraId="538CAB93" w14:textId="77777777" w:rsidR="00184DC6" w:rsidRPr="00B662E1" w:rsidRDefault="00610EBB">
      <w:pPr>
        <w:numPr>
          <w:ilvl w:val="0"/>
          <w:numId w:val="1"/>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Ordenar la entrega de la información</w:t>
      </w:r>
    </w:p>
    <w:p w14:paraId="569F09D5" w14:textId="77777777" w:rsidR="00184DC6" w:rsidRPr="00B662E1" w:rsidRDefault="00184DC6">
      <w:pPr>
        <w:spacing w:after="0" w:line="360" w:lineRule="auto"/>
        <w:ind w:left="720"/>
        <w:jc w:val="both"/>
        <w:rPr>
          <w:rFonts w:ascii="Palatino Linotype" w:eastAsia="Palatino Linotype" w:hAnsi="Palatino Linotype" w:cs="Palatino Linotype"/>
        </w:rPr>
      </w:pPr>
    </w:p>
    <w:p w14:paraId="2E490BA5"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Cabe agregar que las resoluciones que pronuncie este Instituto deben contener cuatro aspectos importantes:</w:t>
      </w:r>
    </w:p>
    <w:p w14:paraId="4350758F" w14:textId="77777777" w:rsidR="00184DC6" w:rsidRPr="00B662E1" w:rsidRDefault="00184DC6">
      <w:pPr>
        <w:spacing w:after="0" w:line="360" w:lineRule="auto"/>
        <w:jc w:val="both"/>
        <w:rPr>
          <w:rFonts w:ascii="Palatino Linotype" w:eastAsia="Palatino Linotype" w:hAnsi="Palatino Linotype" w:cs="Palatino Linotype"/>
        </w:rPr>
      </w:pPr>
    </w:p>
    <w:p w14:paraId="00BAC6C5"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Lugar, fecha, el nombre del recurrente y del tercero interesado en su caso, sujeto obligado y un extracto de los hechos cuestionados;</w:t>
      </w:r>
    </w:p>
    <w:p w14:paraId="1868228D" w14:textId="77777777" w:rsidR="00184DC6" w:rsidRPr="00B662E1" w:rsidRDefault="00184DC6">
      <w:pPr>
        <w:spacing w:after="0" w:line="360" w:lineRule="auto"/>
        <w:ind w:left="720"/>
        <w:jc w:val="both"/>
        <w:rPr>
          <w:rFonts w:ascii="Palatino Linotype" w:eastAsia="Palatino Linotype" w:hAnsi="Palatino Linotype" w:cs="Palatino Linotype"/>
        </w:rPr>
      </w:pPr>
    </w:p>
    <w:p w14:paraId="6E022A6D"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Los preceptos en que se fundamenten y las consideraciones que las sustenten;</w:t>
      </w:r>
    </w:p>
    <w:p w14:paraId="64228D92" w14:textId="77777777" w:rsidR="00184DC6" w:rsidRPr="00B662E1" w:rsidRDefault="00184DC6">
      <w:pPr>
        <w:spacing w:after="0" w:line="360" w:lineRule="auto"/>
        <w:ind w:left="720"/>
        <w:jc w:val="both"/>
        <w:rPr>
          <w:rFonts w:ascii="Palatino Linotype" w:eastAsia="Palatino Linotype" w:hAnsi="Palatino Linotype" w:cs="Palatino Linotype"/>
        </w:rPr>
      </w:pPr>
    </w:p>
    <w:p w14:paraId="1C9E06EA"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Los alcances y efectos de la resolución, fijando con precisión, en su caso, los sujetos y órganos obligados a cumplirla; y</w:t>
      </w:r>
    </w:p>
    <w:p w14:paraId="757BEF8F" w14:textId="77777777" w:rsidR="00184DC6" w:rsidRPr="00B662E1" w:rsidRDefault="00184DC6">
      <w:pPr>
        <w:pBdr>
          <w:top w:val="nil"/>
          <w:left w:val="nil"/>
          <w:bottom w:val="nil"/>
          <w:right w:val="nil"/>
          <w:between w:val="nil"/>
        </w:pBdr>
        <w:ind w:left="720"/>
        <w:rPr>
          <w:rFonts w:ascii="Palatino Linotype" w:eastAsia="Palatino Linotype" w:hAnsi="Palatino Linotype" w:cs="Palatino Linotype"/>
          <w:color w:val="000000"/>
        </w:rPr>
      </w:pPr>
    </w:p>
    <w:p w14:paraId="2EA235C4" w14:textId="77777777" w:rsidR="00184DC6" w:rsidRPr="00B662E1" w:rsidRDefault="00610EBB">
      <w:pPr>
        <w:numPr>
          <w:ilvl w:val="0"/>
          <w:numId w:val="2"/>
        </w:num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Los puntos resolutivos.</w:t>
      </w:r>
    </w:p>
    <w:p w14:paraId="1FF55A93" w14:textId="77777777" w:rsidR="00184DC6" w:rsidRPr="00B662E1" w:rsidRDefault="00184DC6">
      <w:pPr>
        <w:spacing w:after="0" w:line="360" w:lineRule="auto"/>
        <w:jc w:val="both"/>
        <w:rPr>
          <w:rFonts w:ascii="Palatino Linotype" w:eastAsia="Palatino Linotype" w:hAnsi="Palatino Linotype" w:cs="Palatino Linotype"/>
        </w:rPr>
      </w:pPr>
    </w:p>
    <w:p w14:paraId="22A07FFD"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Sobre este punto, se considera de suma importancia mencionar que, de la normatividad citada, se advierte que este Instituto está facultado entre otras cosas para:</w:t>
      </w:r>
    </w:p>
    <w:p w14:paraId="025AC470" w14:textId="77777777" w:rsidR="00184DC6" w:rsidRPr="00B662E1" w:rsidRDefault="00184DC6">
      <w:pPr>
        <w:spacing w:after="0" w:line="360" w:lineRule="auto"/>
        <w:jc w:val="both"/>
        <w:rPr>
          <w:rFonts w:ascii="Palatino Linotype" w:eastAsia="Palatino Linotype" w:hAnsi="Palatino Linotype" w:cs="Palatino Linotype"/>
        </w:rPr>
      </w:pPr>
    </w:p>
    <w:p w14:paraId="6F2EA0A7" w14:textId="77777777" w:rsidR="00184DC6" w:rsidRPr="00B662E1" w:rsidRDefault="00610EBB">
      <w:pPr>
        <w:numPr>
          <w:ilvl w:val="0"/>
          <w:numId w:val="3"/>
        </w:numPr>
        <w:spacing w:after="0" w:line="360" w:lineRule="auto"/>
        <w:jc w:val="both"/>
        <w:rPr>
          <w:rFonts w:ascii="Palatino Linotype" w:eastAsia="Palatino Linotype" w:hAnsi="Palatino Linotype" w:cs="Palatino Linotype"/>
          <w:i/>
        </w:rPr>
      </w:pPr>
      <w:r w:rsidRPr="00B662E1">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14:paraId="6AD607B3" w14:textId="77777777" w:rsidR="00184DC6" w:rsidRPr="00B662E1" w:rsidRDefault="00184DC6">
      <w:pPr>
        <w:spacing w:after="0" w:line="360" w:lineRule="auto"/>
        <w:ind w:left="720"/>
        <w:jc w:val="both"/>
        <w:rPr>
          <w:rFonts w:ascii="Palatino Linotype" w:eastAsia="Palatino Linotype" w:hAnsi="Palatino Linotype" w:cs="Palatino Linotype"/>
          <w:i/>
        </w:rPr>
      </w:pPr>
    </w:p>
    <w:p w14:paraId="2FF2577D" w14:textId="77777777" w:rsidR="00184DC6" w:rsidRPr="00B662E1" w:rsidRDefault="00610EBB">
      <w:pPr>
        <w:numPr>
          <w:ilvl w:val="0"/>
          <w:numId w:val="3"/>
        </w:numPr>
        <w:spacing w:after="0" w:line="360" w:lineRule="auto"/>
        <w:jc w:val="both"/>
        <w:rPr>
          <w:rFonts w:ascii="Palatino Linotype" w:eastAsia="Palatino Linotype" w:hAnsi="Palatino Linotype" w:cs="Palatino Linotype"/>
          <w:i/>
        </w:rPr>
      </w:pPr>
      <w:r w:rsidRPr="00B662E1">
        <w:rPr>
          <w:rFonts w:ascii="Palatino Linotype" w:eastAsia="Palatino Linotype" w:hAnsi="Palatino Linotype" w:cs="Palatino Linotype"/>
          <w:i/>
        </w:rPr>
        <w:t>Realizar de oficio y a petición de parte, análisis y recomendaciones o en su caso, lineamientos en relación con presuntos incumplimientos a las disposiciones de la Ley, cuando existan elementos suficientes a juicio del Pleno del Instituto;</w:t>
      </w:r>
    </w:p>
    <w:p w14:paraId="7F131AD1" w14:textId="77777777" w:rsidR="00184DC6" w:rsidRPr="00B662E1" w:rsidRDefault="00184DC6">
      <w:pPr>
        <w:spacing w:after="0" w:line="360" w:lineRule="auto"/>
        <w:ind w:left="720"/>
        <w:jc w:val="both"/>
        <w:rPr>
          <w:rFonts w:ascii="Palatino Linotype" w:eastAsia="Palatino Linotype" w:hAnsi="Palatino Linotype" w:cs="Palatino Linotype"/>
          <w:i/>
        </w:rPr>
      </w:pPr>
    </w:p>
    <w:p w14:paraId="1AF8BDE9" w14:textId="77777777" w:rsidR="00184DC6" w:rsidRPr="00B662E1" w:rsidRDefault="00610EBB">
      <w:pPr>
        <w:numPr>
          <w:ilvl w:val="0"/>
          <w:numId w:val="3"/>
        </w:numPr>
        <w:spacing w:after="0" w:line="360" w:lineRule="auto"/>
        <w:jc w:val="both"/>
        <w:rPr>
          <w:rFonts w:ascii="Palatino Linotype" w:eastAsia="Palatino Linotype" w:hAnsi="Palatino Linotype" w:cs="Palatino Linotype"/>
          <w:i/>
        </w:rPr>
      </w:pPr>
      <w:r w:rsidRPr="00B662E1">
        <w:rPr>
          <w:rFonts w:ascii="Palatino Linotype" w:eastAsia="Palatino Linotype" w:hAnsi="Palatino Linotype" w:cs="Palatino Linotype"/>
          <w:i/>
        </w:rPr>
        <w:t>Emitir comunicados públicos sobre el incumplimiento de sus resoluciones o por infracciones reiteradas a la Ley, en el ámbito de su competencia;</w:t>
      </w:r>
    </w:p>
    <w:p w14:paraId="539A6265" w14:textId="77777777" w:rsidR="00184DC6" w:rsidRPr="00B662E1" w:rsidRDefault="00184DC6">
      <w:pPr>
        <w:spacing w:after="0" w:line="360" w:lineRule="auto"/>
        <w:ind w:left="720"/>
        <w:jc w:val="both"/>
        <w:rPr>
          <w:rFonts w:ascii="Palatino Linotype" w:eastAsia="Palatino Linotype" w:hAnsi="Palatino Linotype" w:cs="Palatino Linotype"/>
          <w:i/>
        </w:rPr>
      </w:pPr>
    </w:p>
    <w:p w14:paraId="64BD92DB" w14:textId="77777777" w:rsidR="00184DC6" w:rsidRPr="00B662E1" w:rsidRDefault="00610EBB">
      <w:pPr>
        <w:numPr>
          <w:ilvl w:val="0"/>
          <w:numId w:val="3"/>
        </w:numPr>
        <w:spacing w:after="0" w:line="360" w:lineRule="auto"/>
        <w:jc w:val="both"/>
        <w:rPr>
          <w:rFonts w:ascii="Palatino Linotype" w:eastAsia="Palatino Linotype" w:hAnsi="Palatino Linotype" w:cs="Palatino Linotype"/>
          <w:i/>
        </w:rPr>
      </w:pPr>
      <w:r w:rsidRPr="00B662E1">
        <w:rPr>
          <w:rFonts w:ascii="Palatino Linotype" w:eastAsia="Palatino Linotype" w:hAnsi="Palatino Linotype" w:cs="Palatino Linotype"/>
          <w:i/>
        </w:rPr>
        <w:t>Ordenar a los sujetos obligados la ejecutoría en la entrega de información en términos de la presente Ley;</w:t>
      </w:r>
    </w:p>
    <w:p w14:paraId="57B7D76A" w14:textId="77777777" w:rsidR="00184DC6" w:rsidRPr="00B662E1" w:rsidRDefault="00184DC6">
      <w:pPr>
        <w:spacing w:after="0" w:line="360" w:lineRule="auto"/>
        <w:ind w:left="720"/>
        <w:jc w:val="both"/>
        <w:rPr>
          <w:rFonts w:ascii="Palatino Linotype" w:eastAsia="Palatino Linotype" w:hAnsi="Palatino Linotype" w:cs="Palatino Linotype"/>
          <w:i/>
        </w:rPr>
      </w:pPr>
    </w:p>
    <w:p w14:paraId="42CFE103" w14:textId="77777777" w:rsidR="00184DC6" w:rsidRPr="00B662E1" w:rsidRDefault="00610EBB">
      <w:pPr>
        <w:numPr>
          <w:ilvl w:val="0"/>
          <w:numId w:val="3"/>
        </w:numPr>
        <w:spacing w:after="0" w:line="360" w:lineRule="auto"/>
        <w:jc w:val="both"/>
        <w:rPr>
          <w:rFonts w:ascii="Palatino Linotype" w:eastAsia="Palatino Linotype" w:hAnsi="Palatino Linotype" w:cs="Palatino Linotype"/>
          <w:i/>
        </w:rPr>
      </w:pPr>
      <w:r w:rsidRPr="00B662E1">
        <w:rPr>
          <w:rFonts w:ascii="Palatino Linotype" w:eastAsia="Palatino Linotype" w:hAnsi="Palatino Linotype" w:cs="Palatino Linotype"/>
          <w:i/>
        </w:rPr>
        <w:t>Imponer las medidas de apremio para asegurar el cumplimiento de sus determinaciones;</w:t>
      </w:r>
    </w:p>
    <w:p w14:paraId="3BF81252" w14:textId="77777777" w:rsidR="00184DC6" w:rsidRPr="00B662E1" w:rsidRDefault="00184DC6">
      <w:pPr>
        <w:spacing w:after="0" w:line="360" w:lineRule="auto"/>
        <w:ind w:left="720"/>
        <w:jc w:val="both"/>
        <w:rPr>
          <w:rFonts w:ascii="Palatino Linotype" w:eastAsia="Palatino Linotype" w:hAnsi="Palatino Linotype" w:cs="Palatino Linotype"/>
          <w:i/>
        </w:rPr>
      </w:pPr>
    </w:p>
    <w:p w14:paraId="36E3B2A6" w14:textId="77777777" w:rsidR="00184DC6" w:rsidRPr="00B662E1" w:rsidRDefault="00610EBB">
      <w:pPr>
        <w:numPr>
          <w:ilvl w:val="0"/>
          <w:numId w:val="3"/>
        </w:numPr>
        <w:spacing w:after="0" w:line="360" w:lineRule="auto"/>
        <w:jc w:val="both"/>
        <w:rPr>
          <w:rFonts w:ascii="Palatino Linotype" w:eastAsia="Palatino Linotype" w:hAnsi="Palatino Linotype" w:cs="Palatino Linotype"/>
          <w:i/>
        </w:rPr>
      </w:pPr>
      <w:r w:rsidRPr="00B662E1">
        <w:rPr>
          <w:rFonts w:ascii="Palatino Linotype" w:eastAsia="Palatino Linotype" w:hAnsi="Palatino Linotype" w:cs="Palatino Linotype"/>
          <w:b/>
          <w:i/>
          <w:u w:val="single"/>
        </w:rPr>
        <w:t>Hacer del conocimiento de la instancia competente la probable responsabilidad por el incumplimiento de las obligaciones</w:t>
      </w:r>
      <w:r w:rsidRPr="00B662E1">
        <w:rPr>
          <w:rFonts w:ascii="Palatino Linotype" w:eastAsia="Palatino Linotype" w:hAnsi="Palatino Linotype" w:cs="Palatino Linotype"/>
          <w:i/>
        </w:rPr>
        <w:t xml:space="preserve"> previstas en la Ley y en las demás disposiciones aplicable.  </w:t>
      </w:r>
    </w:p>
    <w:p w14:paraId="5849627E" w14:textId="77777777" w:rsidR="00184DC6" w:rsidRPr="00B662E1" w:rsidRDefault="00184DC6">
      <w:pPr>
        <w:spacing w:after="0" w:line="360" w:lineRule="auto"/>
        <w:jc w:val="both"/>
        <w:rPr>
          <w:rFonts w:ascii="Palatino Linotype" w:eastAsia="Palatino Linotype" w:hAnsi="Palatino Linotype" w:cs="Palatino Linotype"/>
        </w:rPr>
      </w:pPr>
    </w:p>
    <w:p w14:paraId="125473F6"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Establecido lo anterior, debe tomarse en cuenta que la vista a la Dirección General de Protección de Datos Personales de este Instituto, no debió incluirse en los resolutivos de la resolución referida, 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 así en el presente asunto, la vista en mención debe realizarse y tramitarse por cuerda separada, en caso de advertirse que es necesario. </w:t>
      </w:r>
    </w:p>
    <w:p w14:paraId="4CF16554" w14:textId="77777777" w:rsidR="00184DC6" w:rsidRPr="00B662E1" w:rsidRDefault="00184DC6">
      <w:pPr>
        <w:spacing w:after="0" w:line="360" w:lineRule="auto"/>
        <w:jc w:val="both"/>
        <w:rPr>
          <w:rFonts w:ascii="Palatino Linotype" w:eastAsia="Palatino Linotype" w:hAnsi="Palatino Linotype" w:cs="Palatino Linotype"/>
        </w:rPr>
      </w:pPr>
    </w:p>
    <w:p w14:paraId="63C933DC"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Aunado a lo anterior, respecto los actos consentidos de conformidad con lo dispuesto en el artículo 195 de la Ley de Transparencia y Acceso a la Información Pública del Estado de México y Municipios, con relación con el diverso 195, fracción IV, de Código de </w:t>
      </w:r>
      <w:r w:rsidRPr="00B662E1">
        <w:rPr>
          <w:rFonts w:ascii="Palatino Linotype" w:eastAsia="Palatino Linotype" w:hAnsi="Palatino Linotype" w:cs="Palatino Linotype"/>
        </w:rPr>
        <w:lastRenderedPageBreak/>
        <w:t xml:space="preserve">Procedimientos Administrativos del Estado de México, que establece que </w:t>
      </w:r>
      <w:r w:rsidRPr="00B662E1">
        <w:rPr>
          <w:rFonts w:ascii="Palatino Linotype" w:eastAsia="Palatino Linotype" w:hAnsi="Palatino Linotype" w:cs="Palatino Linotype"/>
          <w:u w:val="single"/>
        </w:rPr>
        <w:t>será improcedente el recurso</w:t>
      </w:r>
      <w:r w:rsidRPr="00B662E1">
        <w:rPr>
          <w:rFonts w:ascii="Palatino Linotype" w:eastAsia="Palatino Linotype" w:hAnsi="Palatino Linotype" w:cs="Palatino Linotype"/>
        </w:rPr>
        <w:t xml:space="preserve"> contra los actos que se hayan consentido tácitamente, entendiéndose por éstos cuando el recurso no se haya promovido en el plazo señalado para el efecto.</w:t>
      </w:r>
    </w:p>
    <w:p w14:paraId="38D771CA" w14:textId="77777777" w:rsidR="00184DC6" w:rsidRPr="00B662E1" w:rsidRDefault="00184DC6">
      <w:pPr>
        <w:spacing w:after="0" w:line="360" w:lineRule="auto"/>
        <w:jc w:val="both"/>
        <w:rPr>
          <w:rFonts w:ascii="Palatino Linotype" w:eastAsia="Palatino Linotype" w:hAnsi="Palatino Linotype" w:cs="Palatino Linotype"/>
        </w:rPr>
      </w:pPr>
    </w:p>
    <w:p w14:paraId="3C351751"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 xml:space="preserve">De la misma manera resulta aplicable el criterio sostenido por el Poder Judicial de la Federación de rubro </w:t>
      </w:r>
      <w:r w:rsidRPr="00B662E1">
        <w:rPr>
          <w:rFonts w:ascii="Palatino Linotype" w:eastAsia="Palatino Linotype" w:hAnsi="Palatino Linotype" w:cs="Palatino Linotype"/>
          <w:b/>
        </w:rPr>
        <w:t>ACTOS CONSENTIDOS TÁCITAMENTE</w:t>
      </w:r>
      <w:r w:rsidRPr="00B662E1">
        <w:rPr>
          <w:rFonts w:ascii="Palatino Linotype" w:eastAsia="Palatino Linotype" w:hAnsi="Palatino Linotype" w:cs="Palatino Linotype"/>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5BCC5C76" w14:textId="77777777" w:rsidR="00184DC6" w:rsidRPr="00B662E1" w:rsidRDefault="00184DC6">
      <w:pPr>
        <w:spacing w:after="0" w:line="360" w:lineRule="auto"/>
        <w:jc w:val="both"/>
        <w:rPr>
          <w:rFonts w:ascii="Palatino Linotype" w:eastAsia="Palatino Linotype" w:hAnsi="Palatino Linotype" w:cs="Palatino Linotype"/>
        </w:rPr>
      </w:pPr>
    </w:p>
    <w:p w14:paraId="4A03F322" w14:textId="77777777" w:rsidR="00184DC6" w:rsidRPr="00B662E1" w:rsidRDefault="00610EBB">
      <w:pPr>
        <w:spacing w:after="0" w:line="360" w:lineRule="auto"/>
        <w:jc w:val="both"/>
        <w:rPr>
          <w:rFonts w:ascii="Palatino Linotype" w:eastAsia="Palatino Linotype" w:hAnsi="Palatino Linotype" w:cs="Palatino Linotype"/>
        </w:rPr>
      </w:pPr>
      <w:r w:rsidRPr="00B662E1">
        <w:rPr>
          <w:rFonts w:ascii="Palatino Linotype" w:eastAsia="Palatino Linotype" w:hAnsi="Palatino Linotype" w:cs="Palatino Linotype"/>
        </w:rPr>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tal como fue realizado, sin embargo, al no haber inconformidad ni estu</w:t>
      </w:r>
      <w:bookmarkStart w:id="2" w:name="_GoBack"/>
      <w:bookmarkEnd w:id="2"/>
      <w:r w:rsidRPr="00B662E1">
        <w:rPr>
          <w:rFonts w:ascii="Palatino Linotype" w:eastAsia="Palatino Linotype" w:hAnsi="Palatino Linotype" w:cs="Palatino Linotype"/>
        </w:rPr>
        <w:t>dio sobre las documentales remitidas en respuesta, resulta innecesario la vista citada.</w:t>
      </w:r>
    </w:p>
    <w:p w14:paraId="14933825" w14:textId="77777777" w:rsidR="00184DC6" w:rsidRPr="00B662E1" w:rsidRDefault="00184DC6">
      <w:pPr>
        <w:spacing w:after="0" w:line="360" w:lineRule="auto"/>
        <w:jc w:val="both"/>
        <w:rPr>
          <w:rFonts w:ascii="Palatino Linotype" w:eastAsia="Palatino Linotype" w:hAnsi="Palatino Linotype" w:cs="Palatino Linotype"/>
        </w:rPr>
      </w:pPr>
    </w:p>
    <w:p w14:paraId="69DD3840" w14:textId="77777777" w:rsidR="00A6013D" w:rsidRPr="00B662E1" w:rsidRDefault="00610EBB" w:rsidP="00A6013D">
      <w:pPr>
        <w:spacing w:after="0" w:line="360" w:lineRule="auto"/>
        <w:jc w:val="both"/>
        <w:rPr>
          <w:rFonts w:ascii="Palatino Linotype" w:eastAsia="Palatino Linotype" w:hAnsi="Palatino Linotype" w:cs="Palatino Linotype"/>
        </w:rPr>
        <w:sectPr w:rsidR="00A6013D" w:rsidRPr="00B662E1">
          <w:headerReference w:type="even" r:id="rId9"/>
          <w:headerReference w:type="default" r:id="rId10"/>
          <w:footerReference w:type="default" r:id="rId11"/>
          <w:headerReference w:type="first" r:id="rId12"/>
          <w:pgSz w:w="12240" w:h="15840"/>
          <w:pgMar w:top="1417" w:right="1701" w:bottom="1417" w:left="1701" w:header="426" w:footer="708" w:gutter="0"/>
          <w:pgNumType w:start="1"/>
          <w:cols w:space="720"/>
        </w:sectPr>
      </w:pPr>
      <w:r w:rsidRPr="00B662E1">
        <w:rPr>
          <w:rFonts w:ascii="Palatino Linotype" w:eastAsia="Palatino Linotype" w:hAnsi="Palatino Linotype" w:cs="Palatino Linotype"/>
        </w:rPr>
        <w:t xml:space="preserve">Lo anterior expone razones suficientes para la emisión y presentación del presente </w:t>
      </w:r>
      <w:r w:rsidRPr="00B662E1">
        <w:rPr>
          <w:rFonts w:ascii="Palatino Linotype" w:eastAsia="Palatino Linotype" w:hAnsi="Palatino Linotype" w:cs="Palatino Linotype"/>
          <w:b/>
        </w:rPr>
        <w:t>Voto Particular Concurrente</w:t>
      </w:r>
      <w:r w:rsidRPr="00B662E1">
        <w:rPr>
          <w:rFonts w:ascii="Palatino Linotype" w:eastAsia="Palatino Linotype" w:hAnsi="Palatino Linotype" w:cs="Palatino Linotype"/>
        </w:rPr>
        <w:t xml:space="preserve">, relacionado con la resolución del Recurso de Revisión referido. </w:t>
      </w:r>
    </w:p>
    <w:p w14:paraId="14055B73" w14:textId="76B9A899" w:rsidR="00184DC6" w:rsidRPr="00B662E1" w:rsidRDefault="00184DC6" w:rsidP="00A6013D">
      <w:pPr>
        <w:spacing w:after="0" w:line="360" w:lineRule="auto"/>
        <w:jc w:val="both"/>
        <w:rPr>
          <w:rFonts w:ascii="Palatino Linotype" w:hAnsi="Palatino Linotype"/>
        </w:rPr>
      </w:pPr>
    </w:p>
    <w:sectPr w:rsidR="00184DC6" w:rsidRPr="00B662E1">
      <w:headerReference w:type="default" r:id="rId13"/>
      <w:footerReference w:type="default" r:id="rId14"/>
      <w:pgSz w:w="12240" w:h="15840"/>
      <w:pgMar w:top="1417" w:right="1701" w:bottom="1417" w:left="1701"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54990" w14:textId="77777777" w:rsidR="00E44F47" w:rsidRDefault="00610EBB">
      <w:pPr>
        <w:spacing w:after="0" w:line="240" w:lineRule="auto"/>
      </w:pPr>
      <w:r>
        <w:separator/>
      </w:r>
    </w:p>
  </w:endnote>
  <w:endnote w:type="continuationSeparator" w:id="0">
    <w:p w14:paraId="18C53638" w14:textId="77777777" w:rsidR="00E44F47" w:rsidRDefault="0061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A277" w14:textId="77777777" w:rsidR="00184DC6" w:rsidRDefault="00610EBB">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21B60">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1B60">
      <w:rPr>
        <w:b/>
        <w:noProof/>
        <w:color w:val="000000"/>
        <w:sz w:val="24"/>
        <w:szCs w:val="24"/>
      </w:rPr>
      <w:t>7</w:t>
    </w:r>
    <w:r>
      <w:rPr>
        <w:b/>
        <w:color w:val="000000"/>
        <w:sz w:val="24"/>
        <w:szCs w:val="24"/>
      </w:rPr>
      <w:fldChar w:fldCharType="end"/>
    </w:r>
  </w:p>
  <w:p w14:paraId="32066FBF" w14:textId="77777777" w:rsidR="00184DC6" w:rsidRDefault="00184DC6">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1489" w14:textId="2F6EBE07" w:rsidR="00A6013D" w:rsidRDefault="00A6013D">
    <w:pPr>
      <w:pBdr>
        <w:top w:val="nil"/>
        <w:left w:val="nil"/>
        <w:bottom w:val="nil"/>
        <w:right w:val="nil"/>
        <w:between w:val="nil"/>
      </w:pBdr>
      <w:tabs>
        <w:tab w:val="center" w:pos="4252"/>
        <w:tab w:val="right" w:pos="8504"/>
      </w:tabs>
      <w:spacing w:after="0" w:line="240" w:lineRule="auto"/>
      <w:jc w:val="center"/>
      <w:rPr>
        <w:color w:val="000000"/>
      </w:rPr>
    </w:pPr>
    <w:r>
      <w:rPr>
        <w:color w:val="000000"/>
      </w:rPr>
      <w:t>Página</w:t>
    </w:r>
    <w:r w:rsidRPr="00A6013D">
      <w:rPr>
        <w:b/>
        <w:bCs/>
        <w:color w:val="000000"/>
      </w:rPr>
      <w:t xml:space="preserve"> 7</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21B60">
      <w:rPr>
        <w:b/>
        <w:noProof/>
        <w:color w:val="000000"/>
        <w:sz w:val="24"/>
        <w:szCs w:val="24"/>
      </w:rPr>
      <w:t>7</w:t>
    </w:r>
    <w:r>
      <w:rPr>
        <w:b/>
        <w:color w:val="000000"/>
        <w:sz w:val="24"/>
        <w:szCs w:val="24"/>
      </w:rPr>
      <w:fldChar w:fldCharType="end"/>
    </w:r>
  </w:p>
  <w:p w14:paraId="11A47DC0" w14:textId="77777777" w:rsidR="00A6013D" w:rsidRDefault="00A6013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244D0" w14:textId="77777777" w:rsidR="00E44F47" w:rsidRDefault="00610EBB">
      <w:pPr>
        <w:spacing w:after="0" w:line="240" w:lineRule="auto"/>
      </w:pPr>
      <w:r>
        <w:separator/>
      </w:r>
    </w:p>
  </w:footnote>
  <w:footnote w:type="continuationSeparator" w:id="0">
    <w:p w14:paraId="1ECF634D" w14:textId="77777777" w:rsidR="00E44F47" w:rsidRDefault="00610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5E8C3" w14:textId="77777777" w:rsidR="00184DC6" w:rsidRDefault="00321B60">
    <w:pPr>
      <w:pBdr>
        <w:top w:val="nil"/>
        <w:left w:val="nil"/>
        <w:bottom w:val="nil"/>
        <w:right w:val="nil"/>
        <w:between w:val="nil"/>
      </w:pBdr>
      <w:tabs>
        <w:tab w:val="center" w:pos="4252"/>
        <w:tab w:val="right" w:pos="8504"/>
      </w:tabs>
      <w:spacing w:after="0" w:line="240" w:lineRule="auto"/>
      <w:rPr>
        <w:color w:val="000000"/>
      </w:rPr>
    </w:pPr>
    <w:r>
      <w:rPr>
        <w:color w:val="000000"/>
      </w:rPr>
      <w:pict w14:anchorId="1F4F7C09">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47562A94">
        <v:shape id="PowerPlusWaterMarkObject2" o:spid="_x0000_s2049" type="#_x0000_m2052" style="position:absolute;margin-left:0;margin-top:0;width:541.8pt;height:81.25pt;rotation:315;z-index:-251656704;mso-position-horizontal:center;mso-position-horizontal-relative:margin;mso-position-vertical:center;mso-position-vertical-relative:margin" fillcolor="silver" stroked="f">
          <v:fill opacity=".5" angle="0"/>
          <v:textpath on="t" style="font-family:&quot;&amp;quot&quot;;font-size:1pt" fitshape="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2C26" w14:textId="77777777" w:rsidR="00184DC6" w:rsidRDefault="00184DC6">
    <w:pPr>
      <w:widowControl w:val="0"/>
      <w:pBdr>
        <w:top w:val="nil"/>
        <w:left w:val="nil"/>
        <w:bottom w:val="nil"/>
        <w:right w:val="nil"/>
        <w:between w:val="nil"/>
      </w:pBdr>
      <w:spacing w:after="0" w:line="276" w:lineRule="auto"/>
    </w:pPr>
  </w:p>
  <w:tbl>
    <w:tblPr>
      <w:tblStyle w:val="a"/>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9"/>
      <w:gridCol w:w="5245"/>
    </w:tblGrid>
    <w:tr w:rsidR="00184DC6" w14:paraId="49832D6E" w14:textId="77777777">
      <w:trPr>
        <w:trHeight w:val="1843"/>
      </w:trPr>
      <w:tc>
        <w:tcPr>
          <w:tcW w:w="3969" w:type="dxa"/>
          <w:vAlign w:val="bottom"/>
        </w:tcPr>
        <w:p w14:paraId="334B8A7E" w14:textId="77777777" w:rsidR="00184DC6" w:rsidRDefault="00610EBB">
          <w:pPr>
            <w:pBdr>
              <w:top w:val="nil"/>
              <w:left w:val="nil"/>
              <w:bottom w:val="nil"/>
              <w:right w:val="nil"/>
              <w:between w:val="nil"/>
            </w:pBdr>
            <w:tabs>
              <w:tab w:val="center" w:pos="4252"/>
              <w:tab w:val="right" w:pos="8504"/>
              <w:tab w:val="center" w:pos="2614"/>
            </w:tabs>
            <w:ind w:left="-255"/>
            <w:rPr>
              <w:color w:val="000000"/>
            </w:rPr>
          </w:pPr>
          <w:r>
            <w:rPr>
              <w:noProof/>
              <w:lang w:val="es-MX"/>
            </w:rPr>
            <w:drawing>
              <wp:anchor distT="0" distB="0" distL="114300" distR="114300" simplePos="0" relativeHeight="251655680" behindDoc="0" locked="0" layoutInCell="1" hidden="0" allowOverlap="1" wp14:anchorId="4FAC4A47" wp14:editId="1FAA6FD2">
                <wp:simplePos x="0" y="0"/>
                <wp:positionH relativeFrom="column">
                  <wp:posOffset>-329564</wp:posOffset>
                </wp:positionH>
                <wp:positionV relativeFrom="paragraph">
                  <wp:posOffset>-861059</wp:posOffset>
                </wp:positionV>
                <wp:extent cx="1873250" cy="11264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126490"/>
                        </a:xfrm>
                        <a:prstGeom prst="rect">
                          <a:avLst/>
                        </a:prstGeom>
                        <a:ln/>
                      </pic:spPr>
                    </pic:pic>
                  </a:graphicData>
                </a:graphic>
              </wp:anchor>
            </w:drawing>
          </w:r>
        </w:p>
        <w:p w14:paraId="740CD1B2" w14:textId="77777777" w:rsidR="00184DC6" w:rsidRDefault="00184DC6">
          <w:pPr>
            <w:pBdr>
              <w:top w:val="nil"/>
              <w:left w:val="nil"/>
              <w:bottom w:val="nil"/>
              <w:right w:val="nil"/>
              <w:between w:val="nil"/>
            </w:pBdr>
            <w:tabs>
              <w:tab w:val="center" w:pos="4252"/>
              <w:tab w:val="right" w:pos="8504"/>
              <w:tab w:val="center" w:pos="2614"/>
            </w:tabs>
            <w:ind w:left="-255"/>
            <w:rPr>
              <w:color w:val="000000"/>
            </w:rPr>
          </w:pPr>
        </w:p>
      </w:tc>
      <w:tc>
        <w:tcPr>
          <w:tcW w:w="5245" w:type="dxa"/>
          <w:vAlign w:val="center"/>
        </w:tcPr>
        <w:p w14:paraId="2AD59645" w14:textId="77777777" w:rsidR="00184DC6" w:rsidRDefault="00610EBB">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 Concurrente</w:t>
          </w:r>
        </w:p>
        <w:p w14:paraId="5EF2B19A" w14:textId="767DCD32" w:rsidR="00184DC6" w:rsidRDefault="00610EBB">
          <w:pPr>
            <w:pBdr>
              <w:top w:val="nil"/>
              <w:left w:val="nil"/>
              <w:bottom w:val="nil"/>
              <w:right w:val="nil"/>
              <w:between w:val="nil"/>
            </w:pBdr>
            <w:tabs>
              <w:tab w:val="center" w:pos="4252"/>
              <w:tab w:val="right" w:pos="8504"/>
            </w:tabs>
            <w:ind w:left="-108" w:right="3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0</w:t>
          </w:r>
          <w:r w:rsidR="00B72811">
            <w:rPr>
              <w:rFonts w:ascii="Palatino Linotype" w:eastAsia="Palatino Linotype" w:hAnsi="Palatino Linotype" w:cs="Palatino Linotype"/>
              <w:color w:val="000000"/>
            </w:rPr>
            <w:t>4696</w:t>
          </w:r>
          <w:r>
            <w:rPr>
              <w:rFonts w:ascii="Palatino Linotype" w:eastAsia="Palatino Linotype" w:hAnsi="Palatino Linotype" w:cs="Palatino Linotype"/>
              <w:color w:val="000000"/>
            </w:rPr>
            <w:t>/INFOEM/IP/RR/202</w:t>
          </w:r>
          <w:r w:rsidR="00B72811">
            <w:rPr>
              <w:rFonts w:ascii="Palatino Linotype" w:eastAsia="Palatino Linotype" w:hAnsi="Palatino Linotype" w:cs="Palatino Linotype"/>
              <w:color w:val="000000"/>
            </w:rPr>
            <w:t>4</w:t>
          </w:r>
        </w:p>
        <w:p w14:paraId="1F94474D" w14:textId="4265F9D5" w:rsidR="00184DC6" w:rsidRDefault="00610EBB">
          <w:pPr>
            <w:pBdr>
              <w:top w:val="nil"/>
              <w:left w:val="nil"/>
              <w:bottom w:val="nil"/>
              <w:right w:val="nil"/>
              <w:between w:val="nil"/>
            </w:pBdr>
            <w:tabs>
              <w:tab w:val="center" w:pos="4252"/>
              <w:tab w:val="right" w:pos="8504"/>
            </w:tabs>
            <w:ind w:left="-108" w:right="1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B72811" w:rsidRPr="00B72811">
            <w:rPr>
              <w:rFonts w:ascii="Palatino Linotype" w:eastAsia="Palatino Linotype" w:hAnsi="Palatino Linotype" w:cs="Palatino Linotype"/>
              <w:color w:val="000000"/>
            </w:rPr>
            <w:t>Sistema Municipal Para el Desarrollo Integral de la Familia de Tultitlan</w:t>
          </w:r>
        </w:p>
        <w:p w14:paraId="16800D19" w14:textId="77777777" w:rsidR="00184DC6" w:rsidRDefault="00610EBB">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Comisionado Ponente: </w:t>
          </w:r>
          <w:r>
            <w:rPr>
              <w:rFonts w:ascii="Palatino Linotype" w:eastAsia="Palatino Linotype" w:hAnsi="Palatino Linotype" w:cs="Palatino Linotype"/>
              <w:color w:val="000000"/>
            </w:rPr>
            <w:t xml:space="preserve">Luis Gustavo Parra Noriega </w:t>
          </w:r>
        </w:p>
      </w:tc>
    </w:tr>
  </w:tbl>
  <w:p w14:paraId="4872BB63" w14:textId="77777777" w:rsidR="00184DC6" w:rsidRDefault="00184DC6">
    <w:pPr>
      <w:pBdr>
        <w:top w:val="nil"/>
        <w:left w:val="nil"/>
        <w:bottom w:val="nil"/>
        <w:right w:val="nil"/>
        <w:between w:val="nil"/>
      </w:pBdr>
      <w:tabs>
        <w:tab w:val="center" w:pos="4252"/>
        <w:tab w:val="right" w:pos="8504"/>
      </w:tabs>
      <w:spacing w:after="0" w:line="240" w:lineRule="auto"/>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A6F6" w14:textId="77777777" w:rsidR="00184DC6" w:rsidRDefault="00321B60">
    <w:pPr>
      <w:pBdr>
        <w:top w:val="nil"/>
        <w:left w:val="nil"/>
        <w:bottom w:val="nil"/>
        <w:right w:val="nil"/>
        <w:between w:val="nil"/>
      </w:pBdr>
      <w:tabs>
        <w:tab w:val="center" w:pos="4252"/>
        <w:tab w:val="right" w:pos="8504"/>
      </w:tabs>
      <w:spacing w:after="0" w:line="240" w:lineRule="auto"/>
      <w:rPr>
        <w:color w:val="000000"/>
      </w:rPr>
    </w:pPr>
    <w:r>
      <w:rPr>
        <w:color w:val="000000"/>
      </w:rPr>
      <w:pict w14:anchorId="68907F96">
        <v:shapetype id="_x0000_m205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0A7B9575">
        <v:shape id="PowerPlusWaterMarkObject1" o:spid="_x0000_s2050" type="#_x0000_m2051" style="position:absolute;margin-left:0;margin-top:0;width:541.8pt;height:81.25pt;rotation:315;z-index:-251657728;mso-position-horizontal:center;mso-position-horizontal-relative:margin;mso-position-vertical:center;mso-position-vertical-relative:margin" fillcolor="silver" stroked="f">
          <v:fill opacity=".5" angle="0"/>
          <v:textpath on="t" style="font-family:&quot;&amp;quot&quot;;font-size:1pt" fitshape="t" string="VOTO PARTICULA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28D87" w14:textId="77777777" w:rsidR="00A6013D" w:rsidRDefault="00A6013D">
    <w:pPr>
      <w:widowControl w:val="0"/>
      <w:pBdr>
        <w:top w:val="nil"/>
        <w:left w:val="nil"/>
        <w:bottom w:val="nil"/>
        <w:right w:val="nil"/>
        <w:between w:val="nil"/>
      </w:pBdr>
      <w:spacing w:after="0" w:line="276" w:lineRule="auto"/>
    </w:pPr>
  </w:p>
  <w:p w14:paraId="0CA81EF1" w14:textId="77777777" w:rsidR="00A6013D" w:rsidRDefault="00A6013D">
    <w:pPr>
      <w:pBdr>
        <w:top w:val="nil"/>
        <w:left w:val="nil"/>
        <w:bottom w:val="nil"/>
        <w:right w:val="nil"/>
        <w:between w:val="nil"/>
      </w:pBdr>
      <w:tabs>
        <w:tab w:val="center" w:pos="4252"/>
        <w:tab w:val="right" w:pos="8504"/>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1F18"/>
    <w:multiLevelType w:val="multilevel"/>
    <w:tmpl w:val="4022C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54565"/>
    <w:multiLevelType w:val="multilevel"/>
    <w:tmpl w:val="F2A08060"/>
    <w:lvl w:ilvl="0">
      <w:start w:val="1"/>
      <w:numFmt w:val="decimal"/>
      <w:lvlText w:val="%1."/>
      <w:lvlJc w:val="left"/>
      <w:pPr>
        <w:ind w:left="420" w:hanging="36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5C43C6F"/>
    <w:multiLevelType w:val="multilevel"/>
    <w:tmpl w:val="71681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321D5C"/>
    <w:multiLevelType w:val="multilevel"/>
    <w:tmpl w:val="15D4B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C6"/>
    <w:rsid w:val="0018380F"/>
    <w:rsid w:val="00184DC6"/>
    <w:rsid w:val="001B6939"/>
    <w:rsid w:val="0024169B"/>
    <w:rsid w:val="00321B60"/>
    <w:rsid w:val="00395A98"/>
    <w:rsid w:val="00445EC7"/>
    <w:rsid w:val="004F47E1"/>
    <w:rsid w:val="00610EBB"/>
    <w:rsid w:val="00997E1E"/>
    <w:rsid w:val="00A36015"/>
    <w:rsid w:val="00A6013D"/>
    <w:rsid w:val="00B63F33"/>
    <w:rsid w:val="00B662E1"/>
    <w:rsid w:val="00B72811"/>
    <w:rsid w:val="00BD193B"/>
    <w:rsid w:val="00E44F47"/>
    <w:rsid w:val="00F25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DC47A9"/>
  <w15:docId w15:val="{A00EE7A7-1DE6-4C49-AA1F-443C28A6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2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85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5322"/>
    <w:rPr>
      <w:kern w:val="0"/>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85322"/>
    <w:rPr>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685322"/>
    <w:pPr>
      <w:ind w:left="720"/>
      <w:contextualSpacing/>
    </w:pPr>
    <w:rPr>
      <w:kern w:val="2"/>
    </w:rPr>
  </w:style>
  <w:style w:type="paragraph" w:styleId="Piedepgina">
    <w:name w:val="footer"/>
    <w:basedOn w:val="Normal"/>
    <w:link w:val="PiedepginaCar"/>
    <w:uiPriority w:val="99"/>
    <w:unhideWhenUsed/>
    <w:rsid w:val="00685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5322"/>
    <w:rPr>
      <w:kern w:val="0"/>
      <w:lang w:val="es-ES"/>
    </w:rPr>
  </w:style>
  <w:style w:type="table" w:styleId="Tablaconcuadrcula">
    <w:name w:val="Table Grid"/>
    <w:basedOn w:val="Tablanormal"/>
    <w:uiPriority w:val="59"/>
    <w:rsid w:val="0068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55924">
      <w:bodyDiv w:val="1"/>
      <w:marLeft w:val="0"/>
      <w:marRight w:val="0"/>
      <w:marTop w:val="0"/>
      <w:marBottom w:val="0"/>
      <w:divBdr>
        <w:top w:val="none" w:sz="0" w:space="0" w:color="auto"/>
        <w:left w:val="none" w:sz="0" w:space="0" w:color="auto"/>
        <w:bottom w:val="none" w:sz="0" w:space="0" w:color="auto"/>
        <w:right w:val="none" w:sz="0" w:space="0" w:color="auto"/>
      </w:divBdr>
    </w:div>
    <w:div w:id="138637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aP4eKZunVqJtJJsPkuz2MgFFg==">CgMxLjA4AHIhMXJuYWtja1lFb25ZOFJNWmE5WWg4UDN1VmZ6aU12X1ZD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E4D07F1-E574-42B6-B87E-B18D765D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1551</Words>
  <Characters>8534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INFOEM402</cp:lastModifiedBy>
  <cp:revision>12</cp:revision>
  <dcterms:created xsi:type="dcterms:W3CDTF">2024-10-07T01:33:00Z</dcterms:created>
  <dcterms:modified xsi:type="dcterms:W3CDTF">2025-01-16T20:28:00Z</dcterms:modified>
</cp:coreProperties>
</file>