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87769" w14:textId="77777777" w:rsidR="00913480" w:rsidRDefault="00646F1F">
      <w:pPr>
        <w:spacing w:before="240" w:after="240" w:line="360" w:lineRule="auto"/>
        <w:ind w:right="51"/>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TRIGÉSIMA</w:t>
      </w:r>
      <w:r w:rsidR="00EF519E">
        <w:rPr>
          <w:rFonts w:ascii="Palatino Linotype" w:eastAsia="Palatino Linotype" w:hAnsi="Palatino Linotype" w:cs="Palatino Linotype"/>
          <w:b/>
        </w:rPr>
        <w:t xml:space="preserve"> PRIMERA</w:t>
      </w:r>
      <w:r>
        <w:rPr>
          <w:rFonts w:ascii="Palatino Linotype" w:eastAsia="Palatino Linotype" w:hAnsi="Palatino Linotype" w:cs="Palatino Linotype"/>
          <w:b/>
        </w:rPr>
        <w:t xml:space="preserve"> SESIÓN ORDINARIA DEL </w:t>
      </w:r>
      <w:r w:rsidR="00EF519E">
        <w:rPr>
          <w:rFonts w:ascii="Palatino Linotype" w:eastAsia="Palatino Linotype" w:hAnsi="Palatino Linotype" w:cs="Palatino Linotype"/>
          <w:b/>
        </w:rPr>
        <w:t>CUATRO</w:t>
      </w:r>
      <w:r>
        <w:rPr>
          <w:rFonts w:ascii="Palatino Linotype" w:eastAsia="Palatino Linotype" w:hAnsi="Palatino Linotype" w:cs="Palatino Linotype"/>
          <w:b/>
        </w:rPr>
        <w:t xml:space="preserve"> DE </w:t>
      </w:r>
      <w:r w:rsidR="00EF519E">
        <w:rPr>
          <w:rFonts w:ascii="Palatino Linotype" w:eastAsia="Palatino Linotype" w:hAnsi="Palatino Linotype" w:cs="Palatino Linotype"/>
          <w:b/>
        </w:rPr>
        <w:t xml:space="preserve">SEPTIEMBRE </w:t>
      </w:r>
      <w:r>
        <w:rPr>
          <w:rFonts w:ascii="Palatino Linotype" w:eastAsia="Palatino Linotype" w:hAnsi="Palatino Linotype" w:cs="Palatino Linotype"/>
          <w:b/>
        </w:rPr>
        <w:t>DE DOS MIL VEINTICUATRO EN EL RECURSO DE REVISIÓN 0</w:t>
      </w:r>
      <w:r w:rsidR="00EF519E">
        <w:rPr>
          <w:rFonts w:ascii="Palatino Linotype" w:eastAsia="Palatino Linotype" w:hAnsi="Palatino Linotype" w:cs="Palatino Linotype"/>
          <w:b/>
        </w:rPr>
        <w:t>1710/INFOEM/IP/RR/2024</w:t>
      </w:r>
      <w:r>
        <w:rPr>
          <w:rFonts w:ascii="Palatino Linotype" w:eastAsia="Palatino Linotype" w:hAnsi="Palatino Linotype" w:cs="Palatino Linotype"/>
          <w:b/>
        </w:rPr>
        <w:t>.</w:t>
      </w:r>
    </w:p>
    <w:p w14:paraId="0F09A527" w14:textId="77777777" w:rsidR="00913480" w:rsidRDefault="00646F1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rPr>
        <w:t>0</w:t>
      </w:r>
      <w:r w:rsidR="00EF519E">
        <w:rPr>
          <w:rFonts w:ascii="Palatino Linotype" w:eastAsia="Palatino Linotype" w:hAnsi="Palatino Linotype" w:cs="Palatino Linotype"/>
          <w:b/>
        </w:rPr>
        <w:t>1710</w:t>
      </w:r>
      <w:r>
        <w:rPr>
          <w:rFonts w:ascii="Palatino Linotype" w:eastAsia="Palatino Linotype" w:hAnsi="Palatino Linotype" w:cs="Palatino Linotype"/>
          <w:b/>
        </w:rPr>
        <w:t>/INFOEM/IP/RR/202</w:t>
      </w:r>
      <w:r w:rsidR="00EF519E">
        <w:rPr>
          <w:rFonts w:ascii="Palatino Linotype" w:eastAsia="Palatino Linotype" w:hAnsi="Palatino Linotype" w:cs="Palatino Linotype"/>
          <w:b/>
        </w:rPr>
        <w:t>4</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001190E1" w14:textId="77777777" w:rsidR="00913480" w:rsidRDefault="00646F1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resulta importante señalar que coincido con los términos generales planteados en la Resolución, no obstante, considero que en el </w:t>
      </w:r>
      <w:r w:rsidR="00EF519E">
        <w:rPr>
          <w:rFonts w:ascii="Palatino Linotype" w:eastAsia="Palatino Linotype" w:hAnsi="Palatino Linotype" w:cs="Palatino Linotype"/>
        </w:rPr>
        <w:t xml:space="preserve">caso la nómina </w:t>
      </w:r>
      <w:r>
        <w:rPr>
          <w:rFonts w:ascii="Palatino Linotype" w:eastAsia="Palatino Linotype" w:hAnsi="Palatino Linotype" w:cs="Palatino Linotype"/>
        </w:rPr>
        <w:t xml:space="preserve">de los elementos operativos adscritos a la Dirección de Seguridad Pública y Tránsito, deben tomarse en cuenta las consideraciones que a continuación se exponen. </w:t>
      </w:r>
    </w:p>
    <w:p w14:paraId="3CEFB4B2" w14:textId="77777777" w:rsidR="00913480" w:rsidRDefault="00913480">
      <w:pPr>
        <w:spacing w:before="240" w:after="240" w:line="360" w:lineRule="auto"/>
        <w:ind w:right="51"/>
        <w:jc w:val="both"/>
        <w:rPr>
          <w:rFonts w:ascii="Palatino Linotype" w:eastAsia="Palatino Linotype" w:hAnsi="Palatino Linotype" w:cs="Palatino Linotype"/>
        </w:rPr>
      </w:pPr>
    </w:p>
    <w:p w14:paraId="52F3E9E7" w14:textId="77777777" w:rsidR="00913480" w:rsidRDefault="00646F1F">
      <w:pPr>
        <w:spacing w:before="240" w:after="240" w:line="360" w:lineRule="auto"/>
        <w:ind w:right="51"/>
        <w:jc w:val="both"/>
        <w:rPr>
          <w:rFonts w:ascii="Palatino Linotype" w:eastAsia="Palatino Linotype" w:hAnsi="Palatino Linotype" w:cs="Palatino Linotype"/>
        </w:rPr>
      </w:pPr>
      <w:bookmarkStart w:id="1" w:name="_heading=h.2et92p0" w:colFirst="0" w:colLast="0"/>
      <w:bookmarkEnd w:id="1"/>
      <w:r>
        <w:rPr>
          <w:rFonts w:ascii="Palatino Linotype" w:eastAsia="Palatino Linotype" w:hAnsi="Palatino Linotype" w:cs="Palatino Linotype"/>
        </w:rPr>
        <w:lastRenderedPageBreak/>
        <w:t xml:space="preserve"> 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14:paraId="72613734" w14:textId="77777777" w:rsidR="00913480" w:rsidRDefault="00646F1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14:paraId="168FC280" w14:textId="77777777" w:rsidR="00913480" w:rsidRDefault="00646F1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14:paraId="24255EAD" w14:textId="77777777" w:rsidR="00913480" w:rsidRDefault="00646F1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w:t>
      </w:r>
      <w:r>
        <w:rPr>
          <w:rFonts w:ascii="Palatino Linotype" w:eastAsia="Palatino Linotype" w:hAnsi="Palatino Linotype" w:cs="Palatino Linotype"/>
        </w:rPr>
        <w:lastRenderedPageBreak/>
        <w:t>instituciones, y propiciar condiciones durables que permitan a los ciudadanos desarrollar sus capacidades, en un ambiente de paz y democracia.</w:t>
      </w:r>
    </w:p>
    <w:p w14:paraId="48ADD2D6" w14:textId="77777777" w:rsidR="00913480" w:rsidRDefault="00646F1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14:paraId="4F7E3A3A" w14:textId="77777777" w:rsidR="00913480" w:rsidRDefault="00646F1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14:paraId="388C9EC9" w14:textId="77777777" w:rsidR="00913480" w:rsidRDefault="00646F1F">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r>
        <w:rPr>
          <w:rFonts w:ascii="Palatino Linotype" w:eastAsia="Palatino Linotype" w:hAnsi="Palatino Linotype" w:cs="Palatino Linotype"/>
          <w:b/>
          <w:i/>
          <w:sz w:val="20"/>
          <w:szCs w:val="20"/>
        </w:rPr>
        <w:t>Artículo 81.-</w:t>
      </w:r>
      <w:r>
        <w:rPr>
          <w:rFonts w:ascii="Palatino Linotype" w:eastAsia="Palatino Linotype" w:hAnsi="Palatino Linotype" w:cs="Palatino Linotype"/>
          <w:i/>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14:paraId="05B44516" w14:textId="77777777" w:rsidR="00913480" w:rsidRDefault="00646F1F">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14:paraId="6FCB1C14" w14:textId="77777777" w:rsidR="00913480" w:rsidRDefault="00646F1F">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sz w:val="20"/>
          <w:szCs w:val="20"/>
        </w:rPr>
        <w:t xml:space="preserve">” </w:t>
      </w:r>
    </w:p>
    <w:p w14:paraId="5E012938" w14:textId="77777777" w:rsidR="00913480" w:rsidRDefault="00646F1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14:paraId="6D973038" w14:textId="77777777" w:rsidR="00913480" w:rsidRDefault="00646F1F">
      <w:pPr>
        <w:spacing w:before="120" w:after="120" w:line="276" w:lineRule="auto"/>
        <w:ind w:left="567" w:right="618"/>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“Ley General de Transparencia y Acceso a la Información Pública:</w:t>
      </w:r>
    </w:p>
    <w:p w14:paraId="5C21BD3E" w14:textId="77777777" w:rsidR="00913480" w:rsidRDefault="00646F1F">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113</w:t>
      </w:r>
      <w:r>
        <w:rPr>
          <w:rFonts w:ascii="Palatino Linotype" w:eastAsia="Palatino Linotype" w:hAnsi="Palatino Linotype" w:cs="Palatino Linotype"/>
          <w:i/>
          <w:sz w:val="20"/>
          <w:szCs w:val="20"/>
        </w:rPr>
        <w:t>. Como información reservada podrá clasificarse aquella cuya publicación:</w:t>
      </w:r>
    </w:p>
    <w:p w14:paraId="1565D8C1" w14:textId="77777777" w:rsidR="00913480" w:rsidRDefault="00646F1F">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I. Comprometa la seguridad nacional, la seguridad pública o la defensa nacional y cuente con un propósito genuino y un efecto demostrable</w:t>
      </w:r>
      <w:r>
        <w:rPr>
          <w:rFonts w:ascii="Palatino Linotype" w:eastAsia="Palatino Linotype" w:hAnsi="Palatino Linotype" w:cs="Palatino Linotype"/>
          <w:i/>
          <w:sz w:val="20"/>
          <w:szCs w:val="20"/>
        </w:rPr>
        <w:t>;”</w:t>
      </w:r>
    </w:p>
    <w:p w14:paraId="7F3926CC" w14:textId="77777777" w:rsidR="00913480" w:rsidRDefault="00646F1F">
      <w:pPr>
        <w:spacing w:before="120" w:after="120" w:line="276" w:lineRule="auto"/>
        <w:ind w:left="567" w:right="618"/>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“Ley de Transparencia y Acceso a la Información Pública del Estado de México y Municipios: </w:t>
      </w:r>
    </w:p>
    <w:p w14:paraId="4E925346" w14:textId="77777777" w:rsidR="00913480" w:rsidRDefault="00646F1F">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140</w:t>
      </w:r>
      <w:r>
        <w:rPr>
          <w:rFonts w:ascii="Palatino Linotype" w:eastAsia="Palatino Linotype" w:hAnsi="Palatino Linotype" w:cs="Palatino Linotype"/>
          <w:i/>
          <w:sz w:val="20"/>
          <w:szCs w:val="20"/>
        </w:rPr>
        <w:t>. El acceso a la información pública será restringido excepcionalmente, cuando por razones de interés público, ésta sea clasificada como reservada, conforme a los criterios siguientes:</w:t>
      </w:r>
    </w:p>
    <w:p w14:paraId="5E91854F" w14:textId="77777777" w:rsidR="00913480" w:rsidRDefault="00646F1F">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I. Comprometa la seguridad pública y cuente con un propósito genuino y un efecto demostrable</w:t>
      </w:r>
      <w:r>
        <w:rPr>
          <w:rFonts w:ascii="Palatino Linotype" w:eastAsia="Palatino Linotype" w:hAnsi="Palatino Linotype" w:cs="Palatino Linotype"/>
          <w:i/>
          <w:sz w:val="20"/>
          <w:szCs w:val="20"/>
        </w:rPr>
        <w:t>…”</w:t>
      </w:r>
    </w:p>
    <w:p w14:paraId="0FB42296" w14:textId="77777777" w:rsidR="00913480" w:rsidRDefault="00646F1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14:paraId="0C9F83C7" w14:textId="77777777" w:rsidR="00913480" w:rsidRDefault="00646F1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14:paraId="5E8F0E02" w14:textId="77777777" w:rsidR="00913480" w:rsidRDefault="00646F1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w:t>
      </w:r>
      <w:r>
        <w:rPr>
          <w:rFonts w:ascii="Palatino Linotype" w:eastAsia="Palatino Linotype" w:hAnsi="Palatino Linotype" w:cs="Palatino Linotype"/>
        </w:rPr>
        <w:lastRenderedPageBreak/>
        <w:t>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14:paraId="31193CB7" w14:textId="77777777" w:rsidR="00913480" w:rsidRDefault="00646F1F">
      <w:pPr>
        <w:spacing w:before="240" w:after="240" w:line="360" w:lineRule="auto"/>
        <w:ind w:right="49"/>
        <w:jc w:val="both"/>
        <w:rPr>
          <w:rFonts w:ascii="Palatino Linotype" w:eastAsia="Palatino Linotype" w:hAnsi="Palatino Linotype" w:cs="Palatino Linotype"/>
        </w:rPr>
      </w:pPr>
      <w:bookmarkStart w:id="2" w:name="_heading=h.3znysh7" w:colFirst="0" w:colLast="0"/>
      <w:bookmarkEnd w:id="2"/>
      <w:r>
        <w:rPr>
          <w:rFonts w:ascii="Palatino Linotype" w:eastAsia="Palatino Linotype" w:hAnsi="Palatino Linotype" w:cs="Palatino Linotype"/>
        </w:rPr>
        <w:t>En conclusión, la reserva del personal operativo procede por dos circunstancias:</w:t>
      </w:r>
    </w:p>
    <w:p w14:paraId="303B1817" w14:textId="77777777" w:rsidR="00913480" w:rsidRDefault="00646F1F">
      <w:pPr>
        <w:spacing w:before="240" w:after="240" w:line="360" w:lineRule="auto"/>
        <w:ind w:left="284" w:right="49"/>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14:paraId="6617FB80" w14:textId="77777777" w:rsidR="00913480" w:rsidRDefault="00646F1F">
      <w:pPr>
        <w:spacing w:before="240" w:after="240" w:line="360" w:lineRule="auto"/>
        <w:ind w:left="567" w:right="49"/>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14:paraId="411852D7" w14:textId="77777777" w:rsidR="00913480" w:rsidRDefault="00646F1F">
      <w:pPr>
        <w:spacing w:before="240" w:after="240" w:line="360" w:lineRule="auto"/>
        <w:ind w:left="567" w:right="49"/>
        <w:jc w:val="both"/>
        <w:rPr>
          <w:rFonts w:ascii="Palatino Linotype" w:eastAsia="Palatino Linotype" w:hAnsi="Palatino Linotype" w:cs="Palatino Linotype"/>
        </w:rPr>
      </w:pPr>
      <w:bookmarkStart w:id="3" w:name="_heading=h.1fob9te" w:colFirst="0" w:colLast="0"/>
      <w:bookmarkEnd w:id="3"/>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14:paraId="5D2EC6D0" w14:textId="77777777" w:rsidR="00913480" w:rsidRDefault="00646F1F">
      <w:pPr>
        <w:spacing w:before="240" w:after="240" w:line="360" w:lineRule="auto"/>
        <w:ind w:left="284"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14:paraId="668E090E" w14:textId="77777777" w:rsidR="00913480" w:rsidRDefault="00646F1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14:paraId="71FE42B6" w14:textId="77777777" w:rsidR="00913480" w:rsidRDefault="00646F1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14:paraId="42523E26" w14:textId="77777777" w:rsidR="00913480" w:rsidRDefault="00646F1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14:paraId="6826FF5C" w14:textId="77777777" w:rsidR="00646F1F" w:rsidRDefault="00646F1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la suscrita considera que es de vital importancia señalar que para los casos en los que los particulares deseen conocer las percepciones de los elementos operativos de las instituciones de seguridad pública, estas se pueden otorgar mediante el tabulador de </w:t>
      </w:r>
      <w:r>
        <w:rPr>
          <w:rFonts w:ascii="Palatino Linotype" w:eastAsia="Palatino Linotype" w:hAnsi="Palatino Linotype" w:cs="Palatino Linotype"/>
        </w:rPr>
        <w:lastRenderedPageBreak/>
        <w:t>sueldos, pues en este soporte se asientan los puestos funcionales y las remuneraciones, como se observa a continuación:</w:t>
      </w:r>
    </w:p>
    <w:p w14:paraId="3B1F582B" w14:textId="77777777" w:rsidR="00913480" w:rsidRDefault="00913480">
      <w:pPr>
        <w:spacing w:after="0" w:line="360" w:lineRule="auto"/>
        <w:jc w:val="both"/>
        <w:rPr>
          <w:rFonts w:ascii="Palatino Linotype" w:eastAsia="Palatino Linotype" w:hAnsi="Palatino Linotype" w:cs="Palatino Linotype"/>
        </w:rPr>
      </w:pPr>
    </w:p>
    <w:p w14:paraId="3C864B1A" w14:textId="77777777" w:rsidR="00913480" w:rsidRDefault="00646F1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w:drawing>
          <wp:inline distT="0" distB="0" distL="0" distR="0" wp14:anchorId="264F33A0" wp14:editId="477C5425">
            <wp:extent cx="5612130" cy="4968875"/>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612130" cy="4968875"/>
                    </a:xfrm>
                    <a:prstGeom prst="rect">
                      <a:avLst/>
                    </a:prstGeom>
                    <a:ln/>
                  </pic:spPr>
                </pic:pic>
              </a:graphicData>
            </a:graphic>
          </wp:inline>
        </w:drawing>
      </w:r>
    </w:p>
    <w:p w14:paraId="06FC0A5A" w14:textId="77777777" w:rsidR="00913480" w:rsidRDefault="00646F1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w:lastRenderedPageBreak/>
        <w:drawing>
          <wp:inline distT="0" distB="0" distL="0" distR="0" wp14:anchorId="07B4F32D" wp14:editId="43E1AFC2">
            <wp:extent cx="5612130" cy="4557395"/>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4557395"/>
                    </a:xfrm>
                    <a:prstGeom prst="rect">
                      <a:avLst/>
                    </a:prstGeom>
                    <a:ln/>
                  </pic:spPr>
                </pic:pic>
              </a:graphicData>
            </a:graphic>
          </wp:inline>
        </w:drawing>
      </w:r>
    </w:p>
    <w:p w14:paraId="0E25D360" w14:textId="77777777" w:rsidR="00913480" w:rsidRDefault="00646F1F">
      <w:pPr>
        <w:spacing w:after="0" w:line="360" w:lineRule="auto"/>
        <w:ind w:right="139"/>
        <w:jc w:val="both"/>
        <w:rPr>
          <w:rFonts w:ascii="Palatino Linotype" w:eastAsia="Palatino Linotype" w:hAnsi="Palatino Linotype" w:cs="Palatino Linotype"/>
        </w:rPr>
      </w:pPr>
      <w:bookmarkStart w:id="4" w:name="_heading=h.tyjcwt" w:colFirst="0" w:colLast="0"/>
      <w:bookmarkEnd w:id="4"/>
      <w:r>
        <w:rPr>
          <w:rFonts w:ascii="Palatino Linotype" w:eastAsia="Palatino Linotype" w:hAnsi="Palatino Linotype" w:cs="Palatino Linotype"/>
        </w:rPr>
        <w:t xml:space="preserve">De manera que con la consulta de este documento podrá visualizarse con claridad el cargo y las percepciones, sin conocer el estado de fuerza de las entidades públicas y así no se restringe el derecho de acceso a la información de los particulares. </w:t>
      </w:r>
    </w:p>
    <w:p w14:paraId="5C2AB196" w14:textId="77777777" w:rsidR="004F42C2" w:rsidRDefault="00646F1F">
      <w:pPr>
        <w:tabs>
          <w:tab w:val="left" w:pos="851"/>
        </w:tabs>
        <w:spacing w:before="240" w:after="240" w:line="360" w:lineRule="auto"/>
        <w:ind w:right="49"/>
        <w:jc w:val="both"/>
        <w:rPr>
          <w:rFonts w:ascii="Palatino Linotype" w:eastAsia="Palatino Linotype" w:hAnsi="Palatino Linotype" w:cs="Palatino Linotype"/>
        </w:rPr>
      </w:pPr>
      <w:bookmarkStart w:id="5" w:name="_heading=h.jkaxn8mgxy7q" w:colFirst="0" w:colLast="0"/>
      <w:bookmarkEnd w:id="5"/>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w:t>
      </w:r>
      <w:r>
        <w:rPr>
          <w:rFonts w:ascii="Palatino Linotype" w:eastAsia="Palatino Linotype" w:hAnsi="Palatino Linotype" w:cs="Palatino Linotype"/>
          <w:b/>
          <w:u w:val="single"/>
        </w:rPr>
        <w:lastRenderedPageBreak/>
        <w:t xml:space="preserve">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w:t>
      </w:r>
      <w:r w:rsidR="004F42C2">
        <w:rPr>
          <w:rFonts w:ascii="Palatino Linotype" w:eastAsia="Palatino Linotype" w:hAnsi="Palatino Linotype" w:cs="Palatino Linotype"/>
        </w:rPr>
        <w:t xml:space="preserve">stituciones de seguridad pública. </w:t>
      </w:r>
    </w:p>
    <w:p w14:paraId="6CEBABAB" w14:textId="77777777" w:rsidR="004F42C2" w:rsidRDefault="004F42C2" w:rsidP="004F42C2">
      <w:pPr>
        <w:spacing w:after="0" w:line="360" w:lineRule="auto"/>
        <w:ind w:right="49"/>
        <w:jc w:val="both"/>
        <w:rPr>
          <w:rFonts w:ascii="Palatino Linotype" w:eastAsia="Palatino Linotype" w:hAnsi="Palatino Linotype" w:cs="Palatino Linotype"/>
          <w:sz w:val="24"/>
          <w:szCs w:val="24"/>
        </w:rPr>
      </w:pPr>
    </w:p>
    <w:p w14:paraId="2825B9B5" w14:textId="77777777" w:rsidR="004F42C2" w:rsidRDefault="004F42C2" w:rsidP="004F42C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otra parte,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 </w:t>
      </w:r>
    </w:p>
    <w:p w14:paraId="4A520E86" w14:textId="77777777" w:rsidR="004F42C2" w:rsidRDefault="004F42C2" w:rsidP="004F42C2">
      <w:pPr>
        <w:spacing w:after="0" w:line="360" w:lineRule="auto"/>
        <w:ind w:right="49"/>
        <w:jc w:val="both"/>
        <w:rPr>
          <w:rFonts w:ascii="Palatino Linotype" w:eastAsia="Palatino Linotype" w:hAnsi="Palatino Linotype" w:cs="Palatino Linotype"/>
          <w:sz w:val="24"/>
          <w:szCs w:val="24"/>
        </w:rPr>
      </w:pPr>
    </w:p>
    <w:p w14:paraId="4904063E" w14:textId="77777777" w:rsidR="004F42C2" w:rsidRDefault="004F42C2" w:rsidP="004F42C2">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Sin embargo, es preciso mencionar que, el presente voto se formula en relación a que la información que se ordena, se trata de documentos en los que consta el número de placas de los vehículos oficiales del Sujeto Obligado.</w:t>
      </w:r>
    </w:p>
    <w:p w14:paraId="3A705104" w14:textId="77777777" w:rsidR="004F42C2" w:rsidRDefault="004F42C2" w:rsidP="004F42C2">
      <w:pPr>
        <w:spacing w:after="0" w:line="360" w:lineRule="auto"/>
        <w:ind w:right="49"/>
        <w:jc w:val="both"/>
        <w:rPr>
          <w:rFonts w:ascii="Palatino Linotype" w:eastAsia="Palatino Linotype" w:hAnsi="Palatino Linotype" w:cs="Palatino Linotype"/>
          <w:sz w:val="24"/>
          <w:szCs w:val="24"/>
        </w:rPr>
      </w:pPr>
    </w:p>
    <w:p w14:paraId="01E0CDCA" w14:textId="77777777" w:rsidR="004F42C2" w:rsidRDefault="004F42C2" w:rsidP="004F42C2">
      <w:pPr>
        <w:spacing w:after="0" w:line="360" w:lineRule="auto"/>
        <w:ind w:right="140"/>
        <w:jc w:val="both"/>
        <w:rPr>
          <w:rFonts w:ascii="Palatino Linotype" w:eastAsia="Palatino Linotype" w:hAnsi="Palatino Linotype" w:cs="Palatino Linotype"/>
          <w:sz w:val="24"/>
          <w:szCs w:val="24"/>
        </w:rPr>
      </w:pPr>
      <w:bookmarkStart w:id="6" w:name="_heading=h.1wfw07ww7niu" w:colFirst="0" w:colLast="0"/>
      <w:bookmarkEnd w:id="6"/>
      <w:r>
        <w:rPr>
          <w:rFonts w:ascii="Palatino Linotype" w:eastAsia="Palatino Linotype" w:hAnsi="Palatino Linotype" w:cs="Palatino Linotype"/>
          <w:sz w:val="24"/>
          <w:szCs w:val="24"/>
        </w:rPr>
        <w:t xml:space="preserve">Razón por la que, la suscrita considera que se debió considerar en el estudio que </w:t>
      </w:r>
      <w:r>
        <w:rPr>
          <w:rFonts w:ascii="Palatino Linotype" w:eastAsia="Palatino Linotype" w:hAnsi="Palatino Linotype" w:cs="Palatino Linotype"/>
          <w:color w:val="000000"/>
          <w:sz w:val="24"/>
          <w:szCs w:val="24"/>
        </w:rPr>
        <w:t xml:space="preserve">toda vez que los </w:t>
      </w:r>
      <w:r>
        <w:rPr>
          <w:rFonts w:ascii="Palatino Linotype" w:eastAsia="Palatino Linotype" w:hAnsi="Palatino Linotype" w:cs="Palatino Linotype"/>
          <w:sz w:val="24"/>
          <w:szCs w:val="24"/>
        </w:rPr>
        <w:t xml:space="preserve">documentos de los cuales se ordenar la entrega contienen el número de placas de los vehículos asignados al personal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debe clasificarse como información reservada; lo anterior, </w:t>
      </w:r>
      <w:r>
        <w:rPr>
          <w:rFonts w:ascii="Palatino Linotype" w:eastAsia="Palatino Linotype" w:hAnsi="Palatino Linotype" w:cs="Palatino Linotype"/>
          <w:color w:val="000000"/>
          <w:sz w:val="24"/>
          <w:szCs w:val="24"/>
        </w:rPr>
        <w:t xml:space="preserve">al vincularse </w:t>
      </w:r>
      <w:r>
        <w:rPr>
          <w:rFonts w:ascii="Palatino Linotype" w:eastAsia="Palatino Linotype" w:hAnsi="Palatino Linotype" w:cs="Palatino Linotype"/>
          <w:sz w:val="24"/>
          <w:szCs w:val="24"/>
        </w:rPr>
        <w:t>con el servidor público que lo tiene bajo su uso.</w:t>
      </w:r>
    </w:p>
    <w:p w14:paraId="28436EDD" w14:textId="77777777" w:rsidR="004F42C2" w:rsidRDefault="004F42C2" w:rsidP="004F42C2">
      <w:pPr>
        <w:spacing w:after="0" w:line="360" w:lineRule="auto"/>
        <w:ind w:right="140"/>
        <w:jc w:val="both"/>
        <w:rPr>
          <w:rFonts w:ascii="Palatino Linotype" w:eastAsia="Palatino Linotype" w:hAnsi="Palatino Linotype" w:cs="Palatino Linotype"/>
          <w:sz w:val="24"/>
          <w:szCs w:val="24"/>
        </w:rPr>
      </w:pPr>
    </w:p>
    <w:p w14:paraId="3E00DBC5" w14:textId="77777777" w:rsidR="004F42C2" w:rsidRDefault="004F42C2" w:rsidP="004F42C2">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sentido, se considera que toda vez, que los datos de identificación de los vehículos, concretamente respecto del número de placa vinculado con el nombre del servidor público que lo tiene bajo su uso, se trata de información que hace plenamente identificable a un vehículo, siendo altamente posible identificar también a sus tripulantes. </w:t>
      </w:r>
    </w:p>
    <w:p w14:paraId="41FBE9FC" w14:textId="77777777" w:rsidR="004F42C2" w:rsidRDefault="004F42C2" w:rsidP="004F42C2">
      <w:pPr>
        <w:spacing w:after="0" w:line="360" w:lineRule="auto"/>
        <w:ind w:right="139"/>
        <w:jc w:val="both"/>
        <w:rPr>
          <w:rFonts w:ascii="Palatino Linotype" w:eastAsia="Palatino Linotype" w:hAnsi="Palatino Linotype" w:cs="Palatino Linotype"/>
          <w:sz w:val="24"/>
          <w:szCs w:val="24"/>
        </w:rPr>
      </w:pPr>
    </w:p>
    <w:p w14:paraId="784C4515"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 anterior, conforme a lo establecido en la Ley de Transparencia y Acceso a la Información Pública del Estado de México y Municipios, ya que prevé que la clasificación de la información es el proceso mediante el cual el Sujeto Obligado determina que la información en su poder, actualiza alguno de los supuestos de reserva o confidencialidad.</w:t>
      </w:r>
    </w:p>
    <w:p w14:paraId="21031CFC"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sz w:val="24"/>
          <w:szCs w:val="24"/>
        </w:rPr>
      </w:pPr>
    </w:p>
    <w:p w14:paraId="0F7BA7D2"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el entendido de que la clasificación de la información se llevará a cabo en el momento en que se reciba una solicitud de acceso a la información, se determine mediante resolución de autoridad competente o se generen versiones públicas para dar cumplimiento a las obligaciones de transparencia previstas en la ley.</w:t>
      </w:r>
    </w:p>
    <w:p w14:paraId="15E1E694"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sz w:val="24"/>
          <w:szCs w:val="24"/>
        </w:rPr>
      </w:pPr>
    </w:p>
    <w:p w14:paraId="16577397"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excepcionalmente por razones de interés público, se clasificará como reservada aquella información pública que encuadre en alguno de los supuestos previstos en el artículo 140 de la Ley de la materia, y que para el caso concreto se </w:t>
      </w:r>
      <w:r>
        <w:rPr>
          <w:rFonts w:ascii="Palatino Linotype" w:eastAsia="Palatino Linotype" w:hAnsi="Palatino Linotype" w:cs="Palatino Linotype"/>
          <w:sz w:val="24"/>
          <w:szCs w:val="24"/>
        </w:rPr>
        <w:lastRenderedPageBreak/>
        <w:t>actualiza el previsto en la fracción IV, esto es ponga en riesgo la vida, seguridad o la salud de una persona física.</w:t>
      </w:r>
    </w:p>
    <w:p w14:paraId="33FA27B2"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sz w:val="24"/>
          <w:szCs w:val="24"/>
        </w:rPr>
      </w:pPr>
    </w:p>
    <w:p w14:paraId="1ED1A837"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tanto que se clasificará como información confidencial, entre otras y atendiendo al caso que nos ocupa, la información privada, datos personales concernientes a una persona física o jurídico colectiva identificada o identificable.</w:t>
      </w:r>
    </w:p>
    <w:p w14:paraId="6C2F0392"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sz w:val="24"/>
          <w:szCs w:val="24"/>
        </w:rPr>
      </w:pPr>
    </w:p>
    <w:p w14:paraId="62A8DDB7"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acuerdo con lo anterior y conforme a las actuaciones que integran el expediente electrónico, la información  que se ordena entregar; es decir, la bitácora del consumo de combustible contiene datos de identificación de las unidades que son utilizadas por servidores públicos adscritos al Sujeto Obligado para el desarrollo de sus funciones; información que a criterio de la mayoría de los integrantes del Pleno, se trata de datos que deben dejarse visibles; por lo que, no se pronunció al respecto. </w:t>
      </w:r>
    </w:p>
    <w:p w14:paraId="034EA20E"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sz w:val="24"/>
          <w:szCs w:val="24"/>
        </w:rPr>
      </w:pPr>
    </w:p>
    <w:p w14:paraId="7AABAE20"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Es de precisar que, considero que el número de placas es susceptible de reservase sí se vincula con el nombre del servidor público que lo tiene bajo su uso, toda vez que los vehículos, con independencia de que sean particulares o pertenezcan al parque vehicular del Sujeto Obligado y son utilizados para el desarrollo de las actividades de los servidores públicos, a diferencia de cualquier otro vehículo utilitario, en ellos asisten a eventos públicos derivados de sus funciones y se trasladan de sus oficinas a sus domicilios.</w:t>
      </w:r>
    </w:p>
    <w:p w14:paraId="274406ED"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rPr>
      </w:pPr>
    </w:p>
    <w:p w14:paraId="77CA81E5"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b/>
          <w:u w:val="single"/>
        </w:rPr>
      </w:pPr>
      <w:r>
        <w:rPr>
          <w:rFonts w:ascii="Palatino Linotype" w:eastAsia="Palatino Linotype" w:hAnsi="Palatino Linotype" w:cs="Palatino Linotype"/>
        </w:rPr>
        <w:lastRenderedPageBreak/>
        <w:t xml:space="preserve">Por lo que, proporcionar la información de identificación de un vehículo como el número de placas sí se vincula con el nombre del servidor público que lo tiene bajo su uso, </w:t>
      </w:r>
      <w:r>
        <w:rPr>
          <w:rFonts w:ascii="Palatino Linotype" w:eastAsia="Palatino Linotype" w:hAnsi="Palatino Linotype" w:cs="Palatino Linotype"/>
          <w:b/>
          <w:u w:val="single"/>
        </w:rPr>
        <w:t>aun perteneciendo al servicio público, atenta contra la seguridad del personal que en ellos se trasladan; incluso, se pone en riesgo a su familia, al vulnerar su esfera privada.</w:t>
      </w:r>
    </w:p>
    <w:p w14:paraId="2EE61931"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b/>
          <w:u w:val="single"/>
        </w:rPr>
      </w:pPr>
    </w:p>
    <w:p w14:paraId="4C612EF6"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Aunado a las condiciones socioeconómicas por las que atraviesa el país, en el que han proliferado grupos delictivos, que pudieran utilizar esa información para vulnerar la vida, seguridad o salud de dicho funcionario, de sus familias o entorno social, aumentando, incluso, el riesgo de que personas ajenas a los intereses institucionales intenten realizar actos para inhibir o entrometerse en la función pública, situación que puede corroborarse con la incidencia delictiva, que publica el Secretariado Ejecutivo del Sistema Nacional de Seguridad Pública, en el que en lo toral éste concentra la ocurrencia de delitos registrados en Carpetas de Investigación, reportadas por las Procuradurías de Justicia y las Fiscalías Generales de las entidades federativas, en el caso del fuero común y la Fiscalía General de la República en el fuero federal.</w:t>
      </w:r>
    </w:p>
    <w:p w14:paraId="47537C1E"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sz w:val="24"/>
          <w:szCs w:val="24"/>
        </w:rPr>
      </w:pPr>
    </w:p>
    <w:p w14:paraId="68CD6230"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Sirve de apoyo a lo anterior, el Criterio 9/2008 que sustenta por unanimidad de votos, el Comité de Acceso a la Información y de Protección de Datos Personales de la Suprema Corte de Justicia de la Nación, que cuenta con el siguiente rubro </w:t>
      </w:r>
      <w:r>
        <w:rPr>
          <w:rFonts w:ascii="Palatino Linotype" w:eastAsia="Palatino Linotype" w:hAnsi="Palatino Linotype" w:cs="Palatino Linotype"/>
          <w:b/>
          <w:sz w:val="24"/>
          <w:szCs w:val="24"/>
        </w:rPr>
        <w:t xml:space="preserve">SERVIDORES PÚBLICOS DE LA SUPREMA CORTE DE JUSTICIA DE LA NACIÓN. LA INFORMACIÓN RELATIVA A LOS VEHÍCULOS QUE LES SON ASIGNADOS ES PÚBLICA SALVO POR LO QUE SE REFIERE A LOS DATOS </w:t>
      </w:r>
      <w:r>
        <w:rPr>
          <w:rFonts w:ascii="Palatino Linotype" w:eastAsia="Palatino Linotype" w:hAnsi="Palatino Linotype" w:cs="Palatino Linotype"/>
          <w:b/>
          <w:sz w:val="24"/>
          <w:szCs w:val="24"/>
        </w:rPr>
        <w:lastRenderedPageBreak/>
        <w:t xml:space="preserve">QUE PERMITAN IDENTIFICAR CUÁL CORRESPONDE A CADA UNO DE ELLOS, </w:t>
      </w:r>
      <w:r>
        <w:rPr>
          <w:rFonts w:ascii="Palatino Linotype" w:eastAsia="Palatino Linotype" w:hAnsi="Palatino Linotype" w:cs="Palatino Linotype"/>
          <w:sz w:val="24"/>
          <w:szCs w:val="24"/>
        </w:rPr>
        <w:t>la cual señala:</w:t>
      </w:r>
    </w:p>
    <w:p w14:paraId="2A3CBCBB"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sz w:val="24"/>
          <w:szCs w:val="24"/>
        </w:rPr>
      </w:pPr>
    </w:p>
    <w:p w14:paraId="77211DFC" w14:textId="77777777" w:rsidR="004F42C2" w:rsidRDefault="004F42C2" w:rsidP="004F42C2">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Pr>
          <w:rFonts w:ascii="Palatino Linotype" w:eastAsia="Palatino Linotype" w:hAnsi="Palatino Linotype" w:cs="Palatino Linotype"/>
          <w:i/>
        </w:rPr>
        <w:t xml:space="preserve">“La asignación de vehículos a los servidores públicos de la Suprema Corte de Justicia de la Nación constituye un apoyo que se otorga para coadyuvar en el desempeño de sus funciones y cumplimiento de sus responsabilidades; además, tal apoyo se sujeta al presupuesto autorizado y se ejerce en afectación al mismo. En este sentido, los registros administrativos en que consten los datos inherentes a la asignación de vehículos a dichos servidores públicos (marcas y modelos de autos asignados, así como las fechas de asignación y el kilometraje registrado al momento de la misma), en razón del ejercicio de su cargo, son públicos, en términos de lo dispuesto en los artículos 2° y 7°, fracciones IV y IX, de la Ley Federal de Transparencia y Acceso a la Información Pública Gubernamental. No obstante, </w:t>
      </w:r>
      <w:r>
        <w:rPr>
          <w:rFonts w:ascii="Palatino Linotype" w:eastAsia="Palatino Linotype" w:hAnsi="Palatino Linotype" w:cs="Palatino Linotype"/>
          <w:b/>
          <w:i/>
        </w:rPr>
        <w:t>la naturaleza pública de esta información no debe entenderse de manera absoluta, ya que encuentra su excepción respecto del dato consistente en el nombre de los mencionados servidores públicos, pues al relacionarse con los datos del vehículo o vehículos de su asignación, constituye un dato relevante y trascendente en su vida privada, pues los autos que se les otorgan son usados por ellos en apoyo del ejercicio de sus funciones y responsabilidades, las cuales pueden desarrollarse conjuntamente con sus actividades personales y/o privadas</w:t>
      </w:r>
      <w:r>
        <w:rPr>
          <w:rFonts w:ascii="Palatino Linotype" w:eastAsia="Palatino Linotype" w:hAnsi="Palatino Linotype" w:cs="Palatino Linotype"/>
          <w:i/>
        </w:rPr>
        <w:t>. Por lo tanto, el dato de su nombre relacionado con el de los vehículos de su asignación constituye un dato personal que trasciende a su vida privada que debe ser objeto de protección, ya que su difusión pondría en riesgo el derecho fundamental a la vida privada.”</w:t>
      </w:r>
    </w:p>
    <w:p w14:paraId="4C883466" w14:textId="77777777" w:rsidR="004F42C2" w:rsidRDefault="004F42C2" w:rsidP="004F42C2">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sz w:val="24"/>
          <w:szCs w:val="24"/>
        </w:rPr>
      </w:pPr>
    </w:p>
    <w:p w14:paraId="204EFD9B"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Del criterio en cita, se advierte que no debe proporcionarse el número de placa de los vehículos oficiales que utilizan los servidores públicos si se vincula con el nombre del servidor público que lo tiene bajo su uso, por hacerlos identificables y trascender a su vida privada, garantizando con ello su protección. </w:t>
      </w:r>
    </w:p>
    <w:p w14:paraId="1163E0E7"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sz w:val="24"/>
          <w:szCs w:val="24"/>
        </w:rPr>
      </w:pPr>
    </w:p>
    <w:p w14:paraId="3FB7BD3C"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por las razones expuestas se emite el presente Voto Particular, pues considero que es procedente la reserva del número de placas de los vehículos </w:t>
      </w:r>
      <w:r>
        <w:rPr>
          <w:rFonts w:ascii="Palatino Linotype" w:eastAsia="Palatino Linotype" w:hAnsi="Palatino Linotype" w:cs="Palatino Linotype"/>
          <w:color w:val="000000"/>
          <w:sz w:val="24"/>
          <w:szCs w:val="24"/>
        </w:rPr>
        <w:t>ya que en este caso si se vincula  con el nombre del servidor público que lo tiene bajo su resguardo, en los documentos que se ordena entregar se advierta también el nombre del servidor público que lo tiene asignado,</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al corresponder con información que, por su naturaleza, trasciende en su vida privada, cuyo ámbito de protección es mucho más amplio, al ponderar los derechos que se protegen con la reserva, como la vida, integridad personal, el pleno ejercicio del servicio público, contra el acceso a la información de un particular, lo que resulta proporcional clasificar esta información.</w:t>
      </w:r>
    </w:p>
    <w:p w14:paraId="06E36CEF" w14:textId="77777777" w:rsidR="004F42C2" w:rsidRDefault="004F42C2" w:rsidP="004F42C2">
      <w:pPr>
        <w:pBdr>
          <w:top w:val="nil"/>
          <w:left w:val="nil"/>
          <w:bottom w:val="nil"/>
          <w:right w:val="nil"/>
          <w:between w:val="nil"/>
        </w:pBdr>
        <w:spacing w:after="0" w:line="360" w:lineRule="auto"/>
        <w:ind w:right="142"/>
        <w:jc w:val="both"/>
        <w:rPr>
          <w:rFonts w:ascii="Palatino Linotype" w:eastAsia="Palatino Linotype" w:hAnsi="Palatino Linotype" w:cs="Palatino Linotype"/>
          <w:sz w:val="24"/>
          <w:szCs w:val="24"/>
        </w:rPr>
      </w:pPr>
    </w:p>
    <w:p w14:paraId="5DD6C0E6" w14:textId="77777777" w:rsidR="004F42C2" w:rsidRDefault="004F42C2" w:rsidP="004F42C2">
      <w:pPr>
        <w:pBdr>
          <w:top w:val="nil"/>
          <w:left w:val="nil"/>
          <w:bottom w:val="nil"/>
          <w:right w:val="nil"/>
          <w:between w:val="nil"/>
        </w:pBdr>
        <w:spacing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por todo lo vertido en líneas anteriores la suscrita formula el presente </w:t>
      </w:r>
      <w:r>
        <w:rPr>
          <w:rFonts w:ascii="Palatino Linotype" w:eastAsia="Palatino Linotype" w:hAnsi="Palatino Linotype" w:cs="Palatino Linotype"/>
          <w:b/>
          <w:sz w:val="24"/>
          <w:szCs w:val="24"/>
        </w:rPr>
        <w:t>Voto Particular.</w:t>
      </w:r>
    </w:p>
    <w:p w14:paraId="12B31A9D" w14:textId="77777777" w:rsidR="004F42C2" w:rsidRPr="004F42C2" w:rsidRDefault="004F42C2">
      <w:pPr>
        <w:tabs>
          <w:tab w:val="left" w:pos="851"/>
        </w:tabs>
        <w:spacing w:before="240" w:after="240" w:line="360" w:lineRule="auto"/>
        <w:ind w:right="49"/>
        <w:jc w:val="both"/>
        <w:rPr>
          <w:rFonts w:ascii="Palatino Linotype" w:eastAsia="Palatino Linotype" w:hAnsi="Palatino Linotype" w:cs="Palatino Linotype"/>
        </w:rPr>
      </w:pPr>
    </w:p>
    <w:p w14:paraId="7C10B174" w14:textId="77777777" w:rsidR="00EF519E" w:rsidRDefault="00EF519E">
      <w:pPr>
        <w:tabs>
          <w:tab w:val="left" w:pos="851"/>
        </w:tabs>
        <w:spacing w:before="240" w:after="240" w:line="360" w:lineRule="auto"/>
        <w:ind w:right="49"/>
        <w:jc w:val="both"/>
        <w:rPr>
          <w:rFonts w:ascii="Palatino Linotype" w:eastAsia="Palatino Linotype" w:hAnsi="Palatino Linotype" w:cs="Palatino Linotype"/>
          <w:i/>
        </w:rPr>
      </w:pPr>
    </w:p>
    <w:p w14:paraId="2774A6BA"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412D0383"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76EC9F8A"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6EB16100"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25E31E2F"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1509BB2E"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315E9FD7"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1626C390"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68293796"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10467240"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7999C548"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1B3258AA"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75802ED2"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51912FEA"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49E80723"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6566AF77"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2F665BB2"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04D891FC"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03652D9E"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5B93BB4C"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4D853597"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0A65B9AD"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7B90D0D3"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7DA82A95"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377680C1"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583631DF"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322415F9"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bookmarkStart w:id="7" w:name="_heading=h.30j0zll" w:colFirst="0" w:colLast="0"/>
      <w:bookmarkEnd w:id="7"/>
    </w:p>
    <w:p w14:paraId="2D6BC2C1"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1A1B4307"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22E72003"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17C3DCF9"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5000F3AE"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4F912F07"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0FC61110"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3C894D68"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7A6B6A44"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05D8AA98"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64152E4E" w14:textId="77777777" w:rsidR="00913480" w:rsidRDefault="00913480">
      <w:pPr>
        <w:spacing w:after="0" w:line="360" w:lineRule="auto"/>
        <w:ind w:right="423"/>
        <w:jc w:val="both"/>
        <w:rPr>
          <w:rFonts w:ascii="Palatino Linotype" w:eastAsia="Palatino Linotype" w:hAnsi="Palatino Linotype" w:cs="Palatino Linotype"/>
        </w:rPr>
      </w:pPr>
    </w:p>
    <w:p w14:paraId="1B9E632B" w14:textId="77777777" w:rsidR="00913480" w:rsidRDefault="00913480">
      <w:pPr>
        <w:tabs>
          <w:tab w:val="left" w:pos="709"/>
        </w:tabs>
        <w:spacing w:after="0" w:line="360" w:lineRule="auto"/>
        <w:jc w:val="both"/>
        <w:rPr>
          <w:rFonts w:ascii="Palatino Linotype" w:eastAsia="Palatino Linotype" w:hAnsi="Palatino Linotype" w:cs="Palatino Linotype"/>
          <w:b/>
        </w:rPr>
      </w:pPr>
    </w:p>
    <w:sectPr w:rsidR="00913480">
      <w:headerReference w:type="default" r:id="rId9"/>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3C34" w14:textId="77777777" w:rsidR="00F04AD1" w:rsidRDefault="00F04AD1">
      <w:pPr>
        <w:spacing w:after="0" w:line="240" w:lineRule="auto"/>
      </w:pPr>
      <w:r>
        <w:separator/>
      </w:r>
    </w:p>
  </w:endnote>
  <w:endnote w:type="continuationSeparator" w:id="0">
    <w:p w14:paraId="005CC6C7" w14:textId="77777777" w:rsidR="00F04AD1" w:rsidRDefault="00F0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A80A" w14:textId="77777777" w:rsidR="00F04AD1" w:rsidRDefault="00F04AD1">
      <w:pPr>
        <w:spacing w:after="0" w:line="240" w:lineRule="auto"/>
      </w:pPr>
      <w:r>
        <w:separator/>
      </w:r>
    </w:p>
  </w:footnote>
  <w:footnote w:type="continuationSeparator" w:id="0">
    <w:p w14:paraId="79BFE71D" w14:textId="77777777" w:rsidR="00F04AD1" w:rsidRDefault="00F04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362D" w14:textId="77777777" w:rsidR="00913480" w:rsidRDefault="00913480">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0"/>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10"/>
      <w:gridCol w:w="3397"/>
    </w:tblGrid>
    <w:tr w:rsidR="00913480" w14:paraId="792B8BF7" w14:textId="77777777">
      <w:tc>
        <w:tcPr>
          <w:tcW w:w="2410" w:type="dxa"/>
          <w:vAlign w:val="center"/>
        </w:tcPr>
        <w:p w14:paraId="01AB50A4" w14:textId="77777777" w:rsidR="00913480" w:rsidRDefault="0091348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397" w:type="dxa"/>
          <w:vAlign w:val="center"/>
        </w:tcPr>
        <w:p w14:paraId="24415376" w14:textId="77777777" w:rsidR="00913480" w:rsidRDefault="00646F1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913480" w14:paraId="3CBB9DDA" w14:textId="77777777">
      <w:tc>
        <w:tcPr>
          <w:tcW w:w="2410" w:type="dxa"/>
          <w:vAlign w:val="center"/>
        </w:tcPr>
        <w:p w14:paraId="16A5791F" w14:textId="77777777" w:rsidR="00913480" w:rsidRDefault="00646F1F">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397" w:type="dxa"/>
        </w:tcPr>
        <w:p w14:paraId="65244D70" w14:textId="77777777" w:rsidR="00913480" w:rsidRDefault="00646F1F" w:rsidP="00FB0D42">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w:t>
          </w:r>
          <w:r w:rsidR="00FB0D42">
            <w:rPr>
              <w:rFonts w:ascii="Palatino Linotype" w:eastAsia="Palatino Linotype" w:hAnsi="Palatino Linotype" w:cs="Palatino Linotype"/>
              <w:b/>
              <w:color w:val="000000"/>
              <w:sz w:val="20"/>
              <w:szCs w:val="20"/>
            </w:rPr>
            <w:t>1710/INFOEM/IP/RR/2024</w:t>
          </w:r>
          <w:r>
            <w:rPr>
              <w:rFonts w:ascii="Palatino Linotype" w:eastAsia="Palatino Linotype" w:hAnsi="Palatino Linotype" w:cs="Palatino Linotype"/>
              <w:b/>
              <w:color w:val="000000"/>
              <w:sz w:val="20"/>
              <w:szCs w:val="20"/>
            </w:rPr>
            <w:t xml:space="preserve"> </w:t>
          </w:r>
        </w:p>
      </w:tc>
    </w:tr>
    <w:tr w:rsidR="00913480" w14:paraId="01DB7387" w14:textId="77777777">
      <w:tc>
        <w:tcPr>
          <w:tcW w:w="2410" w:type="dxa"/>
        </w:tcPr>
        <w:p w14:paraId="04A377B6" w14:textId="77777777" w:rsidR="00913480" w:rsidRDefault="00646F1F">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397" w:type="dxa"/>
        </w:tcPr>
        <w:p w14:paraId="0E34277C" w14:textId="77777777" w:rsidR="00913480" w:rsidRDefault="00646F1F" w:rsidP="00FB0D42">
          <w:pP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Ayuntamiento de </w:t>
          </w:r>
          <w:r w:rsidR="00FB0D42">
            <w:rPr>
              <w:rFonts w:ascii="Palatino Linotype" w:eastAsia="Palatino Linotype" w:hAnsi="Palatino Linotype" w:cs="Palatino Linotype"/>
              <w:b/>
            </w:rPr>
            <w:t>Timilpan</w:t>
          </w:r>
        </w:p>
      </w:tc>
    </w:tr>
    <w:tr w:rsidR="00913480" w14:paraId="51294438" w14:textId="77777777">
      <w:tc>
        <w:tcPr>
          <w:tcW w:w="2410" w:type="dxa"/>
        </w:tcPr>
        <w:p w14:paraId="5AEBAD5A" w14:textId="77777777" w:rsidR="00913480" w:rsidRDefault="00FB0D42">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w:t>
          </w:r>
          <w:r w:rsidR="00646F1F">
            <w:rPr>
              <w:rFonts w:ascii="Palatino Linotype" w:eastAsia="Palatino Linotype" w:hAnsi="Palatino Linotype" w:cs="Palatino Linotype"/>
              <w:b/>
              <w:color w:val="000000"/>
              <w:sz w:val="20"/>
              <w:szCs w:val="20"/>
            </w:rPr>
            <w:t xml:space="preserve"> Ponente:</w:t>
          </w:r>
        </w:p>
      </w:tc>
      <w:tc>
        <w:tcPr>
          <w:tcW w:w="3397" w:type="dxa"/>
        </w:tcPr>
        <w:p w14:paraId="1E662F17" w14:textId="77777777" w:rsidR="00913480" w:rsidRDefault="00FB0D42">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José Martínez Vilchis</w:t>
          </w:r>
        </w:p>
      </w:tc>
    </w:tr>
  </w:tbl>
  <w:p w14:paraId="372B0165" w14:textId="77777777" w:rsidR="00913480" w:rsidRDefault="00646F1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14:anchorId="657947AD" wp14:editId="78BFB7F9">
          <wp:simplePos x="0" y="0"/>
          <wp:positionH relativeFrom="column">
            <wp:posOffset>-707527</wp:posOffset>
          </wp:positionH>
          <wp:positionV relativeFrom="paragraph">
            <wp:posOffset>-1205673</wp:posOffset>
          </wp:positionV>
          <wp:extent cx="7521053" cy="9897494"/>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480"/>
    <w:rsid w:val="002D4968"/>
    <w:rsid w:val="004F42C2"/>
    <w:rsid w:val="00630929"/>
    <w:rsid w:val="00646F1F"/>
    <w:rsid w:val="00913480"/>
    <w:rsid w:val="00EF519E"/>
    <w:rsid w:val="00F04AD1"/>
    <w:rsid w:val="00FB0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3E44"/>
  <w15:docId w15:val="{0054A0CD-5507-4BBA-85F7-BA0332C3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yEzOrTyhJ6sfx76NGQ0ERVinSQ==">CgMxLjAyCGguZ2pkZ3hzMgloLjJldDkycDAyCWguM3pueXNoNzIJaC4xZm9iOXRlMghoLnR5amN3dDIOaC5qa2F4bjhtZ3h5N3EyCWguMzBqMHpsbDgAciExSzZ4aThVLUljbDRpd25QOENPS2NmNHp1dmNqTGZwUks=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3045</Words>
  <Characters>16752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inf03m619@outlook.com</cp:lastModifiedBy>
  <cp:revision>2</cp:revision>
  <dcterms:created xsi:type="dcterms:W3CDTF">2024-09-09T19:01:00Z</dcterms:created>
  <dcterms:modified xsi:type="dcterms:W3CDTF">2024-09-09T19:01:00Z</dcterms:modified>
</cp:coreProperties>
</file>