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C54" w:rsidRDefault="00344955">
      <w:pPr>
        <w:spacing w:before="240" w:after="0" w:line="360" w:lineRule="auto"/>
        <w:ind w:right="139"/>
        <w:jc w:val="both"/>
        <w:rPr>
          <w:rFonts w:ascii="Palatino Linotype" w:eastAsia="Palatino Linotype" w:hAnsi="Palatino Linotype" w:cs="Palatino Linotype"/>
          <w:b/>
          <w:sz w:val="24"/>
          <w:szCs w:val="24"/>
        </w:rPr>
      </w:pPr>
      <w:bookmarkStart w:id="0" w:name="_heading=h.1fob9te" w:colFirst="0" w:colLast="0"/>
      <w:bookmarkEnd w:id="0"/>
      <w:r>
        <w:rPr>
          <w:noProof/>
        </w:rPr>
        <mc:AlternateContent>
          <mc:Choice Requires="wps">
            <w:drawing>
              <wp:anchor distT="0" distB="0" distL="0" distR="0" simplePos="0" relativeHeight="251658240" behindDoc="1" locked="0" layoutInCell="1" hidden="0" allowOverlap="1">
                <wp:simplePos x="0" y="0"/>
                <wp:positionH relativeFrom="column">
                  <wp:posOffset>-21925915</wp:posOffset>
                </wp:positionH>
                <wp:positionV relativeFrom="paragraph">
                  <wp:posOffset>222250</wp:posOffset>
                </wp:positionV>
                <wp:extent cx="43579726" cy="43579726"/>
                <wp:effectExtent l="0" t="0" r="0" b="0"/>
                <wp:wrapNone/>
                <wp:docPr id="1612754947" name=""/>
                <wp:cNvGraphicFramePr/>
                <a:graphic xmlns:a="http://schemas.openxmlformats.org/drawingml/2006/main">
                  <a:graphicData uri="http://schemas.microsoft.com/office/word/2010/wordprocessingShape">
                    <wps:wsp>
                      <wps:cNvSpPr/>
                      <wps:spPr>
                        <a:xfrm rot="-2761922">
                          <a:off x="0" y="0"/>
                          <a:ext cx="43579726" cy="43579726"/>
                        </a:xfrm>
                        <a:prstGeom prst="rect">
                          <a:avLst/>
                        </a:prstGeom>
                        <a:noFill/>
                        <a:ln>
                          <a:noFill/>
                        </a:ln>
                      </wps:spPr>
                      <wps:txbx>
                        <w:txbxContent>
                          <w:p w:rsidR="00043C54" w:rsidRDefault="00043C54">
                            <w:pPr>
                              <w:spacing w:before="240" w:after="240" w:line="36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id="_x0000_s1026" style="position:absolute;left:0;text-align:left;margin-left:-1726.45pt;margin-top:17.5pt;width:3431.45pt;height:3431.45pt;rotation:-3016755fd;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o7zwEAAIYDAAAOAAAAZHJzL2Uyb0RvYy54bWysU9uO0zAQfUfiHyy/b3OhbWjUdIVYFSGt&#10;oNLCB7iO3ViKL4zdJv17xk62FHhDvFiei47POTPePo66JxcBXlnT0GKRUyIMt60yp4Z+/7Z/eE+J&#10;D8y0rLdGNPQqPH3cvX2zHVwtStvZvhVAEMT4enAN7UJwdZZ53gnN/MI6YbAoLWgWMIRT1gIbEF33&#10;WZnn62yw0DqwXHiP2aepSHcJX0rBw1cpvQikbyhyC+mEdB7jme22rD4Bc53iMw32Dyw0UwYfvUE9&#10;scDIGdRfUFpxsN7KsOBWZ1ZKxUXSgGqK/A81Lx1zImlBc7y72eT/Hyz/cjkAUS3Obl2U1Wq5WVaU&#10;GKZxVtGcwfkae17cAebI4zUqHSVoAhYdfSirdbEpy2QASiJj8vd681eMgXBMLt+tqk1VrinhWLxF&#10;CJxNeBHXgQ+fhNUkXhoKOMIEzC7PPkytry2x3di96nvMs7o3vyUQM2ayKGEiHW9hPI6zkqNtryje&#10;O75X+NYz8+HAAMdfUDLgSjTU/zgzEJT0nw16vimW5Qp3KAXLVZXjQsF95XhfYYZ3FjeNB6BkCj6G&#10;tHkTyw/nYKVKiiKvicxMF4edPJkXM27TfZy6fn2f3U8AAAD//wMAUEsDBBQABgAIAAAAIQCoRNcW&#10;5AAAAA4BAAAPAAAAZHJzL2Rvd25yZXYueG1sTI/BTsMwDIbvSLxDZCQu05Zu3cZa6k6wCW4IUXiA&#10;rAltR+OUJuu6t8ec4GbLn35/f7YdbSsG0/vGEcJ8FoEwVDrdUIXw8f403YDwQZFWrSODcDEetvn1&#10;VaZS7c70ZoYiVIJDyKcKoQ6hS6X0ZW2s8jPXGeLbp+utCrz2ldS9OnO4beUiitbSqob4Q606s6tN&#10;+VWcLMJk93yM98Wwp5eym1xaO3w/Hl8Rb2/Gh3sQwYzhD4ZffVaHnJ0O7kTaixZhGi9Xi4RhhHjF&#10;rRiJl/OIpwPCepPcJSDzTP6vkf8AAAD//wMAUEsBAi0AFAAGAAgAAAAhALaDOJL+AAAA4QEAABMA&#10;AAAAAAAAAAAAAAAAAAAAAFtDb250ZW50X1R5cGVzXS54bWxQSwECLQAUAAYACAAAACEAOP0h/9YA&#10;AACUAQAACwAAAAAAAAAAAAAAAAAvAQAAX3JlbHMvLnJlbHNQSwECLQAUAAYACAAAACEAU1Z6O88B&#10;AACGAwAADgAAAAAAAAAAAAAAAAAuAgAAZHJzL2Uyb0RvYy54bWxQSwECLQAUAAYACAAAACEAqETX&#10;FuQAAAAOAQAADwAAAAAAAAAAAAAAAAApBAAAZHJzL2Rvd25yZXYueG1sUEsFBgAAAAAEAAQA8wAA&#10;ADoFAAAAAA==&#10;" filled="f" stroked="f">
                <v:textbox inset="2.53958mm,1.2694mm,2.53958mm,1.2694mm">
                  <w:txbxContent>
                    <w:p w:rsidR="00043C54" w:rsidRDefault="00043C54">
                      <w:pPr>
                        <w:spacing w:before="240" w:after="240" w:line="360" w:lineRule="auto"/>
                        <w:jc w:val="center"/>
                        <w:textDirection w:val="btLr"/>
                      </w:pPr>
                    </w:p>
                  </w:txbxContent>
                </v:textbox>
              </v:rect>
            </w:pict>
          </mc:Fallback>
        </mc:AlternateContent>
      </w:r>
      <w:r w:rsidRPr="00344955">
        <w:rPr>
          <w:rFonts w:ascii="Palatino Linotype" w:eastAsia="Palatino Linotype" w:hAnsi="Palatino Linotype" w:cs="Palatino Linotype"/>
          <w:b/>
          <w:color w:val="000000" w:themeColor="text1"/>
          <w:sz w:val="24"/>
          <w:szCs w:val="24"/>
        </w:rPr>
        <w:t xml:space="preserve">VOTO PARTICULAR </w:t>
      </w:r>
      <w:r w:rsidR="00FE45E2">
        <w:rPr>
          <w:rFonts w:ascii="Palatino Linotype" w:eastAsia="Palatino Linotype" w:hAnsi="Palatino Linotype" w:cs="Palatino Linotype"/>
          <w:b/>
          <w:sz w:val="24"/>
          <w:szCs w:val="24"/>
        </w:rPr>
        <w:t>QUE FORMULA LA COMISIONADA GUADALUPE RAMÍREZ PEÑA, EN RELACIÓN CON LA RESOLUCIÓN DICTADA POR EL PLENO DEL INSTITUTO DE TRANSPARENCIA, ACCESO A LA INFORMACIÓN PÚBLICA Y PROTECCIÓN DE DATOS PERSONALES DEL ESTADO DE MÉXICO Y MUNICIPIOS, EN LA TRIGÉSIMA SEGUN</w:t>
      </w:r>
      <w:r w:rsidR="00FE45E2">
        <w:rPr>
          <w:rFonts w:ascii="Palatino Linotype" w:eastAsia="Palatino Linotype" w:hAnsi="Palatino Linotype" w:cs="Palatino Linotype"/>
          <w:b/>
          <w:sz w:val="24"/>
          <w:szCs w:val="24"/>
        </w:rPr>
        <w:t xml:space="preserve">DA SESIÓN ORDINARIA CELEBRADA EL ONCE DE SEPTIEMBRE DE DOS MIL VEINTICUATRO, EN EL RECURSO DE REVISIÓN 01876/INFOEM/IP/RR/2024. </w:t>
      </w:r>
    </w:p>
    <w:p w:rsidR="00043C54" w:rsidRDefault="00043C54">
      <w:pPr>
        <w:spacing w:after="0" w:line="360" w:lineRule="auto"/>
        <w:ind w:right="139"/>
        <w:jc w:val="both"/>
        <w:rPr>
          <w:rFonts w:ascii="Palatino Linotype" w:eastAsia="Palatino Linotype" w:hAnsi="Palatino Linotype" w:cs="Palatino Linotype"/>
          <w:b/>
          <w:sz w:val="24"/>
          <w:szCs w:val="24"/>
        </w:rPr>
      </w:pPr>
    </w:p>
    <w:p w:rsidR="00043C54" w:rsidRDefault="00FE45E2">
      <w:pPr>
        <w:spacing w:after="0" w:line="360" w:lineRule="auto"/>
        <w:ind w:right="142"/>
        <w:jc w:val="both"/>
        <w:rPr>
          <w:rFonts w:ascii="Palatino Linotype" w:eastAsia="Palatino Linotype" w:hAnsi="Palatino Linotype" w:cs="Palatino Linotype"/>
          <w:sz w:val="24"/>
          <w:szCs w:val="24"/>
        </w:rPr>
      </w:pPr>
      <w:bookmarkStart w:id="1" w:name="_GoBack"/>
      <w:r>
        <w:rPr>
          <w:rFonts w:ascii="Palatino Linotype" w:eastAsia="Palatino Linotype" w:hAnsi="Palatino Linotype" w:cs="Palatino Linotype"/>
          <w:sz w:val="24"/>
          <w:szCs w:val="24"/>
        </w:rPr>
        <w:t>Con fundamento en lo dispuesto por el artículo 14, fracciones X y XI, del Reglamento del Instituto de Transparencia, Acces</w:t>
      </w:r>
      <w:r>
        <w:rPr>
          <w:rFonts w:ascii="Palatino Linotype" w:eastAsia="Palatino Linotype" w:hAnsi="Palatino Linotype" w:cs="Palatino Linotype"/>
          <w:sz w:val="24"/>
          <w:szCs w:val="24"/>
        </w:rPr>
        <w:t xml:space="preserve">o a la Información Pública y Protección de Datos Personales del Estado de México, la que suscribe emite </w:t>
      </w:r>
      <w:r>
        <w:rPr>
          <w:rFonts w:ascii="Palatino Linotype" w:eastAsia="Palatino Linotype" w:hAnsi="Palatino Linotype" w:cs="Palatino Linotype"/>
          <w:b/>
          <w:sz w:val="24"/>
          <w:szCs w:val="24"/>
        </w:rPr>
        <w:t xml:space="preserve">VOTO PARTICULAR </w:t>
      </w:r>
      <w:r>
        <w:rPr>
          <w:rFonts w:ascii="Palatino Linotype" w:eastAsia="Palatino Linotype" w:hAnsi="Palatino Linotype" w:cs="Palatino Linotype"/>
          <w:sz w:val="24"/>
          <w:szCs w:val="24"/>
        </w:rPr>
        <w:t xml:space="preserve">respecto a la resolución dictada en el recurso de revisión número </w:t>
      </w:r>
      <w:r>
        <w:rPr>
          <w:rFonts w:ascii="Palatino Linotype" w:eastAsia="Palatino Linotype" w:hAnsi="Palatino Linotype" w:cs="Palatino Linotype"/>
          <w:b/>
          <w:sz w:val="24"/>
          <w:szCs w:val="24"/>
        </w:rPr>
        <w:t xml:space="preserve">01876/INFOEM/IP/RR/2024, </w:t>
      </w:r>
      <w:r>
        <w:rPr>
          <w:rFonts w:ascii="Palatino Linotype" w:eastAsia="Palatino Linotype" w:hAnsi="Palatino Linotype" w:cs="Palatino Linotype"/>
          <w:sz w:val="24"/>
          <w:szCs w:val="24"/>
        </w:rPr>
        <w:t>pronunciada por el Pleno de este Instituto an</w:t>
      </w:r>
      <w:r>
        <w:rPr>
          <w:rFonts w:ascii="Palatino Linotype" w:eastAsia="Palatino Linotype" w:hAnsi="Palatino Linotype" w:cs="Palatino Linotype"/>
          <w:sz w:val="24"/>
          <w:szCs w:val="24"/>
        </w:rPr>
        <w:t>te el proyecto presentado por el Comisionado Luis Gustavo Parra Noriega, el cual se formuló, conforme al tenor siguiente:</w:t>
      </w:r>
    </w:p>
    <w:p w:rsidR="00043C54" w:rsidRDefault="00043C54">
      <w:pPr>
        <w:spacing w:after="0" w:line="360" w:lineRule="auto"/>
        <w:ind w:right="142"/>
        <w:jc w:val="both"/>
        <w:rPr>
          <w:rFonts w:ascii="Palatino Linotype" w:eastAsia="Palatino Linotype" w:hAnsi="Palatino Linotype" w:cs="Palatino Linotype"/>
          <w:sz w:val="24"/>
          <w:szCs w:val="24"/>
        </w:rPr>
      </w:pPr>
    </w:p>
    <w:p w:rsidR="00043C54" w:rsidRDefault="00FE45E2">
      <w:pPr>
        <w:spacing w:after="0" w:line="360" w:lineRule="auto"/>
        <w:ind w:left="567" w:right="142"/>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 Antecedentes.</w:t>
      </w:r>
    </w:p>
    <w:p w:rsidR="00043C54" w:rsidRDefault="00043C54">
      <w:pPr>
        <w:spacing w:after="0" w:line="360" w:lineRule="auto"/>
        <w:ind w:left="567" w:right="142"/>
        <w:jc w:val="both"/>
        <w:rPr>
          <w:rFonts w:ascii="Palatino Linotype" w:eastAsia="Palatino Linotype" w:hAnsi="Palatino Linotype" w:cs="Palatino Linotype"/>
          <w:b/>
          <w:sz w:val="24"/>
          <w:szCs w:val="24"/>
        </w:rPr>
      </w:pPr>
    </w:p>
    <w:p w:rsidR="00043C54" w:rsidRDefault="00FE45E2">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Como quedó debidamente asentado en la resolución, materia del presente voto la persona solicitante requirió del </w:t>
      </w:r>
      <w:r>
        <w:rPr>
          <w:rFonts w:ascii="Palatino Linotype" w:eastAsia="Palatino Linotype" w:hAnsi="Palatino Linotype" w:cs="Palatino Linotype"/>
          <w:b/>
          <w:sz w:val="24"/>
          <w:szCs w:val="24"/>
        </w:rPr>
        <w:t>SUJ</w:t>
      </w:r>
      <w:r>
        <w:rPr>
          <w:rFonts w:ascii="Palatino Linotype" w:eastAsia="Palatino Linotype" w:hAnsi="Palatino Linotype" w:cs="Palatino Linotype"/>
          <w:b/>
          <w:sz w:val="24"/>
          <w:szCs w:val="24"/>
        </w:rPr>
        <w:t>ETO OBLIGADO</w:t>
      </w:r>
      <w:r>
        <w:rPr>
          <w:rFonts w:ascii="Palatino Linotype" w:eastAsia="Palatino Linotype" w:hAnsi="Palatino Linotype" w:cs="Palatino Linotype"/>
          <w:sz w:val="24"/>
          <w:szCs w:val="24"/>
        </w:rPr>
        <w:t xml:space="preserve"> entre otra información, los v</w:t>
      </w:r>
      <w:r>
        <w:rPr>
          <w:rFonts w:ascii="Palatino Linotype" w:eastAsia="Palatino Linotype" w:hAnsi="Palatino Linotype" w:cs="Palatino Linotype"/>
          <w:color w:val="000000"/>
          <w:sz w:val="24"/>
          <w:szCs w:val="24"/>
        </w:rPr>
        <w:t xml:space="preserve">ideos de </w:t>
      </w:r>
      <w:r>
        <w:rPr>
          <w:rFonts w:ascii="Palatino Linotype" w:eastAsia="Palatino Linotype" w:hAnsi="Palatino Linotype" w:cs="Palatino Linotype"/>
          <w:sz w:val="24"/>
          <w:szCs w:val="24"/>
        </w:rPr>
        <w:t xml:space="preserve">las sesiones de </w:t>
      </w:r>
      <w:r>
        <w:rPr>
          <w:rFonts w:ascii="Palatino Linotype" w:eastAsia="Palatino Linotype" w:hAnsi="Palatino Linotype" w:cs="Palatino Linotype"/>
          <w:color w:val="000000"/>
          <w:sz w:val="24"/>
          <w:szCs w:val="24"/>
        </w:rPr>
        <w:t>cabildo</w:t>
      </w:r>
      <w:r>
        <w:rPr>
          <w:rFonts w:ascii="Palatino Linotype" w:eastAsia="Palatino Linotype" w:hAnsi="Palatino Linotype" w:cs="Palatino Linotype"/>
          <w:sz w:val="24"/>
          <w:szCs w:val="24"/>
        </w:rPr>
        <w:t xml:space="preserve">. </w:t>
      </w:r>
    </w:p>
    <w:p w:rsidR="00043C54" w:rsidRDefault="00043C54">
      <w:pPr>
        <w:spacing w:after="0" w:line="360" w:lineRule="auto"/>
        <w:ind w:right="142"/>
        <w:jc w:val="both"/>
        <w:rPr>
          <w:rFonts w:ascii="Palatino Linotype" w:eastAsia="Palatino Linotype" w:hAnsi="Palatino Linotype" w:cs="Palatino Linotype"/>
          <w:sz w:val="24"/>
          <w:szCs w:val="24"/>
        </w:rPr>
      </w:pPr>
    </w:p>
    <w:p w:rsidR="00344955" w:rsidRPr="00344955" w:rsidRDefault="00FE45E2" w:rsidP="00344955">
      <w:pPr>
        <w:spacing w:after="0" w:line="360" w:lineRule="auto"/>
        <w:ind w:right="142"/>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 xml:space="preserve">En respuesta, </w:t>
      </w:r>
      <w:r>
        <w:rPr>
          <w:rFonts w:ascii="Palatino Linotype" w:eastAsia="Palatino Linotype" w:hAnsi="Palatino Linotype" w:cs="Palatino Linotype"/>
          <w:b/>
          <w:color w:val="000000"/>
          <w:sz w:val="24"/>
          <w:szCs w:val="24"/>
        </w:rPr>
        <w:t>EL</w:t>
      </w:r>
      <w:r>
        <w:rPr>
          <w:rFonts w:ascii="Palatino Linotype" w:eastAsia="Palatino Linotype" w:hAnsi="Palatino Linotype" w:cs="Palatino Linotype"/>
          <w:b/>
          <w:sz w:val="24"/>
          <w:szCs w:val="24"/>
        </w:rPr>
        <w:t xml:space="preserve"> SUJETO OBLIGADO</w:t>
      </w:r>
      <w:r w:rsidR="00344955">
        <w:rPr>
          <w:rFonts w:ascii="Palatino Linotype" w:eastAsia="Palatino Linotype" w:hAnsi="Palatino Linotype" w:cs="Palatino Linotype"/>
          <w:sz w:val="24"/>
          <w:szCs w:val="24"/>
        </w:rPr>
        <w:t xml:space="preserve">, remitió el </w:t>
      </w:r>
      <w:r w:rsidR="00344955" w:rsidRPr="00E80BA1">
        <w:rPr>
          <w:rFonts w:ascii="Palatino Linotype" w:eastAsia="Palatino Linotype" w:hAnsi="Palatino Linotype" w:cs="Palatino Linotype"/>
          <w:sz w:val="24"/>
          <w:szCs w:val="24"/>
        </w:rPr>
        <w:t>curriculum vitae, carta de pasante, así como un recibo de nómina de la primera quincena de marzo de dos mil veinticuatro del servidor público requerido y adjuntó un link para cons</w:t>
      </w:r>
      <w:r w:rsidR="00344955">
        <w:rPr>
          <w:rFonts w:ascii="Palatino Linotype" w:eastAsia="Palatino Linotype" w:hAnsi="Palatino Linotype" w:cs="Palatino Linotype"/>
          <w:sz w:val="24"/>
          <w:szCs w:val="24"/>
        </w:rPr>
        <w:t xml:space="preserve">ultar los documentos normativos, siendo omiso de pronunciarse de los videos de las sesiones de cabildo. </w:t>
      </w:r>
    </w:p>
    <w:p w:rsidR="00344955" w:rsidRDefault="00344955">
      <w:pPr>
        <w:spacing w:after="0" w:line="360" w:lineRule="auto"/>
        <w:ind w:right="142"/>
        <w:contextualSpacing/>
        <w:jc w:val="both"/>
        <w:rPr>
          <w:rFonts w:ascii="Palatino Linotype" w:eastAsia="Palatino Linotype" w:hAnsi="Palatino Linotype" w:cs="Palatino Linotype"/>
          <w:sz w:val="24"/>
          <w:szCs w:val="24"/>
        </w:rPr>
      </w:pPr>
    </w:p>
    <w:p w:rsidR="00043C54" w:rsidRDefault="00FE45E2">
      <w:pPr>
        <w:pBdr>
          <w:top w:val="nil"/>
          <w:left w:val="nil"/>
          <w:bottom w:val="nil"/>
          <w:right w:val="nil"/>
          <w:between w:val="nil"/>
        </w:pBdr>
        <w:spacing w:after="0" w:line="360" w:lineRule="auto"/>
        <w:ind w:right="139"/>
        <w:contextualSpacing/>
        <w:jc w:val="both"/>
        <w:rPr>
          <w:rFonts w:ascii="Palatino Linotype" w:eastAsia="Palatino Linotype" w:hAnsi="Palatino Linotype" w:cs="Palatino Linotype"/>
          <w:i/>
        </w:rPr>
      </w:pPr>
      <w:r>
        <w:rPr>
          <w:rFonts w:ascii="Palatino Linotype" w:eastAsia="Palatino Linotype" w:hAnsi="Palatino Linotype" w:cs="Palatino Linotype"/>
          <w:sz w:val="24"/>
          <w:szCs w:val="24"/>
        </w:rPr>
        <w:t xml:space="preserve">Bajo tales argumentos,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interpuso el medio de impugnación, señalando como motivo o razones de inconformidad que no le proporcionan lo solicitado. </w:t>
      </w:r>
    </w:p>
    <w:p w:rsidR="00043C54" w:rsidRDefault="00043C54">
      <w:pPr>
        <w:pBdr>
          <w:top w:val="nil"/>
          <w:left w:val="nil"/>
          <w:bottom w:val="nil"/>
          <w:right w:val="nil"/>
          <w:between w:val="nil"/>
        </w:pBdr>
        <w:spacing w:before="160" w:after="0" w:line="360" w:lineRule="auto"/>
        <w:ind w:right="139"/>
        <w:contextualSpacing/>
        <w:jc w:val="both"/>
        <w:rPr>
          <w:rFonts w:ascii="Palatino Linotype" w:eastAsia="Palatino Linotype" w:hAnsi="Palatino Linotype" w:cs="Palatino Linotype"/>
          <w:sz w:val="24"/>
          <w:szCs w:val="24"/>
        </w:rPr>
      </w:pPr>
    </w:p>
    <w:p w:rsidR="00344955" w:rsidRPr="00344955" w:rsidRDefault="00FE45E2" w:rsidP="00344955">
      <w:pPr>
        <w:spacing w:after="0" w:line="360" w:lineRule="auto"/>
        <w:ind w:right="142"/>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Durante la etapa de manifestaciones, </w:t>
      </w:r>
      <w:r>
        <w:rPr>
          <w:rFonts w:ascii="Palatino Linotype" w:eastAsia="Palatino Linotype" w:hAnsi="Palatino Linotype" w:cs="Palatino Linotype"/>
          <w:b/>
          <w:sz w:val="24"/>
          <w:szCs w:val="24"/>
        </w:rPr>
        <w:t>EL SUJETO OBLIGADO</w:t>
      </w:r>
      <w:r w:rsidR="00344955">
        <w:rPr>
          <w:rFonts w:ascii="Palatino Linotype" w:eastAsia="Palatino Linotype" w:hAnsi="Palatino Linotype" w:cs="Palatino Linotype"/>
          <w:sz w:val="24"/>
          <w:szCs w:val="24"/>
        </w:rPr>
        <w:t xml:space="preserve"> rindió su Informe Justificado, </w:t>
      </w:r>
      <w:r w:rsidR="00344955">
        <w:rPr>
          <w:rFonts w:ascii="Palatino Linotype" w:eastAsia="Palatino Linotype" w:hAnsi="Palatino Linotype" w:cs="Palatino Linotype"/>
          <w:sz w:val="24"/>
          <w:szCs w:val="24"/>
        </w:rPr>
        <w:t>en donde ratifica en términos generales su respuesta inicial, sin embargo, no se puso a la vista, porq</w:t>
      </w:r>
      <w:r w:rsidR="00344955">
        <w:rPr>
          <w:rFonts w:ascii="Palatino Linotype" w:eastAsia="Palatino Linotype" w:hAnsi="Palatino Linotype" w:cs="Palatino Linotype"/>
          <w:sz w:val="24"/>
          <w:szCs w:val="24"/>
        </w:rPr>
        <w:t xml:space="preserve">ue se observan datos personales, resultando omiso de pronunciarse, respecto a los </w:t>
      </w:r>
      <w:r w:rsidR="00344955">
        <w:rPr>
          <w:rFonts w:ascii="Palatino Linotype" w:eastAsia="Palatino Linotype" w:hAnsi="Palatino Linotype" w:cs="Palatino Linotype"/>
          <w:sz w:val="24"/>
          <w:szCs w:val="24"/>
        </w:rPr>
        <w:t xml:space="preserve">videos de las sesiones de cabildo. </w:t>
      </w:r>
    </w:p>
    <w:p w:rsidR="00344955" w:rsidRDefault="00344955" w:rsidP="00344955">
      <w:pPr>
        <w:spacing w:after="0" w:line="360" w:lineRule="auto"/>
        <w:ind w:right="49"/>
        <w:contextualSpacing/>
        <w:jc w:val="both"/>
        <w:rPr>
          <w:rFonts w:ascii="Palatino Linotype" w:eastAsia="Palatino Linotype" w:hAnsi="Palatino Linotype" w:cs="Palatino Linotype"/>
          <w:sz w:val="24"/>
          <w:szCs w:val="24"/>
        </w:rPr>
      </w:pPr>
    </w:p>
    <w:p w:rsidR="00344955" w:rsidRDefault="00344955" w:rsidP="00344955">
      <w:pPr>
        <w:spacing w:after="0" w:line="360" w:lineRule="auto"/>
        <w:ind w:right="49"/>
        <w:contextualSpacing/>
        <w:jc w:val="both"/>
        <w:rPr>
          <w:rFonts w:ascii="Palatino Linotype" w:eastAsia="Palatino Linotype" w:hAnsi="Palatino Linotype" w:cs="Palatino Linotype"/>
          <w:sz w:val="24"/>
          <w:szCs w:val="24"/>
        </w:rPr>
      </w:pPr>
    </w:p>
    <w:p w:rsidR="00344955" w:rsidRDefault="00344955" w:rsidP="00344955">
      <w:pPr>
        <w:spacing w:after="0" w:line="360" w:lineRule="auto"/>
        <w:ind w:right="49"/>
        <w:contextualSpacing/>
        <w:jc w:val="both"/>
        <w:rPr>
          <w:rFonts w:ascii="Palatino Linotype" w:eastAsia="Palatino Linotype" w:hAnsi="Palatino Linotype" w:cs="Palatino Linotype"/>
          <w:sz w:val="24"/>
          <w:szCs w:val="24"/>
        </w:rPr>
      </w:pPr>
    </w:p>
    <w:p w:rsidR="00043C54" w:rsidRDefault="00FE45E2" w:rsidP="00344955">
      <w:pPr>
        <w:spacing w:after="0" w:line="360" w:lineRule="auto"/>
        <w:ind w:right="49"/>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En esta tesitura, derivado del análisis efectuado, este Instituto consideró que los motivos de inconformidad aducidos por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resultaban parcialmente fundados y suficientes para </w:t>
      </w:r>
      <w:r>
        <w:rPr>
          <w:rFonts w:ascii="Palatino Linotype" w:eastAsia="Palatino Linotype" w:hAnsi="Palatino Linotype" w:cs="Palatino Linotype"/>
          <w:b/>
          <w:sz w:val="24"/>
          <w:szCs w:val="24"/>
        </w:rPr>
        <w:t>MODIFICAR</w:t>
      </w:r>
      <w:r>
        <w:rPr>
          <w:rFonts w:ascii="Palatino Linotype" w:eastAsia="Palatino Linotype" w:hAnsi="Palatino Linotype" w:cs="Palatino Linotype"/>
          <w:sz w:val="24"/>
          <w:szCs w:val="24"/>
        </w:rPr>
        <w:t xml:space="preserve"> la respuesta emitida, procediendo a ordenar la en</w:t>
      </w:r>
      <w:r>
        <w:rPr>
          <w:rFonts w:ascii="Palatino Linotype" w:eastAsia="Palatino Linotype" w:hAnsi="Palatino Linotype" w:cs="Palatino Linotype"/>
          <w:sz w:val="24"/>
          <w:szCs w:val="24"/>
        </w:rPr>
        <w:t>trega de lo siguiente:</w:t>
      </w:r>
    </w:p>
    <w:p w:rsidR="00043C54" w:rsidRDefault="00043C54">
      <w:pPr>
        <w:spacing w:after="0" w:line="360" w:lineRule="auto"/>
        <w:ind w:right="-6"/>
        <w:jc w:val="both"/>
        <w:rPr>
          <w:rFonts w:ascii="Palatino Linotype" w:eastAsia="Palatino Linotype" w:hAnsi="Palatino Linotype" w:cs="Palatino Linotype"/>
          <w:sz w:val="24"/>
          <w:szCs w:val="24"/>
        </w:rPr>
      </w:pPr>
    </w:p>
    <w:p w:rsidR="00043C54" w:rsidRDefault="00FE45E2">
      <w:pPr>
        <w:pBdr>
          <w:top w:val="nil"/>
          <w:left w:val="nil"/>
          <w:bottom w:val="nil"/>
          <w:right w:val="nil"/>
          <w:between w:val="nil"/>
        </w:pBdr>
        <w:spacing w:after="0" w:line="276" w:lineRule="auto"/>
        <w:ind w:left="1077"/>
        <w:contextualSpacing/>
        <w:jc w:val="both"/>
        <w:rPr>
          <w:rFonts w:ascii="Palatino Linotype" w:eastAsia="Palatino Linotype" w:hAnsi="Palatino Linotype" w:cs="Palatino Linotype"/>
          <w:i/>
        </w:rPr>
      </w:pPr>
      <w:bookmarkStart w:id="2" w:name="_heading=h.tyjcwt" w:colFirst="0" w:colLast="0"/>
      <w:bookmarkEnd w:id="2"/>
      <w:r>
        <w:rPr>
          <w:rFonts w:ascii="Palatino Linotype" w:eastAsia="Palatino Linotype" w:hAnsi="Palatino Linotype" w:cs="Palatino Linotype"/>
          <w:b/>
          <w:i/>
        </w:rPr>
        <w:t>“</w:t>
      </w:r>
      <w:r>
        <w:rPr>
          <w:rFonts w:ascii="Palatino Linotype" w:eastAsia="Palatino Linotype" w:hAnsi="Palatino Linotype" w:cs="Palatino Linotype"/>
          <w:i/>
        </w:rPr>
        <w:t xml:space="preserve">SEGUNDO. Se ORDENA al Ente Recurrido, a efecto de que previa búsqueda </w:t>
      </w:r>
      <w:proofErr w:type="gramStart"/>
      <w:r>
        <w:rPr>
          <w:rFonts w:ascii="Palatino Linotype" w:eastAsia="Palatino Linotype" w:hAnsi="Palatino Linotype" w:cs="Palatino Linotype"/>
          <w:i/>
        </w:rPr>
        <w:t>exhaustiva</w:t>
      </w:r>
      <w:proofErr w:type="gramEnd"/>
      <w:r>
        <w:rPr>
          <w:rFonts w:ascii="Palatino Linotype" w:eastAsia="Palatino Linotype" w:hAnsi="Palatino Linotype" w:cs="Palatino Linotype"/>
          <w:i/>
        </w:rPr>
        <w:t xml:space="preserve"> y razonable en las unidades administrativas competentes, entregue, a través del Sistema de Acceso a la Información Mexiquense (SAIMEX), en su caso, en versión pública, lo sigu</w:t>
      </w:r>
      <w:r>
        <w:rPr>
          <w:rFonts w:ascii="Palatino Linotype" w:eastAsia="Palatino Linotype" w:hAnsi="Palatino Linotype" w:cs="Palatino Linotype"/>
          <w:i/>
        </w:rPr>
        <w:t>iente:</w:t>
      </w:r>
    </w:p>
    <w:p w:rsidR="00043C54" w:rsidRDefault="00043C54">
      <w:pPr>
        <w:pBdr>
          <w:top w:val="nil"/>
          <w:left w:val="nil"/>
          <w:bottom w:val="nil"/>
          <w:right w:val="nil"/>
          <w:between w:val="nil"/>
        </w:pBdr>
        <w:spacing w:after="0" w:line="276" w:lineRule="auto"/>
        <w:ind w:left="1077"/>
        <w:contextualSpacing/>
        <w:jc w:val="both"/>
        <w:rPr>
          <w:rFonts w:ascii="Palatino Linotype" w:eastAsia="Palatino Linotype" w:hAnsi="Palatino Linotype" w:cs="Palatino Linotype"/>
          <w:i/>
        </w:rPr>
      </w:pPr>
    </w:p>
    <w:p w:rsidR="00043C54" w:rsidRDefault="00FE45E2">
      <w:pPr>
        <w:pBdr>
          <w:top w:val="nil"/>
          <w:left w:val="nil"/>
          <w:bottom w:val="nil"/>
          <w:right w:val="nil"/>
          <w:between w:val="nil"/>
        </w:pBdr>
        <w:spacing w:after="0" w:line="276" w:lineRule="auto"/>
        <w:ind w:left="1077"/>
        <w:contextualSpacing/>
        <w:jc w:val="both"/>
        <w:rPr>
          <w:rFonts w:ascii="Palatino Linotype" w:eastAsia="Palatino Linotype" w:hAnsi="Palatino Linotype" w:cs="Palatino Linotype"/>
          <w:i/>
        </w:rPr>
      </w:pPr>
      <w:r>
        <w:rPr>
          <w:rFonts w:ascii="Palatino Linotype" w:eastAsia="Palatino Linotype" w:hAnsi="Palatino Linotype" w:cs="Palatino Linotype"/>
          <w:i/>
        </w:rPr>
        <w:t>1.</w:t>
      </w:r>
      <w:r>
        <w:rPr>
          <w:rFonts w:ascii="Palatino Linotype" w:eastAsia="Palatino Linotype" w:hAnsi="Palatino Linotype" w:cs="Palatino Linotype"/>
          <w:i/>
        </w:rPr>
        <w:tab/>
        <w:t>El certificado de competencia laboral y los recibos de nómina de la primera quincena de enero a la segunda de febrero de dos mil veinticuatro, del Director de Administración referido en respuesta.</w:t>
      </w:r>
    </w:p>
    <w:p w:rsidR="00043C54" w:rsidRDefault="00043C54">
      <w:pPr>
        <w:pBdr>
          <w:top w:val="nil"/>
          <w:left w:val="nil"/>
          <w:bottom w:val="nil"/>
          <w:right w:val="nil"/>
          <w:between w:val="nil"/>
        </w:pBdr>
        <w:spacing w:after="0" w:line="276" w:lineRule="auto"/>
        <w:ind w:left="1077"/>
        <w:contextualSpacing/>
        <w:jc w:val="both"/>
        <w:rPr>
          <w:rFonts w:ascii="Palatino Linotype" w:eastAsia="Palatino Linotype" w:hAnsi="Palatino Linotype" w:cs="Palatino Linotype"/>
          <w:i/>
        </w:rPr>
      </w:pPr>
    </w:p>
    <w:p w:rsidR="00043C54" w:rsidRDefault="00FE45E2">
      <w:pPr>
        <w:pBdr>
          <w:top w:val="nil"/>
          <w:left w:val="nil"/>
          <w:bottom w:val="nil"/>
          <w:right w:val="nil"/>
          <w:between w:val="nil"/>
        </w:pBdr>
        <w:spacing w:after="0" w:line="276" w:lineRule="auto"/>
        <w:ind w:left="1077"/>
        <w:contextualSpacing/>
        <w:jc w:val="both"/>
        <w:rPr>
          <w:rFonts w:ascii="Palatino Linotype" w:eastAsia="Palatino Linotype" w:hAnsi="Palatino Linotype" w:cs="Palatino Linotype"/>
          <w:i/>
        </w:rPr>
      </w:pPr>
      <w:r>
        <w:rPr>
          <w:rFonts w:ascii="Palatino Linotype" w:eastAsia="Palatino Linotype" w:hAnsi="Palatino Linotype" w:cs="Palatino Linotype"/>
          <w:i/>
        </w:rPr>
        <w:t>2.</w:t>
      </w:r>
      <w:r>
        <w:rPr>
          <w:rFonts w:ascii="Palatino Linotype" w:eastAsia="Palatino Linotype" w:hAnsi="Palatino Linotype" w:cs="Palatino Linotype"/>
          <w:i/>
        </w:rPr>
        <w:tab/>
        <w:t>Las videograbaciones de las Sesiones de Cabi</w:t>
      </w:r>
      <w:r>
        <w:rPr>
          <w:rFonts w:ascii="Palatino Linotype" w:eastAsia="Palatino Linotype" w:hAnsi="Palatino Linotype" w:cs="Palatino Linotype"/>
          <w:i/>
        </w:rPr>
        <w:t>ldo celebradas del primero de enero de dos mil veintidós al catorce de marzo de dos mil veinticuatro.</w:t>
      </w:r>
    </w:p>
    <w:p w:rsidR="00043C54" w:rsidRDefault="00043C54">
      <w:pPr>
        <w:pBdr>
          <w:top w:val="nil"/>
          <w:left w:val="nil"/>
          <w:bottom w:val="nil"/>
          <w:right w:val="nil"/>
          <w:between w:val="nil"/>
        </w:pBdr>
        <w:spacing w:after="0" w:line="276" w:lineRule="auto"/>
        <w:ind w:left="1077"/>
        <w:contextualSpacing/>
        <w:jc w:val="both"/>
        <w:rPr>
          <w:rFonts w:ascii="Palatino Linotype" w:eastAsia="Palatino Linotype" w:hAnsi="Palatino Linotype" w:cs="Palatino Linotype"/>
          <w:i/>
        </w:rPr>
      </w:pPr>
    </w:p>
    <w:p w:rsidR="00043C54" w:rsidRDefault="00FE45E2">
      <w:pPr>
        <w:pBdr>
          <w:top w:val="nil"/>
          <w:left w:val="nil"/>
          <w:bottom w:val="nil"/>
          <w:right w:val="nil"/>
          <w:between w:val="nil"/>
        </w:pBdr>
        <w:spacing w:after="0" w:line="276" w:lineRule="auto"/>
        <w:ind w:left="1077"/>
        <w:contextualSpacing/>
        <w:jc w:val="both"/>
        <w:rPr>
          <w:rFonts w:ascii="Palatino Linotype" w:eastAsia="Palatino Linotype" w:hAnsi="Palatino Linotype" w:cs="Palatino Linotype"/>
          <w:i/>
        </w:rPr>
      </w:pPr>
      <w:r>
        <w:rPr>
          <w:rFonts w:ascii="Palatino Linotype" w:eastAsia="Palatino Linotype" w:hAnsi="Palatino Linotype" w:cs="Palatino Linotype"/>
          <w:i/>
        </w:rPr>
        <w:t>Además, de ser necesario, deberá proporcionar el Acuerdo de Clasificación donde el Comité de Transparencia, confirme la eliminación de los datos o inform</w:t>
      </w:r>
      <w:r>
        <w:rPr>
          <w:rFonts w:ascii="Palatino Linotype" w:eastAsia="Palatino Linotype" w:hAnsi="Palatino Linotype" w:cs="Palatino Linotype"/>
          <w:i/>
        </w:rPr>
        <w:t>ación clasificada, en la versión pública, de conformidad con los artículos 49, fracciones II y VIII y 132, fracción II, de la Ley de Transparencia y Acceso a la Información Pública del Estado de México y Municipios.</w:t>
      </w:r>
    </w:p>
    <w:p w:rsidR="00043C54" w:rsidRDefault="00043C54">
      <w:pPr>
        <w:pBdr>
          <w:top w:val="nil"/>
          <w:left w:val="nil"/>
          <w:bottom w:val="nil"/>
          <w:right w:val="nil"/>
          <w:between w:val="nil"/>
        </w:pBdr>
        <w:spacing w:after="0" w:line="276" w:lineRule="auto"/>
        <w:ind w:left="1077"/>
        <w:contextualSpacing/>
        <w:jc w:val="both"/>
        <w:rPr>
          <w:rFonts w:ascii="Palatino Linotype" w:eastAsia="Palatino Linotype" w:hAnsi="Palatino Linotype" w:cs="Palatino Linotype"/>
          <w:i/>
        </w:rPr>
      </w:pPr>
    </w:p>
    <w:p w:rsidR="00043C54" w:rsidRDefault="00FE45E2">
      <w:pPr>
        <w:pBdr>
          <w:top w:val="nil"/>
          <w:left w:val="nil"/>
          <w:bottom w:val="nil"/>
          <w:right w:val="nil"/>
          <w:between w:val="nil"/>
        </w:pBdr>
        <w:spacing w:after="0" w:line="276" w:lineRule="auto"/>
        <w:ind w:left="1077"/>
        <w:contextualSpacing/>
        <w:jc w:val="both"/>
        <w:rPr>
          <w:rFonts w:ascii="Palatino Linotype" w:eastAsia="Palatino Linotype" w:hAnsi="Palatino Linotype" w:cs="Palatino Linotype"/>
          <w:i/>
        </w:rPr>
      </w:pPr>
      <w:r>
        <w:rPr>
          <w:rFonts w:ascii="Palatino Linotype" w:eastAsia="Palatino Linotype" w:hAnsi="Palatino Linotype" w:cs="Palatino Linotype"/>
          <w:i/>
        </w:rPr>
        <w:t>Para el supuesto, respecto del punto 1,</w:t>
      </w:r>
      <w:r>
        <w:rPr>
          <w:rFonts w:ascii="Palatino Linotype" w:eastAsia="Palatino Linotype" w:hAnsi="Palatino Linotype" w:cs="Palatino Linotype"/>
          <w:i/>
        </w:rPr>
        <w:t xml:space="preserve"> de que no cuente con el Certificado de Competencia Laboral, al no existir obligación normativa, deberá hacerlo del conocimiento de la persona Recurrente de manera clara y precisa.</w:t>
      </w:r>
    </w:p>
    <w:p w:rsidR="00043C54" w:rsidRDefault="00043C54">
      <w:pPr>
        <w:pBdr>
          <w:top w:val="nil"/>
          <w:left w:val="nil"/>
          <w:bottom w:val="nil"/>
          <w:right w:val="nil"/>
          <w:between w:val="nil"/>
        </w:pBdr>
        <w:spacing w:after="0" w:line="276" w:lineRule="auto"/>
        <w:ind w:left="1077"/>
        <w:contextualSpacing/>
        <w:jc w:val="both"/>
        <w:rPr>
          <w:rFonts w:ascii="Palatino Linotype" w:eastAsia="Palatino Linotype" w:hAnsi="Palatino Linotype" w:cs="Palatino Linotype"/>
          <w:i/>
        </w:rPr>
      </w:pPr>
    </w:p>
    <w:p w:rsidR="00043C54" w:rsidRDefault="00FE45E2" w:rsidP="00344955">
      <w:pPr>
        <w:pBdr>
          <w:top w:val="nil"/>
          <w:left w:val="nil"/>
          <w:bottom w:val="nil"/>
          <w:right w:val="nil"/>
          <w:between w:val="nil"/>
        </w:pBdr>
        <w:spacing w:after="0" w:line="276" w:lineRule="auto"/>
        <w:ind w:left="1077"/>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Para el caso, respecto del punto 2, de que no cuente con los videos, deber</w:t>
      </w:r>
      <w:r>
        <w:rPr>
          <w:rFonts w:ascii="Palatino Linotype" w:eastAsia="Palatino Linotype" w:hAnsi="Palatino Linotype" w:cs="Palatino Linotype"/>
          <w:b/>
          <w:i/>
        </w:rPr>
        <w:t>á proporcionar las versiones estenográficas de las Sesiones de Cabildo.”</w:t>
      </w:r>
    </w:p>
    <w:p w:rsidR="00043C54" w:rsidRDefault="00FE45E2">
      <w:pPr>
        <w:spacing w:after="0" w:line="360" w:lineRule="auto"/>
        <w:ind w:right="142"/>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lastRenderedPageBreak/>
        <w:t>II. Razones del Voto Particular.</w:t>
      </w:r>
    </w:p>
    <w:p w:rsidR="00043C54" w:rsidRDefault="00043C54">
      <w:pPr>
        <w:spacing w:after="0" w:line="360" w:lineRule="auto"/>
        <w:ind w:right="142"/>
        <w:jc w:val="both"/>
        <w:rPr>
          <w:rFonts w:ascii="Palatino Linotype" w:eastAsia="Palatino Linotype" w:hAnsi="Palatino Linotype" w:cs="Palatino Linotype"/>
          <w:b/>
          <w:sz w:val="24"/>
          <w:szCs w:val="24"/>
        </w:rPr>
      </w:pPr>
    </w:p>
    <w:p w:rsidR="00043C54" w:rsidRDefault="00FE45E2">
      <w:pPr>
        <w:spacing w:after="0" w:line="360" w:lineRule="auto"/>
        <w:contextualSpacing/>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Para iniciar la emisión del presente voto, conviene mencionar, que, de manera respetuosa, la suscrita </w:t>
      </w:r>
      <w:r>
        <w:rPr>
          <w:rFonts w:ascii="Palatino Linotype" w:eastAsia="Palatino Linotype" w:hAnsi="Palatino Linotype" w:cs="Palatino Linotype"/>
          <w:b/>
          <w:sz w:val="24"/>
          <w:szCs w:val="24"/>
        </w:rPr>
        <w:t xml:space="preserve">no comparte la salvedad contemplada en la resolución en la que se indica que en caso de que no cuente con los videos, deberá proporcionar las versiones estenográficas de las Sesiones de Cabildo por lo siguiente: </w:t>
      </w:r>
    </w:p>
    <w:p w:rsidR="00043C54" w:rsidRDefault="00043C54">
      <w:pPr>
        <w:spacing w:after="0" w:line="360" w:lineRule="auto"/>
        <w:contextualSpacing/>
        <w:jc w:val="both"/>
        <w:rPr>
          <w:rFonts w:ascii="Palatino Linotype" w:eastAsia="Palatino Linotype" w:hAnsi="Palatino Linotype" w:cs="Palatino Linotype"/>
          <w:b/>
          <w:sz w:val="24"/>
          <w:szCs w:val="24"/>
        </w:rPr>
      </w:pPr>
    </w:p>
    <w:p w:rsidR="00043C54" w:rsidRPr="00344955" w:rsidRDefault="00FE45E2">
      <w:pPr>
        <w:spacing w:after="0" w:line="360" w:lineRule="auto"/>
        <w:ind w:right="-3"/>
        <w:contextualSpacing/>
        <w:jc w:val="both"/>
        <w:rPr>
          <w:rFonts w:ascii="Palatino Linotype" w:eastAsia="Palatino Linotype" w:hAnsi="Palatino Linotype" w:cs="Palatino Linotype"/>
          <w:b/>
          <w:sz w:val="24"/>
          <w:szCs w:val="24"/>
        </w:rPr>
      </w:pPr>
      <w:r w:rsidRPr="00344955">
        <w:rPr>
          <w:rFonts w:ascii="Palatino Linotype" w:eastAsia="Palatino Linotype" w:hAnsi="Palatino Linotype" w:cs="Palatino Linotype"/>
          <w:sz w:val="24"/>
          <w:szCs w:val="24"/>
        </w:rPr>
        <w:t>En primera instancia debemos tener en cuen</w:t>
      </w:r>
      <w:r w:rsidR="00344955">
        <w:rPr>
          <w:rFonts w:ascii="Palatino Linotype" w:eastAsia="Palatino Linotype" w:hAnsi="Palatino Linotype" w:cs="Palatino Linotype"/>
          <w:sz w:val="24"/>
          <w:szCs w:val="24"/>
        </w:rPr>
        <w:t xml:space="preserve">ta que el particular </w:t>
      </w:r>
      <w:r w:rsidRPr="00344955">
        <w:rPr>
          <w:rFonts w:ascii="Palatino Linotype" w:eastAsia="Palatino Linotype" w:hAnsi="Palatino Linotype" w:cs="Palatino Linotype"/>
          <w:sz w:val="24"/>
          <w:szCs w:val="24"/>
        </w:rPr>
        <w:t>fue puntual al indicar que la información a la que prete</w:t>
      </w:r>
      <w:r w:rsidR="00344955" w:rsidRPr="00344955">
        <w:rPr>
          <w:rFonts w:ascii="Palatino Linotype" w:eastAsia="Palatino Linotype" w:hAnsi="Palatino Linotype" w:cs="Palatino Linotype"/>
          <w:sz w:val="24"/>
          <w:szCs w:val="24"/>
        </w:rPr>
        <w:t>ndía acceder era los videos de las sesiones de cabildo.</w:t>
      </w:r>
      <w:r w:rsidR="00344955">
        <w:rPr>
          <w:rFonts w:ascii="Palatino Linotype" w:eastAsia="Palatino Linotype" w:hAnsi="Palatino Linotype" w:cs="Palatino Linotype"/>
          <w:sz w:val="24"/>
          <w:szCs w:val="24"/>
        </w:rPr>
        <w:t xml:space="preserve"> </w:t>
      </w:r>
    </w:p>
    <w:p w:rsidR="00043C54" w:rsidRPr="00344955" w:rsidRDefault="00043C54">
      <w:pPr>
        <w:spacing w:after="0" w:line="360" w:lineRule="auto"/>
        <w:contextualSpacing/>
        <w:jc w:val="both"/>
        <w:rPr>
          <w:rFonts w:ascii="Palatino Linotype" w:eastAsia="Palatino Linotype" w:hAnsi="Palatino Linotype" w:cs="Palatino Linotype"/>
          <w:b/>
          <w:sz w:val="24"/>
          <w:szCs w:val="24"/>
        </w:rPr>
      </w:pPr>
    </w:p>
    <w:p w:rsidR="00043C54" w:rsidRPr="00344955" w:rsidRDefault="00FE45E2">
      <w:pPr>
        <w:spacing w:after="0" w:line="360" w:lineRule="auto"/>
        <w:ind w:right="51"/>
        <w:contextualSpacing/>
        <w:jc w:val="both"/>
        <w:rPr>
          <w:rFonts w:ascii="Palatino Linotype" w:eastAsia="Palatino Linotype" w:hAnsi="Palatino Linotype" w:cs="Palatino Linotype"/>
          <w:sz w:val="24"/>
          <w:szCs w:val="24"/>
        </w:rPr>
      </w:pPr>
      <w:r w:rsidRPr="00344955">
        <w:rPr>
          <w:rFonts w:ascii="Palatino Linotype" w:eastAsia="Palatino Linotype" w:hAnsi="Palatino Linotype" w:cs="Palatino Linotype"/>
          <w:sz w:val="24"/>
          <w:szCs w:val="24"/>
        </w:rPr>
        <w:t xml:space="preserve">No obstante, en el proyecto de resolución el Instituto advirtió que para el caso de las sesiones de cabildo el sujeto obligado puede generar una </w:t>
      </w:r>
      <w:r w:rsidRPr="00344955">
        <w:rPr>
          <w:rFonts w:ascii="Palatino Linotype" w:eastAsia="Palatino Linotype" w:hAnsi="Palatino Linotype" w:cs="Palatino Linotype"/>
          <w:i/>
          <w:sz w:val="24"/>
          <w:szCs w:val="24"/>
        </w:rPr>
        <w:t xml:space="preserve">versión estenográfica o videograbada, </w:t>
      </w:r>
      <w:r w:rsidRPr="00344955">
        <w:rPr>
          <w:rFonts w:ascii="Palatino Linotype" w:eastAsia="Palatino Linotype" w:hAnsi="Palatino Linotype" w:cs="Palatino Linotype"/>
          <w:sz w:val="24"/>
          <w:szCs w:val="24"/>
        </w:rPr>
        <w:t>por lo que determinó s</w:t>
      </w:r>
      <w:r w:rsidRPr="00344955">
        <w:rPr>
          <w:rFonts w:ascii="Palatino Linotype" w:eastAsia="Palatino Linotype" w:hAnsi="Palatino Linotype" w:cs="Palatino Linotype"/>
          <w:sz w:val="24"/>
          <w:szCs w:val="24"/>
        </w:rPr>
        <w:t>eñalar en la resolución que en caso de no contar co</w:t>
      </w:r>
      <w:r w:rsidRPr="00344955">
        <w:rPr>
          <w:rFonts w:ascii="Palatino Linotype" w:eastAsia="Palatino Linotype" w:hAnsi="Palatino Linotype" w:cs="Palatino Linotype"/>
          <w:sz w:val="24"/>
          <w:szCs w:val="24"/>
        </w:rPr>
        <w:t xml:space="preserve">n los videos, deberá proporcionar las versiones estenográficas de las Sesiones de Cabildo. </w:t>
      </w:r>
    </w:p>
    <w:p w:rsidR="00043C54" w:rsidRPr="00344955" w:rsidRDefault="00043C54">
      <w:pPr>
        <w:spacing w:after="0" w:line="360" w:lineRule="auto"/>
        <w:ind w:right="51"/>
        <w:contextualSpacing/>
        <w:jc w:val="both"/>
        <w:rPr>
          <w:rFonts w:ascii="Palatino Linotype" w:eastAsia="Palatino Linotype" w:hAnsi="Palatino Linotype" w:cs="Palatino Linotype"/>
          <w:sz w:val="24"/>
          <w:szCs w:val="24"/>
        </w:rPr>
      </w:pPr>
    </w:p>
    <w:p w:rsidR="00043C54" w:rsidRPr="00344955" w:rsidRDefault="00FE45E2">
      <w:pPr>
        <w:spacing w:after="0" w:line="360" w:lineRule="auto"/>
        <w:ind w:right="706"/>
        <w:contextualSpacing/>
        <w:jc w:val="both"/>
        <w:rPr>
          <w:rFonts w:ascii="Palatino Linotype" w:eastAsia="Palatino Linotype" w:hAnsi="Palatino Linotype" w:cs="Palatino Linotype"/>
          <w:i/>
          <w:sz w:val="24"/>
          <w:szCs w:val="24"/>
        </w:rPr>
      </w:pPr>
      <w:r w:rsidRPr="00344955">
        <w:rPr>
          <w:rFonts w:ascii="Palatino Linotype" w:eastAsia="Palatino Linotype" w:hAnsi="Palatino Linotype" w:cs="Palatino Linotype"/>
          <w:sz w:val="24"/>
          <w:szCs w:val="24"/>
        </w:rPr>
        <w:t>En efecto, al respecto en la resolución se consideró lo siguiente</w:t>
      </w:r>
      <w:r w:rsidRPr="00344955">
        <w:rPr>
          <w:rFonts w:ascii="Palatino Linotype" w:eastAsia="Palatino Linotype" w:hAnsi="Palatino Linotype" w:cs="Palatino Linotype"/>
          <w:i/>
          <w:sz w:val="24"/>
          <w:szCs w:val="24"/>
        </w:rPr>
        <w:t>:</w:t>
      </w:r>
    </w:p>
    <w:p w:rsidR="00043C54" w:rsidRDefault="00043C54">
      <w:pPr>
        <w:spacing w:after="0" w:line="360" w:lineRule="auto"/>
        <w:jc w:val="both"/>
        <w:rPr>
          <w:rFonts w:ascii="Palatino Linotype" w:eastAsia="Palatino Linotype" w:hAnsi="Palatino Linotype" w:cs="Palatino Linotype"/>
          <w:b/>
          <w:sz w:val="24"/>
          <w:szCs w:val="24"/>
        </w:rPr>
      </w:pPr>
    </w:p>
    <w:p w:rsidR="00043C54" w:rsidRDefault="00FE45E2">
      <w:pPr>
        <w:spacing w:after="0" w:line="276" w:lineRule="auto"/>
        <w:ind w:left="851" w:right="709"/>
        <w:jc w:val="both"/>
        <w:rPr>
          <w:rFonts w:ascii="Palatino Linotype" w:eastAsia="Palatino Linotype" w:hAnsi="Palatino Linotype" w:cs="Palatino Linotype"/>
          <w:i/>
        </w:rPr>
      </w:pPr>
      <w:r>
        <w:rPr>
          <w:rFonts w:ascii="Palatino Linotype" w:eastAsia="Palatino Linotype" w:hAnsi="Palatino Linotype" w:cs="Palatino Linotype"/>
          <w:i/>
        </w:rPr>
        <w:t>“Por lo que hace a los videos de las Sesiones de Cabildo de la presente administración, los art</w:t>
      </w:r>
      <w:r>
        <w:rPr>
          <w:rFonts w:ascii="Palatino Linotype" w:eastAsia="Palatino Linotype" w:hAnsi="Palatino Linotype" w:cs="Palatino Linotype"/>
          <w:i/>
        </w:rPr>
        <w:t xml:space="preserve">ículos 116 y 117 de la Constitución Política del Estado Libre y Soberano de México, establecen que los Ayuntamientos serán la asamblea deliberante, conformada por un jefe de asamblea, que será el Presidente Municipal </w:t>
      </w:r>
      <w:r>
        <w:rPr>
          <w:rFonts w:ascii="Palatino Linotype" w:eastAsia="Palatino Linotype" w:hAnsi="Palatino Linotype" w:cs="Palatino Linotype"/>
          <w:i/>
        </w:rPr>
        <w:lastRenderedPageBreak/>
        <w:t xml:space="preserve">y los Síndicos y Regidores necesarios. </w:t>
      </w:r>
      <w:r>
        <w:rPr>
          <w:rFonts w:ascii="Palatino Linotype" w:eastAsia="Palatino Linotype" w:hAnsi="Palatino Linotype" w:cs="Palatino Linotype"/>
          <w:i/>
        </w:rPr>
        <w:t>En ese sentido, la Ley Orgánica Municipal del Estado de México y Municipios, en sus artículos 28 y 30, establecen lo siguiente:</w:t>
      </w:r>
    </w:p>
    <w:p w:rsidR="00043C54" w:rsidRDefault="00043C54">
      <w:pPr>
        <w:spacing w:after="0" w:line="276" w:lineRule="auto"/>
        <w:ind w:left="851" w:right="709"/>
        <w:jc w:val="both"/>
        <w:rPr>
          <w:rFonts w:ascii="Palatino Linotype" w:eastAsia="Palatino Linotype" w:hAnsi="Palatino Linotype" w:cs="Palatino Linotype"/>
          <w:i/>
        </w:rPr>
      </w:pPr>
    </w:p>
    <w:p w:rsidR="00043C54" w:rsidRDefault="00FE45E2">
      <w:pPr>
        <w:spacing w:after="0" w:line="276" w:lineRule="auto"/>
        <w:ind w:left="851" w:right="709"/>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ab/>
        <w:t>El cabildo sesionará cuando menos, una vez cada ocho días, las cuales serán públicas y deberán transmitirse por Internet;</w:t>
      </w:r>
    </w:p>
    <w:p w:rsidR="00043C54" w:rsidRDefault="00FE45E2">
      <w:pPr>
        <w:spacing w:after="0" w:line="276" w:lineRule="auto"/>
        <w:ind w:left="851" w:right="709"/>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ab/>
        <w:t>L</w:t>
      </w:r>
      <w:r>
        <w:rPr>
          <w:rFonts w:ascii="Palatino Linotype" w:eastAsia="Palatino Linotype" w:hAnsi="Palatino Linotype" w:cs="Palatino Linotype"/>
          <w:i/>
        </w:rPr>
        <w:t>as sesiones del Cabildo, constarán en un libro que deberá contener las actas de las cuales deberán asentarse los extractos de los acuerdos, los asuntos tratados y resultados de la votación;</w:t>
      </w:r>
    </w:p>
    <w:p w:rsidR="00043C54" w:rsidRDefault="00FE45E2">
      <w:pPr>
        <w:spacing w:after="0" w:line="276" w:lineRule="auto"/>
        <w:ind w:left="851" w:right="709"/>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ab/>
        <w:t>Todos los acuerdos de las sesiones y el resultado de la votación</w:t>
      </w:r>
      <w:r>
        <w:rPr>
          <w:rFonts w:ascii="Palatino Linotype" w:eastAsia="Palatino Linotype" w:hAnsi="Palatino Linotype" w:cs="Palatino Linotype"/>
          <w:i/>
        </w:rPr>
        <w:t>, serán difundidos, cada mes en la Gaceta Municipal y en los estrados de la Secretaría del Ayuntamiento, y</w:t>
      </w:r>
    </w:p>
    <w:p w:rsidR="00043C54" w:rsidRDefault="00FE45E2">
      <w:pPr>
        <w:spacing w:after="0" w:line="276" w:lineRule="auto"/>
        <w:ind w:left="851" w:right="709"/>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ab/>
        <w:t>Para cada sesión se deberá contar con una versión estenográfica o videograbada que permita hacer las aclaraciones pertinentes, la cual formara part</w:t>
      </w:r>
      <w:r>
        <w:rPr>
          <w:rFonts w:ascii="Palatino Linotype" w:eastAsia="Palatino Linotype" w:hAnsi="Palatino Linotype" w:cs="Palatino Linotype"/>
          <w:i/>
        </w:rPr>
        <w:t>e del acta correspondiente, las cuales deberán estar disponibles en internet o en las oficinas de la Secretaría del Ayuntamiento.</w:t>
      </w:r>
    </w:p>
    <w:p w:rsidR="00043C54" w:rsidRDefault="00043C54">
      <w:pPr>
        <w:spacing w:after="0" w:line="276" w:lineRule="auto"/>
        <w:ind w:left="851" w:right="709"/>
        <w:jc w:val="both"/>
        <w:rPr>
          <w:rFonts w:ascii="Palatino Linotype" w:eastAsia="Palatino Linotype" w:hAnsi="Palatino Linotype" w:cs="Palatino Linotype"/>
          <w:i/>
        </w:rPr>
      </w:pPr>
    </w:p>
    <w:p w:rsidR="00043C54" w:rsidRDefault="00FE45E2">
      <w:pPr>
        <w:spacing w:after="0" w:line="276" w:lineRule="auto"/>
        <w:ind w:left="851" w:right="709"/>
        <w:jc w:val="both"/>
        <w:rPr>
          <w:rFonts w:ascii="Palatino Linotype" w:eastAsia="Palatino Linotype" w:hAnsi="Palatino Linotype" w:cs="Palatino Linotype"/>
          <w:i/>
        </w:rPr>
      </w:pPr>
      <w:r>
        <w:rPr>
          <w:rFonts w:ascii="Palatino Linotype" w:eastAsia="Palatino Linotype" w:hAnsi="Palatino Linotype" w:cs="Palatino Linotype"/>
          <w:i/>
        </w:rPr>
        <w:t>Conforme a lo anterior, y toda vez que la Secretaría del Ayuntamiento, deber contar con las versiones estenográficas o videog</w:t>
      </w:r>
      <w:r>
        <w:rPr>
          <w:rFonts w:ascii="Palatino Linotype" w:eastAsia="Palatino Linotype" w:hAnsi="Palatino Linotype" w:cs="Palatino Linotype"/>
          <w:i/>
        </w:rPr>
        <w:t>rabaciones de las Sesiones de Cabildo, se considera que para atender el requerimiento de información, el Sujeto Obligado deberá realizar una búsqueda exhaustiva y razonable, en los archivo de las unidades administrativas competentes, a efecto de que propor</w:t>
      </w:r>
      <w:r>
        <w:rPr>
          <w:rFonts w:ascii="Palatino Linotype" w:eastAsia="Palatino Linotype" w:hAnsi="Palatino Linotype" w:cs="Palatino Linotype"/>
          <w:i/>
        </w:rPr>
        <w:t>cione los videos de las Sesiones de Cabildo celebradas del primero de enero de dos mil veintidós al catorce de marzo de dos mil veinticuatro, con el fin de dar cumplimiento a los artículo 12 y 160 de la Ley de Transparencia y Acceso a la Información Públic</w:t>
      </w:r>
      <w:r>
        <w:rPr>
          <w:rFonts w:ascii="Palatino Linotype" w:eastAsia="Palatino Linotype" w:hAnsi="Palatino Linotype" w:cs="Palatino Linotype"/>
          <w:i/>
        </w:rPr>
        <w:t>a del Estado de México y Municipios. Para el caso, de que no cuente con las videograbaciones, deberá entregar las versiones estenográficas, para atender el requerimiento de información.</w:t>
      </w:r>
    </w:p>
    <w:p w:rsidR="00043C54" w:rsidRDefault="00043C54">
      <w:pPr>
        <w:spacing w:after="0" w:line="360" w:lineRule="auto"/>
        <w:jc w:val="both"/>
        <w:rPr>
          <w:rFonts w:ascii="Palatino Linotype" w:eastAsia="Palatino Linotype" w:hAnsi="Palatino Linotype" w:cs="Palatino Linotype"/>
          <w:b/>
          <w:sz w:val="24"/>
          <w:szCs w:val="24"/>
        </w:rPr>
      </w:pPr>
    </w:p>
    <w:p w:rsidR="00043C54" w:rsidRPr="00344955" w:rsidRDefault="00FE45E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se puede advertir, cada sesión se deberá contar con una versión </w:t>
      </w:r>
      <w:r>
        <w:rPr>
          <w:rFonts w:ascii="Palatino Linotype" w:eastAsia="Palatino Linotype" w:hAnsi="Palatino Linotype" w:cs="Palatino Linotype"/>
          <w:sz w:val="24"/>
          <w:szCs w:val="24"/>
        </w:rPr>
        <w:t xml:space="preserve">estenográfica o </w:t>
      </w:r>
      <w:r w:rsidRPr="00344955">
        <w:rPr>
          <w:rFonts w:ascii="Palatino Linotype" w:eastAsia="Palatino Linotype" w:hAnsi="Palatino Linotype" w:cs="Palatino Linotype"/>
          <w:sz w:val="24"/>
          <w:szCs w:val="24"/>
        </w:rPr>
        <w:t xml:space="preserve">videograbada, sin embargo, al señalar en la resolución que en caso de no contar </w:t>
      </w:r>
      <w:r w:rsidRPr="00344955">
        <w:rPr>
          <w:rFonts w:ascii="Palatino Linotype" w:eastAsia="Palatino Linotype" w:hAnsi="Palatino Linotype" w:cs="Palatino Linotype"/>
          <w:sz w:val="24"/>
          <w:szCs w:val="24"/>
        </w:rPr>
        <w:lastRenderedPageBreak/>
        <w:t>con los videos, deberá proporcionar las versiones estenográficas de las Sesiones de Cabildo</w:t>
      </w:r>
      <w:r w:rsidRPr="00344955">
        <w:rPr>
          <w:rFonts w:ascii="Palatino Linotype" w:eastAsia="Palatino Linotype" w:hAnsi="Palatino Linotype" w:cs="Palatino Linotype"/>
          <w:b/>
          <w:sz w:val="24"/>
          <w:szCs w:val="24"/>
        </w:rPr>
        <w:t>,</w:t>
      </w:r>
      <w:r w:rsidRPr="00344955">
        <w:rPr>
          <w:rFonts w:ascii="Palatino Linotype" w:eastAsia="Palatino Linotype" w:hAnsi="Palatino Linotype" w:cs="Palatino Linotype"/>
          <w:sz w:val="24"/>
          <w:szCs w:val="24"/>
        </w:rPr>
        <w:t xml:space="preserve"> es la situación que no se comparte, pues se está obligando al ente </w:t>
      </w:r>
      <w:r w:rsidRPr="00344955">
        <w:rPr>
          <w:rFonts w:ascii="Palatino Linotype" w:eastAsia="Palatino Linotype" w:hAnsi="Palatino Linotype" w:cs="Palatino Linotype"/>
          <w:sz w:val="24"/>
          <w:szCs w:val="24"/>
        </w:rPr>
        <w:t>público a entregar información que no fue requerida primigeniamente.</w:t>
      </w:r>
    </w:p>
    <w:p w:rsidR="00344955" w:rsidRPr="00344955" w:rsidRDefault="00344955">
      <w:pPr>
        <w:spacing w:after="0" w:line="360" w:lineRule="auto"/>
        <w:jc w:val="both"/>
        <w:rPr>
          <w:rFonts w:ascii="Palatino Linotype" w:eastAsia="Palatino Linotype" w:hAnsi="Palatino Linotype" w:cs="Palatino Linotype"/>
          <w:sz w:val="24"/>
          <w:szCs w:val="24"/>
        </w:rPr>
      </w:pPr>
    </w:p>
    <w:p w:rsidR="00043C54" w:rsidRPr="00344955" w:rsidRDefault="00FE45E2">
      <w:pPr>
        <w:spacing w:after="0" w:line="360" w:lineRule="auto"/>
        <w:ind w:right="51"/>
        <w:jc w:val="both"/>
        <w:rPr>
          <w:rFonts w:ascii="Palatino Linotype" w:eastAsia="Palatino Linotype" w:hAnsi="Palatino Linotype" w:cs="Palatino Linotype"/>
          <w:sz w:val="24"/>
          <w:szCs w:val="24"/>
        </w:rPr>
      </w:pPr>
      <w:r w:rsidRPr="00344955">
        <w:rPr>
          <w:rFonts w:ascii="Palatino Linotype" w:eastAsia="Palatino Linotype" w:hAnsi="Palatino Linotype" w:cs="Palatino Linotype"/>
          <w:sz w:val="24"/>
          <w:szCs w:val="24"/>
        </w:rPr>
        <w:t>A fin de precisar lo anterior, conviene traer a contexto el contenido del artículo 162 de la Ley de Transparencia y Acceso a la Información Pública del Estado de México y Municipios:</w:t>
      </w:r>
    </w:p>
    <w:p w:rsidR="00043C54" w:rsidRPr="00344955" w:rsidRDefault="00043C54">
      <w:pPr>
        <w:spacing w:after="0" w:line="360" w:lineRule="auto"/>
        <w:ind w:right="51"/>
        <w:jc w:val="both"/>
        <w:rPr>
          <w:rFonts w:ascii="Palatino Linotype" w:eastAsia="Palatino Linotype" w:hAnsi="Palatino Linotype" w:cs="Palatino Linotype"/>
          <w:sz w:val="24"/>
          <w:szCs w:val="24"/>
        </w:rPr>
      </w:pPr>
    </w:p>
    <w:p w:rsidR="00043C54" w:rsidRDefault="00FE45E2" w:rsidP="00344955">
      <w:pPr>
        <w:spacing w:after="0" w:line="276" w:lineRule="auto"/>
        <w:ind w:left="567" w:right="618"/>
        <w:contextualSpacing/>
        <w:jc w:val="both"/>
        <w:rPr>
          <w:rFonts w:ascii="Palatino Linotype" w:eastAsia="Palatino Linotype" w:hAnsi="Palatino Linotype" w:cs="Palatino Linotype"/>
        </w:rPr>
      </w:pPr>
      <w:r>
        <w:rPr>
          <w:rFonts w:ascii="Palatino Linotype" w:eastAsia="Palatino Linotype" w:hAnsi="Palatino Linotype" w:cs="Palatino Linotype"/>
        </w:rPr>
        <w:t>“</w:t>
      </w:r>
      <w:r>
        <w:rPr>
          <w:rFonts w:ascii="Palatino Linotype" w:eastAsia="Palatino Linotype" w:hAnsi="Palatino Linotype" w:cs="Palatino Linotype"/>
          <w:i/>
        </w:rPr>
        <w:t>Artículo 162. Las unidades de transparencia deberán garantizar que las solicitudes se turnen a todas las Áreas competentes que cuenten con la información o deban tenerla de acuerdo a sus facultades, competencias y funciones, con el objeto de que realicen u</w:t>
      </w:r>
      <w:r>
        <w:rPr>
          <w:rFonts w:ascii="Palatino Linotype" w:eastAsia="Palatino Linotype" w:hAnsi="Palatino Linotype" w:cs="Palatino Linotype"/>
          <w:i/>
        </w:rPr>
        <w:t>na búsqueda exhaustiva y razonable de la información solicitada</w:t>
      </w:r>
      <w:r>
        <w:rPr>
          <w:rFonts w:ascii="Palatino Linotype" w:eastAsia="Palatino Linotype" w:hAnsi="Palatino Linotype" w:cs="Palatino Linotype"/>
        </w:rPr>
        <w:t>.”</w:t>
      </w:r>
    </w:p>
    <w:p w:rsidR="00043C54" w:rsidRPr="00344955" w:rsidRDefault="00043C54">
      <w:pPr>
        <w:spacing w:after="0" w:line="276" w:lineRule="auto"/>
        <w:ind w:left="567" w:right="616"/>
        <w:jc w:val="both"/>
        <w:rPr>
          <w:rFonts w:ascii="Palatino Linotype" w:eastAsia="Palatino Linotype" w:hAnsi="Palatino Linotype" w:cs="Palatino Linotype"/>
          <w:sz w:val="24"/>
        </w:rPr>
      </w:pPr>
    </w:p>
    <w:p w:rsidR="00043C54" w:rsidRPr="00344955" w:rsidRDefault="00FE45E2">
      <w:pPr>
        <w:spacing w:after="0" w:line="360" w:lineRule="auto"/>
        <w:contextualSpacing/>
        <w:jc w:val="both"/>
        <w:rPr>
          <w:rFonts w:ascii="Palatino Linotype" w:eastAsia="Palatino Linotype" w:hAnsi="Palatino Linotype" w:cs="Palatino Linotype"/>
          <w:sz w:val="24"/>
        </w:rPr>
      </w:pPr>
      <w:r w:rsidRPr="00344955">
        <w:rPr>
          <w:rFonts w:ascii="Palatino Linotype" w:eastAsia="Palatino Linotype" w:hAnsi="Palatino Linotype" w:cs="Palatino Linotype"/>
          <w:sz w:val="24"/>
        </w:rPr>
        <w:t xml:space="preserve">Del precepto legal en cita, se desprende que las Unidades de Transparencia de los Sujetos Obligados, cuando reciben una solicitud de información, tienen el deber de turnar la misma a todas </w:t>
      </w:r>
      <w:r w:rsidRPr="00344955">
        <w:rPr>
          <w:rFonts w:ascii="Palatino Linotype" w:eastAsia="Palatino Linotype" w:hAnsi="Palatino Linotype" w:cs="Palatino Linotype"/>
          <w:sz w:val="24"/>
        </w:rPr>
        <w:t>las áreas competentes que puedan contar con la misma o bien, deban tenerla de acuerdo con sus facultades, competencias y funciones, con el objeto de que realicen una búsqueda exhaustiva y razonable de la información solicitada.</w:t>
      </w:r>
    </w:p>
    <w:p w:rsidR="00043C54" w:rsidRPr="00344955" w:rsidRDefault="00043C54">
      <w:pPr>
        <w:spacing w:after="0" w:line="360" w:lineRule="auto"/>
        <w:contextualSpacing/>
        <w:jc w:val="both"/>
        <w:rPr>
          <w:rFonts w:ascii="Palatino Linotype" w:eastAsia="Palatino Linotype" w:hAnsi="Palatino Linotype" w:cs="Palatino Linotype"/>
          <w:sz w:val="24"/>
        </w:rPr>
      </w:pPr>
    </w:p>
    <w:p w:rsidR="00043C54" w:rsidRPr="00344955" w:rsidRDefault="00FE45E2">
      <w:pPr>
        <w:spacing w:after="0" w:line="360" w:lineRule="auto"/>
        <w:contextualSpacing/>
        <w:jc w:val="both"/>
        <w:rPr>
          <w:rFonts w:ascii="Palatino Linotype" w:eastAsia="Palatino Linotype" w:hAnsi="Palatino Linotype" w:cs="Palatino Linotype"/>
          <w:sz w:val="24"/>
        </w:rPr>
      </w:pPr>
      <w:r w:rsidRPr="00344955">
        <w:rPr>
          <w:rFonts w:ascii="Palatino Linotype" w:eastAsia="Palatino Linotype" w:hAnsi="Palatino Linotype" w:cs="Palatino Linotype"/>
          <w:sz w:val="24"/>
        </w:rPr>
        <w:t xml:space="preserve">Por lo tanto, se tiene que </w:t>
      </w:r>
      <w:r w:rsidR="00344955" w:rsidRPr="00344955">
        <w:rPr>
          <w:rFonts w:ascii="Palatino Linotype" w:eastAsia="Palatino Linotype" w:hAnsi="Palatino Linotype" w:cs="Palatino Linotype"/>
          <w:b/>
          <w:sz w:val="24"/>
        </w:rPr>
        <w:t>EL SUJETO OBLIGADO</w:t>
      </w:r>
      <w:r w:rsidR="00344955" w:rsidRPr="00344955">
        <w:rPr>
          <w:rFonts w:ascii="Palatino Linotype" w:eastAsia="Palatino Linotype" w:hAnsi="Palatino Linotype" w:cs="Palatino Linotype"/>
          <w:sz w:val="24"/>
        </w:rPr>
        <w:t xml:space="preserve"> </w:t>
      </w:r>
      <w:r w:rsidRPr="00344955">
        <w:rPr>
          <w:rFonts w:ascii="Palatino Linotype" w:eastAsia="Palatino Linotype" w:hAnsi="Palatino Linotype" w:cs="Palatino Linotype"/>
          <w:sz w:val="24"/>
        </w:rPr>
        <w:t xml:space="preserve">realiza la búsqueda de la información, a partir de los requerimientos formulados por los particulares en la solicitud correspondiente, en ese mismo sentido, el Instituto se encuentra obligado </w:t>
      </w:r>
      <w:r w:rsidRPr="00344955">
        <w:rPr>
          <w:rFonts w:ascii="Palatino Linotype" w:eastAsia="Palatino Linotype" w:hAnsi="Palatino Linotype" w:cs="Palatino Linotype"/>
          <w:sz w:val="24"/>
        </w:rPr>
        <w:lastRenderedPageBreak/>
        <w:t>a resolver conform</w:t>
      </w:r>
      <w:r w:rsidRPr="00344955">
        <w:rPr>
          <w:rFonts w:ascii="Palatino Linotype" w:eastAsia="Palatino Linotype" w:hAnsi="Palatino Linotype" w:cs="Palatino Linotype"/>
          <w:sz w:val="24"/>
        </w:rPr>
        <w:t xml:space="preserve">e a los puntos requeridos por el particular, sin cambiar, modificar o ampliar la pretensión del recurrente, esto es, la resolución debió pronunciarse únicamente respecto a la información solicitada, dejando a salvo los derechos del particular de acceder a </w:t>
      </w:r>
      <w:r w:rsidRPr="00344955">
        <w:rPr>
          <w:rFonts w:ascii="Palatino Linotype" w:eastAsia="Palatino Linotype" w:hAnsi="Palatino Linotype" w:cs="Palatino Linotype"/>
          <w:sz w:val="24"/>
        </w:rPr>
        <w:t>la información contemplada en la salvedad, pues la resolución  no puede ocuparse de puntos o cuestiones no comprendidas en la litis, como es el caso de las versiones estenográficas, las cuales no fueron requeridas, es por ello que la suscrita no comparte l</w:t>
      </w:r>
      <w:r w:rsidRPr="00344955">
        <w:rPr>
          <w:rFonts w:ascii="Palatino Linotype" w:eastAsia="Palatino Linotype" w:hAnsi="Palatino Linotype" w:cs="Palatino Linotype"/>
          <w:sz w:val="24"/>
        </w:rPr>
        <w:t>a salvedad contemplada  y por la que formula el presente voto particular.</w:t>
      </w:r>
    </w:p>
    <w:bookmarkEnd w:id="1"/>
    <w:p w:rsidR="00043C54" w:rsidRDefault="00043C54">
      <w:pPr>
        <w:spacing w:after="0" w:line="360" w:lineRule="auto"/>
        <w:jc w:val="both"/>
        <w:rPr>
          <w:rFonts w:ascii="Palatino Linotype" w:eastAsia="Palatino Linotype" w:hAnsi="Palatino Linotype" w:cs="Palatino Linotype"/>
        </w:rPr>
      </w:pPr>
    </w:p>
    <w:p w:rsidR="00043C54" w:rsidRDefault="00043C54">
      <w:pPr>
        <w:spacing w:after="0" w:line="360" w:lineRule="auto"/>
        <w:jc w:val="both"/>
        <w:rPr>
          <w:rFonts w:ascii="Palatino Linotype" w:eastAsia="Palatino Linotype" w:hAnsi="Palatino Linotype" w:cs="Palatino Linotype"/>
          <w:b/>
          <w:sz w:val="24"/>
          <w:szCs w:val="24"/>
        </w:rPr>
      </w:pPr>
    </w:p>
    <w:p w:rsidR="00043C54" w:rsidRDefault="00043C54">
      <w:pPr>
        <w:pBdr>
          <w:top w:val="nil"/>
          <w:left w:val="nil"/>
          <w:bottom w:val="nil"/>
          <w:right w:val="nil"/>
          <w:between w:val="nil"/>
        </w:pBdr>
        <w:spacing w:after="0" w:line="360" w:lineRule="auto"/>
        <w:ind w:right="139"/>
        <w:jc w:val="both"/>
        <w:rPr>
          <w:rFonts w:ascii="Palatino Linotype" w:eastAsia="Palatino Linotype" w:hAnsi="Palatino Linotype" w:cs="Palatino Linotype"/>
          <w:sz w:val="23"/>
          <w:szCs w:val="23"/>
        </w:rPr>
      </w:pPr>
    </w:p>
    <w:p w:rsidR="00043C54" w:rsidRDefault="00043C54">
      <w:pPr>
        <w:pBdr>
          <w:top w:val="nil"/>
          <w:left w:val="nil"/>
          <w:bottom w:val="nil"/>
          <w:right w:val="nil"/>
          <w:between w:val="nil"/>
        </w:pBdr>
        <w:spacing w:after="0" w:line="360" w:lineRule="auto"/>
        <w:ind w:right="139"/>
        <w:jc w:val="both"/>
        <w:rPr>
          <w:rFonts w:ascii="Palatino Linotype" w:eastAsia="Palatino Linotype" w:hAnsi="Palatino Linotype" w:cs="Palatino Linotype"/>
          <w:sz w:val="23"/>
          <w:szCs w:val="23"/>
        </w:rPr>
      </w:pPr>
    </w:p>
    <w:p w:rsidR="00043C54" w:rsidRDefault="00043C54">
      <w:pPr>
        <w:spacing w:after="0" w:line="360" w:lineRule="auto"/>
        <w:ind w:right="139"/>
        <w:jc w:val="both"/>
        <w:rPr>
          <w:rFonts w:ascii="Palatino Linotype" w:eastAsia="Palatino Linotype" w:hAnsi="Palatino Linotype" w:cs="Palatino Linotype"/>
          <w:sz w:val="24"/>
          <w:szCs w:val="24"/>
        </w:rPr>
      </w:pPr>
    </w:p>
    <w:p w:rsidR="00043C54" w:rsidRDefault="00043C54">
      <w:pPr>
        <w:spacing w:after="0" w:line="360" w:lineRule="auto"/>
        <w:ind w:right="139"/>
        <w:jc w:val="both"/>
        <w:rPr>
          <w:rFonts w:ascii="Palatino Linotype" w:eastAsia="Palatino Linotype" w:hAnsi="Palatino Linotype" w:cs="Palatino Linotype"/>
          <w:sz w:val="24"/>
          <w:szCs w:val="24"/>
        </w:rPr>
      </w:pPr>
    </w:p>
    <w:p w:rsidR="00043C54" w:rsidRDefault="00043C54">
      <w:pPr>
        <w:spacing w:after="0" w:line="360" w:lineRule="auto"/>
        <w:ind w:right="139"/>
        <w:jc w:val="both"/>
        <w:rPr>
          <w:rFonts w:ascii="Palatino Linotype" w:eastAsia="Palatino Linotype" w:hAnsi="Palatino Linotype" w:cs="Palatino Linotype"/>
          <w:sz w:val="24"/>
          <w:szCs w:val="24"/>
        </w:rPr>
      </w:pPr>
    </w:p>
    <w:p w:rsidR="00043C54" w:rsidRDefault="00043C54">
      <w:pPr>
        <w:spacing w:after="240" w:line="360" w:lineRule="auto"/>
        <w:ind w:right="139"/>
        <w:jc w:val="both"/>
        <w:rPr>
          <w:rFonts w:ascii="Palatino Linotype" w:eastAsia="Palatino Linotype" w:hAnsi="Palatino Linotype" w:cs="Palatino Linotype"/>
          <w:sz w:val="24"/>
          <w:szCs w:val="24"/>
        </w:rPr>
      </w:pPr>
    </w:p>
    <w:p w:rsidR="00043C54" w:rsidRDefault="00043C54">
      <w:pPr>
        <w:spacing w:before="240" w:after="240" w:line="360" w:lineRule="auto"/>
        <w:ind w:right="139"/>
        <w:jc w:val="both"/>
        <w:rPr>
          <w:rFonts w:ascii="Palatino Linotype" w:eastAsia="Palatino Linotype" w:hAnsi="Palatino Linotype" w:cs="Palatino Linotype"/>
          <w:sz w:val="24"/>
          <w:szCs w:val="24"/>
        </w:rPr>
      </w:pPr>
    </w:p>
    <w:p w:rsidR="00043C54" w:rsidRDefault="00043C54">
      <w:pPr>
        <w:spacing w:before="240" w:after="240" w:line="360" w:lineRule="auto"/>
        <w:ind w:right="139"/>
        <w:jc w:val="both"/>
        <w:rPr>
          <w:rFonts w:ascii="Palatino Linotype" w:eastAsia="Palatino Linotype" w:hAnsi="Palatino Linotype" w:cs="Palatino Linotype"/>
          <w:sz w:val="24"/>
          <w:szCs w:val="24"/>
        </w:rPr>
      </w:pPr>
    </w:p>
    <w:p w:rsidR="00043C54" w:rsidRDefault="00043C54">
      <w:pPr>
        <w:spacing w:before="240" w:after="240" w:line="360" w:lineRule="auto"/>
        <w:ind w:right="139"/>
        <w:jc w:val="both"/>
        <w:rPr>
          <w:rFonts w:ascii="Palatino Linotype" w:eastAsia="Palatino Linotype" w:hAnsi="Palatino Linotype" w:cs="Palatino Linotype"/>
          <w:sz w:val="24"/>
          <w:szCs w:val="24"/>
        </w:rPr>
      </w:pPr>
    </w:p>
    <w:p w:rsidR="00043C54" w:rsidRDefault="00043C54">
      <w:pPr>
        <w:spacing w:before="240" w:after="240" w:line="360" w:lineRule="auto"/>
        <w:ind w:right="139"/>
        <w:jc w:val="both"/>
        <w:rPr>
          <w:rFonts w:ascii="Palatino Linotype" w:eastAsia="Palatino Linotype" w:hAnsi="Palatino Linotype" w:cs="Palatino Linotype"/>
          <w:sz w:val="24"/>
          <w:szCs w:val="24"/>
        </w:rPr>
      </w:pPr>
    </w:p>
    <w:p w:rsidR="00043C54" w:rsidRDefault="00043C54">
      <w:pPr>
        <w:spacing w:before="240" w:after="240" w:line="360" w:lineRule="auto"/>
        <w:ind w:right="139"/>
        <w:jc w:val="both"/>
        <w:rPr>
          <w:rFonts w:ascii="Palatino Linotype" w:eastAsia="Palatino Linotype" w:hAnsi="Palatino Linotype" w:cs="Palatino Linotype"/>
          <w:sz w:val="24"/>
          <w:szCs w:val="24"/>
        </w:rPr>
      </w:pPr>
    </w:p>
    <w:p w:rsidR="00043C54" w:rsidRDefault="00043C54"/>
    <w:p w:rsidR="00043C54" w:rsidRDefault="00043C54"/>
    <w:p w:rsidR="00043C54" w:rsidRDefault="00043C54"/>
    <w:sectPr w:rsidR="00043C54">
      <w:headerReference w:type="default" r:id="rId7"/>
      <w:footerReference w:type="default" r:id="rId8"/>
      <w:pgSz w:w="12240" w:h="15840"/>
      <w:pgMar w:top="2438" w:right="1701" w:bottom="2778" w:left="1701"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E45E2">
      <w:pPr>
        <w:spacing w:after="0" w:line="240" w:lineRule="auto"/>
      </w:pPr>
      <w:r>
        <w:separator/>
      </w:r>
    </w:p>
  </w:endnote>
  <w:endnote w:type="continuationSeparator" w:id="0">
    <w:p w:rsidR="00000000" w:rsidRDefault="00FE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C54" w:rsidRDefault="00FE45E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sidR="00344955">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sidR="00344955">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8</w:t>
    </w:r>
    <w:r>
      <w:rPr>
        <w:rFonts w:ascii="Palatino Linotype" w:eastAsia="Palatino Linotype" w:hAnsi="Palatino Linotype" w:cs="Palatino Linotype"/>
        <w:b/>
        <w:color w:val="000000"/>
        <w:sz w:val="20"/>
        <w:szCs w:val="20"/>
      </w:rPr>
      <w:fldChar w:fldCharType="end"/>
    </w:r>
  </w:p>
  <w:p w:rsidR="00043C54" w:rsidRDefault="00043C54">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E45E2">
      <w:pPr>
        <w:spacing w:after="0" w:line="240" w:lineRule="auto"/>
      </w:pPr>
      <w:r>
        <w:separator/>
      </w:r>
    </w:p>
  </w:footnote>
  <w:footnote w:type="continuationSeparator" w:id="0">
    <w:p w:rsidR="00000000" w:rsidRDefault="00FE4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C54" w:rsidRDefault="00FE45E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r>
      <w:rPr>
        <w:noProof/>
      </w:rPr>
      <w:drawing>
        <wp:anchor distT="0" distB="0" distL="0" distR="0" simplePos="0" relativeHeight="251658240" behindDoc="1" locked="0" layoutInCell="1" hidden="0" allowOverlap="1">
          <wp:simplePos x="0" y="0"/>
          <wp:positionH relativeFrom="column">
            <wp:posOffset>-647060</wp:posOffset>
          </wp:positionH>
          <wp:positionV relativeFrom="paragraph">
            <wp:posOffset>-711194</wp:posOffset>
          </wp:positionV>
          <wp:extent cx="7510628" cy="9883775"/>
          <wp:effectExtent l="0" t="0" r="0" b="0"/>
          <wp:wrapNone/>
          <wp:docPr id="161275494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043C54" w:rsidRDefault="00FE45E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01876/INFOEM/IP/RR/2024.</w:t>
    </w:r>
  </w:p>
  <w:p w:rsidR="00043C54" w:rsidRDefault="00043C54">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043C54" w:rsidRDefault="00043C5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54"/>
    <w:rsid w:val="00043C54"/>
    <w:rsid w:val="00344955"/>
    <w:rsid w:val="00FE45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C1E6B2-4109-4FB2-90CE-5DEFFF6C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0BA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E80B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0BA1"/>
    <w:rPr>
      <w:rFonts w:ascii="Calibri" w:eastAsia="Calibri" w:hAnsi="Calibri" w:cs="Calibri"/>
      <w:lang w:eastAsia="es-MX"/>
    </w:rPr>
  </w:style>
  <w:style w:type="paragraph" w:styleId="Piedepgina">
    <w:name w:val="footer"/>
    <w:basedOn w:val="Normal"/>
    <w:link w:val="PiedepginaCar"/>
    <w:uiPriority w:val="99"/>
    <w:unhideWhenUsed/>
    <w:rsid w:val="00E80B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0BA1"/>
    <w:rPr>
      <w:rFonts w:ascii="Calibri" w:eastAsia="Calibri" w:hAnsi="Calibri" w:cs="Calibri"/>
      <w:lang w:eastAsia="es-MX"/>
    </w:rPr>
  </w:style>
  <w:style w:type="paragraph" w:styleId="Prrafodelista">
    <w:name w:val="List Paragraph"/>
    <w:basedOn w:val="Normal"/>
    <w:uiPriority w:val="34"/>
    <w:qFormat/>
    <w:rsid w:val="00E80BA1"/>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2FD8e+FLjob6FTnBoI77wx6uA==">CgMxLjAyCWguMWZvYjl0ZTIIaC50eWpjd3Q4AHIhMXpLZUM5c1FNYkRsZWxacnltdEVlanliN0hzY1FuMXot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1346</Words>
  <Characters>7403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INFOEM505</cp:lastModifiedBy>
  <cp:revision>3</cp:revision>
  <cp:lastPrinted>2024-09-17T16:28:00Z</cp:lastPrinted>
  <dcterms:created xsi:type="dcterms:W3CDTF">2024-09-17T16:28:00Z</dcterms:created>
  <dcterms:modified xsi:type="dcterms:W3CDTF">2024-09-17T16:35:00Z</dcterms:modified>
</cp:coreProperties>
</file>