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A7251" w14:textId="77777777" w:rsidR="00091A8A" w:rsidRDefault="00F76093" w:rsidP="00073A6C">
      <w:pPr>
        <w:widowControl w:val="0"/>
        <w:pBdr>
          <w:top w:val="nil"/>
          <w:left w:val="nil"/>
          <w:bottom w:val="nil"/>
          <w:right w:val="nil"/>
          <w:between w:val="nil"/>
        </w:pBdr>
        <w:spacing w:after="0" w:line="276" w:lineRule="auto"/>
        <w:rPr>
          <w:rFonts w:ascii="Palatino Linotype" w:eastAsia="Palatino Linotype" w:hAnsi="Palatino Linotype" w:cs="Palatino Linotype"/>
          <w:b/>
        </w:rPr>
      </w:pPr>
      <w:r>
        <w:pict w14:anchorId="5C7DC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pt;height:50pt;z-index:251657216;visibility:hidden">
            <o:lock v:ext="edit" selection="t"/>
          </v:shape>
        </w:pict>
      </w:r>
      <w:r>
        <w:pict w14:anchorId="6094CBCE">
          <v:shape id="_x0000_s1026" type="#_x0000_t136" style="position:absolute;margin-left:0;margin-top:0;width:50pt;height:50pt;z-index:251658240;visibility:hidden">
            <o:lock v:ext="edit" selection="t"/>
          </v:shape>
        </w:pict>
      </w:r>
    </w:p>
    <w:p w14:paraId="31807F2B" w14:textId="77777777" w:rsidR="00091A8A" w:rsidRDefault="00AB3593">
      <w:pPr>
        <w:spacing w:after="0" w:line="360" w:lineRule="auto"/>
        <w:ind w:right="-93"/>
        <w:jc w:val="both"/>
        <w:rPr>
          <w:rFonts w:ascii="Palatino Linotype" w:eastAsia="Palatino Linotype" w:hAnsi="Palatino Linotype" w:cs="Palatino Linotype"/>
          <w:b/>
        </w:rPr>
      </w:pPr>
      <w:r>
        <w:rPr>
          <w:rFonts w:ascii="Palatino Linotype" w:eastAsia="Palatino Linotype" w:hAnsi="Palatino Linotype" w:cs="Palatino Linotype"/>
          <w:b/>
        </w:rPr>
        <w:t>VOTO PARTICULAR CONCURRENTE QUE FORMULAN LA COMISIONADA GUADALUPE RAMÍREZ PEÑA Y EL COMISIONADO LUIS GUSTAVO PARRA NORIEGA, CON RELACIÓN A LA RESOLUCIÓN EMITIDA POR EL PLEN</w:t>
      </w:r>
      <w:bookmarkStart w:id="0" w:name="_GoBack"/>
      <w:bookmarkEnd w:id="0"/>
      <w:r>
        <w:rPr>
          <w:rFonts w:ascii="Palatino Linotype" w:eastAsia="Palatino Linotype" w:hAnsi="Palatino Linotype" w:cs="Palatino Linotype"/>
          <w:b/>
        </w:rPr>
        <w:t>O DEL INSTITUTO DE TRANSPARENCIA, ACCESO A LA INFORMACIÓN PÚBLICA Y PROTECCIÓN DE DATOS PERSONALES DEL ESTADO DE MÉXICO Y MUNICIPIOS, EN LA TRIGÉSIMA SÉPTIMA  SESIÓN ORDINARIA DEL DIECISÉIS DE OCTUBRE DE DOS MIL VEINTICUATRO, AL RECURSO DE REVISIÓN 04351/INFOEM/IP/RR/2024, PROMOVIDO EN CONTRA DEL AYUNTAMIENTO DE LUVIANOS.</w:t>
      </w:r>
    </w:p>
    <w:p w14:paraId="299B641F" w14:textId="77777777" w:rsidR="00091A8A" w:rsidRDefault="00091A8A">
      <w:pPr>
        <w:spacing w:after="0" w:line="360" w:lineRule="auto"/>
        <w:ind w:right="-93"/>
        <w:jc w:val="both"/>
        <w:rPr>
          <w:rFonts w:ascii="Palatino Linotype" w:eastAsia="Palatino Linotype" w:hAnsi="Palatino Linotype" w:cs="Palatino Linotype"/>
          <w:b/>
        </w:rPr>
      </w:pPr>
    </w:p>
    <w:p w14:paraId="495CC863" w14:textId="77777777" w:rsidR="00091A8A" w:rsidRDefault="00AB3593">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 xml:space="preserve">04351/INFOEM/IP/RR/2024, </w:t>
      </w:r>
      <w:r>
        <w:rPr>
          <w:rFonts w:ascii="Palatino Linotype" w:eastAsia="Palatino Linotype" w:hAnsi="Palatino Linotype" w:cs="Palatino Linotype"/>
        </w:rPr>
        <w:t xml:space="preserve">presentada por el Comisionado Luis Gustavo Parra Noriega, </w:t>
      </w:r>
      <w:r>
        <w:rPr>
          <w:rFonts w:ascii="Palatino Linotype" w:eastAsia="Palatino Linotype" w:hAnsi="Palatino Linotype" w:cs="Palatino Linotype"/>
          <w:b/>
        </w:rPr>
        <w:t>conforme al criterio mayoritario del Pleno</w:t>
      </w:r>
      <w:r>
        <w:rPr>
          <w:rFonts w:ascii="Palatino Linotype" w:eastAsia="Palatino Linotype" w:hAnsi="Palatino Linotype" w:cs="Palatino Linotype"/>
        </w:rPr>
        <w:t xml:space="preserve">, respecto de la cual, quienes suscriben, emiten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0780509D" w14:textId="77777777" w:rsidR="00091A8A" w:rsidRDefault="00091A8A">
      <w:pPr>
        <w:spacing w:after="0" w:line="360" w:lineRule="auto"/>
        <w:jc w:val="both"/>
        <w:rPr>
          <w:rFonts w:ascii="Palatino Linotype" w:eastAsia="Palatino Linotype" w:hAnsi="Palatino Linotype" w:cs="Palatino Linotype"/>
        </w:rPr>
      </w:pPr>
    </w:p>
    <w:p w14:paraId="60A157EC" w14:textId="77777777" w:rsidR="00091A8A" w:rsidRDefault="00AB3593">
      <w:pPr>
        <w:spacing w:after="0" w:line="360" w:lineRule="auto"/>
        <w:ind w:right="-93"/>
        <w:jc w:val="both"/>
        <w:rPr>
          <w:rFonts w:ascii="Palatino Linotype" w:eastAsia="Palatino Linotype" w:hAnsi="Palatino Linotype" w:cs="Palatino Linotype"/>
        </w:rPr>
      </w:pPr>
      <w:bookmarkStart w:id="1" w:name="_heading=h.gjdgxs" w:colFirst="0" w:colLast="0"/>
      <w:bookmarkEnd w:id="1"/>
      <w:r>
        <w:rPr>
          <w:rFonts w:ascii="Palatino Linotype" w:eastAsia="Palatino Linotype" w:hAnsi="Palatino Linotype" w:cs="Palatino Linotype"/>
        </w:rPr>
        <w:t>Como se advierte en los antecedentes de la resolución del Recurso de Revisión que nos ocupa, el particular requirió, de las obras realizadas del ejercicio fiscal dos mil veintidós, dos mil veintitrés y del primero de enero al primero de julio de dos mil veinticuatro, lo siguiente:</w:t>
      </w:r>
    </w:p>
    <w:p w14:paraId="28B6DE1D" w14:textId="77777777" w:rsidR="00091A8A" w:rsidRDefault="00091A8A">
      <w:pPr>
        <w:spacing w:after="0" w:line="360" w:lineRule="auto"/>
        <w:rPr>
          <w:rFonts w:ascii="Palatino Linotype" w:eastAsia="Palatino Linotype" w:hAnsi="Palatino Linotype" w:cs="Palatino Linotype"/>
        </w:rPr>
      </w:pPr>
    </w:p>
    <w:p w14:paraId="0A73CF29" w14:textId="77777777" w:rsidR="00091A8A" w:rsidRDefault="00AB359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Expedientes técnicos de obra;</w:t>
      </w:r>
    </w:p>
    <w:p w14:paraId="17DF1C75" w14:textId="77777777" w:rsidR="00091A8A" w:rsidRDefault="00AB359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Nombre de las empresas ejecutoras;</w:t>
      </w:r>
    </w:p>
    <w:p w14:paraId="65536FB2" w14:textId="77777777" w:rsidR="00091A8A" w:rsidRDefault="00AB359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Contratos o convenios para la utilización de maquinaria y personal del Ayuntamiento;</w:t>
      </w:r>
    </w:p>
    <w:p w14:paraId="4CF0EC89" w14:textId="77777777" w:rsidR="00091A8A" w:rsidRDefault="00AB359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Información geográfica (GPS), y</w:t>
      </w:r>
    </w:p>
    <w:p w14:paraId="51AF1AB0" w14:textId="77777777" w:rsidR="00091A8A" w:rsidRDefault="00AB359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Evidencia fotográfica.</w:t>
      </w:r>
    </w:p>
    <w:p w14:paraId="459FA063" w14:textId="77777777" w:rsidR="00091A8A" w:rsidRDefault="00091A8A">
      <w:pPr>
        <w:spacing w:after="0" w:line="360" w:lineRule="auto"/>
        <w:jc w:val="both"/>
        <w:rPr>
          <w:rFonts w:ascii="Palatino Linotype" w:eastAsia="Palatino Linotype" w:hAnsi="Palatino Linotype" w:cs="Palatino Linotype"/>
        </w:rPr>
      </w:pPr>
    </w:p>
    <w:p w14:paraId="17D8D6A0" w14:textId="77777777" w:rsidR="00091A8A" w:rsidRDefault="00AB359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del Director de Obras Públicas informó que no contaba con contratos o convenios celebrados para arrendamiento de maquinaria y adjuntó los expedientes técnicos, contratos y evidencia fotográfica de las obras realizadas del ejercicio fiscal dos mil veintidós, dos mil veintitrés y del primero de enero al primero de julio de dos mil veinticuatro. </w:t>
      </w:r>
    </w:p>
    <w:p w14:paraId="74AE77BC" w14:textId="77777777" w:rsidR="00091A8A" w:rsidRDefault="00091A8A">
      <w:pPr>
        <w:spacing w:after="0" w:line="360" w:lineRule="auto"/>
        <w:jc w:val="both"/>
        <w:rPr>
          <w:rFonts w:ascii="Palatino Linotype" w:eastAsia="Palatino Linotype" w:hAnsi="Palatino Linotype" w:cs="Palatino Linotype"/>
          <w:color w:val="000000"/>
        </w:rPr>
      </w:pPr>
    </w:p>
    <w:p w14:paraId="073D016C" w14:textId="1A5927C1" w:rsidR="00091A8A" w:rsidRDefault="00AB3593" w:rsidP="004751ED">
      <w:pP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rPr>
        <w:t xml:space="preserve">Una vez conocida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se agravió porque no la información es incompleta, al mencionar que no le entregaron los expedientes técnicos. </w:t>
      </w:r>
      <w:r w:rsidR="004751ED">
        <w:rPr>
          <w:rFonts w:ascii="Palatino Linotype" w:eastAsia="Palatino Linotype" w:hAnsi="Palatino Linotype" w:cs="Palatino Linotype"/>
        </w:rPr>
        <w:t xml:space="preserve"> </w:t>
      </w:r>
      <w:r>
        <w:rPr>
          <w:rFonts w:ascii="Palatino Linotype" w:eastAsia="Palatino Linotype" w:hAnsi="Palatino Linotype" w:cs="Palatino Linotype"/>
        </w:rPr>
        <w:t xml:space="preserve">El Instituto  consideró que la persona Recurrente no se agravió de los puntos 2, 3, 4 y 5, sino solamente por el punto 1 referente a los expedientes técnicos de las obras, determinado que estos actualizaban lo relativo a actos consentidos. </w:t>
      </w:r>
      <w:r w:rsidR="004751ED">
        <w:rPr>
          <w:rFonts w:ascii="Palatino Linotype" w:eastAsia="Palatino Linotype" w:hAnsi="Palatino Linotype" w:cs="Palatino Linotype"/>
        </w:rPr>
        <w:t xml:space="preserve"> </w:t>
      </w:r>
      <w:r>
        <w:rPr>
          <w:rFonts w:ascii="Palatino Linotype" w:eastAsia="Palatino Linotype" w:hAnsi="Palatino Linotype" w:cs="Palatino Linotype"/>
        </w:rPr>
        <w:t xml:space="preserve">Una vez analizadas las constancias del expediente anotado al rubro se determinó confirmar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p>
    <w:p w14:paraId="4A6C434E" w14:textId="3E229FAF" w:rsidR="00091A8A" w:rsidRDefault="00AB3593">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 partir de estas actuaciones</w:t>
      </w:r>
      <w:r w:rsidR="004751ED">
        <w:rPr>
          <w:rFonts w:ascii="Palatino Linotype" w:eastAsia="Palatino Linotype" w:hAnsi="Palatino Linotype" w:cs="Palatino Linotype"/>
        </w:rPr>
        <w:t>,</w:t>
      </w:r>
      <w:r>
        <w:rPr>
          <w:rFonts w:ascii="Palatino Linotype" w:eastAsia="Palatino Linotype" w:hAnsi="Palatino Linotype" w:cs="Palatino Linotype"/>
        </w:rPr>
        <w:t xml:space="preserve"> este Organismo Garante</w:t>
      </w:r>
      <w:r w:rsidR="004751ED">
        <w:rPr>
          <w:rFonts w:ascii="Palatino Linotype" w:eastAsia="Palatino Linotype" w:hAnsi="Palatino Linotype" w:cs="Palatino Linotype"/>
        </w:rPr>
        <w:t xml:space="preserve"> </w:t>
      </w:r>
      <w:r>
        <w:rPr>
          <w:rFonts w:ascii="Palatino Linotype" w:eastAsia="Palatino Linotype" w:hAnsi="Palatino Linotype" w:cs="Palatino Linotype"/>
        </w:rPr>
        <w:t xml:space="preserve">consideró procedente dar vista a la Dirección General de Protección de Datos; sin embargo, la parte Recurrente, no se inconformó respecto de la información entregada, por esto, se aplicó lo relativo a actos consentidos. </w:t>
      </w:r>
    </w:p>
    <w:p w14:paraId="365EF495" w14:textId="77777777" w:rsidR="00091A8A" w:rsidRDefault="00091A8A">
      <w:pPr>
        <w:spacing w:after="0" w:line="360" w:lineRule="auto"/>
        <w:jc w:val="both"/>
        <w:rPr>
          <w:rFonts w:ascii="Palatino Linotype" w:eastAsia="Palatino Linotype" w:hAnsi="Palatino Linotype" w:cs="Palatino Linotype"/>
        </w:rPr>
      </w:pPr>
    </w:p>
    <w:p w14:paraId="73D9CB85" w14:textId="77777777" w:rsidR="00091A8A" w:rsidRDefault="00AB359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Al respecto, es preciso mencionar que, si bien se comparte el sentido de la Resolución emitida, no coincidimos en el sentido de dar vista al área de Datos Personales de este Instituto, en razón de que los documentos por los cuales se da la vista no fueron impugnados.</w:t>
      </w:r>
    </w:p>
    <w:p w14:paraId="0561B3E4" w14:textId="77777777" w:rsidR="00091A8A" w:rsidRDefault="00091A8A">
      <w:pPr>
        <w:tabs>
          <w:tab w:val="left" w:pos="0"/>
        </w:tabs>
        <w:spacing w:after="0" w:line="360" w:lineRule="auto"/>
        <w:ind w:right="49"/>
        <w:jc w:val="both"/>
        <w:rPr>
          <w:rFonts w:ascii="Palatino Linotype" w:eastAsia="Palatino Linotype" w:hAnsi="Palatino Linotype" w:cs="Palatino Linotype"/>
        </w:rPr>
      </w:pPr>
    </w:p>
    <w:p w14:paraId="103EEE00" w14:textId="77777777" w:rsidR="00091A8A" w:rsidRDefault="00AB3593">
      <w:pPr>
        <w:tabs>
          <w:tab w:val="left" w:pos="0"/>
        </w:tabs>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Determinación que constituye el motivo para la emisión del presente Voto Particular Concurrente, toda vez, que conforme a los artículos 1°, 7°, 29, 36 fracciones II, XVI, XXI,XXII, XXVII y XXXVIII; 176, 185, 186, 188, 195, 198, 199, 200, 214, 216 y 220, fracción XIX de la Ley de Transparencia vigente en la Entidad, esta tiene por objeto establecer los principios, bases generales y procedimientos para tutelar y garantizar la transparencia y el derecho humano de acceso a la información pública en posesión de los sujetos obligados, del mismo modo precisa que este Instituto es un Organismo Público Estatal constitucionalmente autónomo, especializado, independiente, imparcial y colegiado dotado de personalidad jurídica y patrimonio propio, con plena autonomía técnica, de gestión, capacidad para decidir sobre el ejercicio de su presupuesto y determinar su organización interna, responsable de garantizar el ejercicio de los derechos de acceso a la información pública conforme a los principios y bases establecidas en la Constitución Federal, Constitución Local, Ley General, así como lo previsto en esta Ley y demás disposiciones jurídicas aplicables.</w:t>
      </w:r>
    </w:p>
    <w:p w14:paraId="593D2401" w14:textId="77777777" w:rsidR="00091A8A" w:rsidRDefault="00091A8A">
      <w:pPr>
        <w:tabs>
          <w:tab w:val="left" w:pos="0"/>
        </w:tabs>
        <w:spacing w:after="0" w:line="360" w:lineRule="auto"/>
        <w:ind w:right="49"/>
        <w:jc w:val="both"/>
        <w:rPr>
          <w:rFonts w:ascii="Palatino Linotype" w:eastAsia="Palatino Linotype" w:hAnsi="Palatino Linotype" w:cs="Palatino Linotype"/>
        </w:rPr>
      </w:pPr>
    </w:p>
    <w:p w14:paraId="199B2870" w14:textId="77777777" w:rsidR="00091A8A" w:rsidRDefault="00AB3593">
      <w:pPr>
        <w:shd w:val="clear" w:color="auto" w:fill="FFFFFF"/>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sentido, es de resaltar que el recurso de revisión es la garantía secundaria mediante la cual se pretende reparar cualquier posible afectación al derecho de acceso a la información pública, en donde las resoluciones de este Órgano Garante pueden:</w:t>
      </w:r>
    </w:p>
    <w:p w14:paraId="706AFDA4" w14:textId="77777777" w:rsidR="00091A8A" w:rsidRDefault="00091A8A">
      <w:pPr>
        <w:shd w:val="clear" w:color="auto" w:fill="FFFFFF"/>
        <w:spacing w:after="0" w:line="360" w:lineRule="auto"/>
        <w:ind w:right="49"/>
        <w:jc w:val="both"/>
        <w:rPr>
          <w:rFonts w:ascii="Palatino Linotype" w:eastAsia="Palatino Linotype" w:hAnsi="Palatino Linotype" w:cs="Palatino Linotype"/>
        </w:rPr>
      </w:pPr>
    </w:p>
    <w:p w14:paraId="53917C2E" w14:textId="77777777" w:rsidR="00091A8A" w:rsidRDefault="00AB3593">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Desechar o sobreseer el recurso</w:t>
      </w:r>
    </w:p>
    <w:p w14:paraId="0F55D771" w14:textId="77777777" w:rsidR="00091A8A" w:rsidRDefault="00AB3593">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Confirma la respuesta del sujeto obligado</w:t>
      </w:r>
    </w:p>
    <w:p w14:paraId="6B36BEA6" w14:textId="77777777" w:rsidR="00091A8A" w:rsidRDefault="00AB3593">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Revocar o modificar la respuesta del sujeto obligado; y </w:t>
      </w:r>
    </w:p>
    <w:p w14:paraId="2E3CD3C7" w14:textId="77777777" w:rsidR="00091A8A" w:rsidRDefault="00AB3593">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Ordenar la entrega de la información</w:t>
      </w:r>
    </w:p>
    <w:p w14:paraId="6E953B4D" w14:textId="77777777" w:rsidR="00091A8A" w:rsidRDefault="00091A8A">
      <w:pPr>
        <w:spacing w:after="0" w:line="360" w:lineRule="auto"/>
        <w:ind w:left="720"/>
        <w:jc w:val="both"/>
        <w:rPr>
          <w:rFonts w:ascii="Palatino Linotype" w:eastAsia="Palatino Linotype" w:hAnsi="Palatino Linotype" w:cs="Palatino Linotype"/>
        </w:rPr>
      </w:pPr>
    </w:p>
    <w:p w14:paraId="6E10FA26" w14:textId="77777777" w:rsidR="00091A8A" w:rsidRDefault="00AB359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Cabe agregar que las resoluciones que pronuncie este Instituto deben contener cuatro aspectos importantes:</w:t>
      </w:r>
    </w:p>
    <w:p w14:paraId="1C596357" w14:textId="77777777" w:rsidR="00091A8A" w:rsidRDefault="00091A8A">
      <w:pPr>
        <w:spacing w:after="0" w:line="360" w:lineRule="auto"/>
        <w:jc w:val="both"/>
        <w:rPr>
          <w:rFonts w:ascii="Palatino Linotype" w:eastAsia="Palatino Linotype" w:hAnsi="Palatino Linotype" w:cs="Palatino Linotype"/>
        </w:rPr>
      </w:pPr>
    </w:p>
    <w:p w14:paraId="2C44CADC" w14:textId="77777777" w:rsidR="00091A8A" w:rsidRDefault="00AB3593">
      <w:pPr>
        <w:numPr>
          <w:ilvl w:val="0"/>
          <w:numId w:val="3"/>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Lugar, fecha, el nombre del recurrente y del tercero interesado en su caso, sujeto obligado y un extracto de los hechos cuestionados;</w:t>
      </w:r>
    </w:p>
    <w:p w14:paraId="662733FC" w14:textId="77777777" w:rsidR="00091A8A" w:rsidRDefault="00091A8A">
      <w:pPr>
        <w:spacing w:after="0" w:line="360" w:lineRule="auto"/>
        <w:ind w:left="720"/>
        <w:jc w:val="both"/>
        <w:rPr>
          <w:rFonts w:ascii="Palatino Linotype" w:eastAsia="Palatino Linotype" w:hAnsi="Palatino Linotype" w:cs="Palatino Linotype"/>
          <w:sz w:val="10"/>
          <w:szCs w:val="10"/>
        </w:rPr>
      </w:pPr>
    </w:p>
    <w:p w14:paraId="09023121" w14:textId="77777777" w:rsidR="00091A8A" w:rsidRDefault="00AB3593">
      <w:pPr>
        <w:numPr>
          <w:ilvl w:val="0"/>
          <w:numId w:val="3"/>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preceptos en que se fundamenten y las consideraciones que las sustenten;</w:t>
      </w:r>
    </w:p>
    <w:p w14:paraId="342365A7" w14:textId="77777777" w:rsidR="00091A8A" w:rsidRDefault="00091A8A">
      <w:pPr>
        <w:spacing w:after="0" w:line="360" w:lineRule="auto"/>
        <w:ind w:left="720"/>
        <w:jc w:val="both"/>
        <w:rPr>
          <w:rFonts w:ascii="Palatino Linotype" w:eastAsia="Palatino Linotype" w:hAnsi="Palatino Linotype" w:cs="Palatino Linotype"/>
          <w:sz w:val="10"/>
          <w:szCs w:val="10"/>
        </w:rPr>
      </w:pPr>
    </w:p>
    <w:p w14:paraId="4CFF8704" w14:textId="77777777" w:rsidR="00091A8A" w:rsidRDefault="00AB3593">
      <w:pPr>
        <w:numPr>
          <w:ilvl w:val="0"/>
          <w:numId w:val="3"/>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alcances y efectos de la resolución, fijando con precisión, en su caso, los sujetos y órganos obligados a cumplirla; y</w:t>
      </w:r>
    </w:p>
    <w:p w14:paraId="01EB8C02" w14:textId="77777777" w:rsidR="00091A8A" w:rsidRDefault="00091A8A">
      <w:pPr>
        <w:pBdr>
          <w:top w:val="nil"/>
          <w:left w:val="nil"/>
          <w:bottom w:val="nil"/>
          <w:right w:val="nil"/>
          <w:between w:val="nil"/>
        </w:pBdr>
        <w:ind w:left="720"/>
        <w:rPr>
          <w:rFonts w:ascii="Palatino Linotype" w:eastAsia="Palatino Linotype" w:hAnsi="Palatino Linotype" w:cs="Palatino Linotype"/>
          <w:color w:val="000000"/>
          <w:sz w:val="8"/>
          <w:szCs w:val="8"/>
        </w:rPr>
      </w:pPr>
    </w:p>
    <w:p w14:paraId="4466DD40" w14:textId="77777777" w:rsidR="00091A8A" w:rsidRDefault="00AB3593">
      <w:pPr>
        <w:numPr>
          <w:ilvl w:val="0"/>
          <w:numId w:val="3"/>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puntos resolutivos.</w:t>
      </w:r>
    </w:p>
    <w:p w14:paraId="3942C6C1" w14:textId="77777777" w:rsidR="00091A8A" w:rsidRDefault="00091A8A">
      <w:pPr>
        <w:spacing w:after="0" w:line="360" w:lineRule="auto"/>
        <w:jc w:val="both"/>
        <w:rPr>
          <w:rFonts w:ascii="Palatino Linotype" w:eastAsia="Palatino Linotype" w:hAnsi="Palatino Linotype" w:cs="Palatino Linotype"/>
        </w:rPr>
      </w:pPr>
    </w:p>
    <w:p w14:paraId="51CFB72C" w14:textId="77777777" w:rsidR="00091A8A" w:rsidRDefault="00AB359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se considera de suma importancia mencionar que, de la normatividad citada, se advierte que este Instituto está facultado entre otras cosas para:</w:t>
      </w:r>
    </w:p>
    <w:p w14:paraId="28B303C1" w14:textId="77777777" w:rsidR="00091A8A" w:rsidRDefault="00091A8A">
      <w:pPr>
        <w:spacing w:after="0" w:line="360" w:lineRule="auto"/>
        <w:jc w:val="both"/>
        <w:rPr>
          <w:rFonts w:ascii="Palatino Linotype" w:eastAsia="Palatino Linotype" w:hAnsi="Palatino Linotype" w:cs="Palatino Linotype"/>
        </w:rPr>
      </w:pPr>
    </w:p>
    <w:p w14:paraId="76A3C4BF" w14:textId="77777777" w:rsidR="00091A8A" w:rsidRDefault="00AB3593">
      <w:pPr>
        <w:numPr>
          <w:ilvl w:val="0"/>
          <w:numId w:val="4"/>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Conocer y resolver los recursos de revisión interpuestos por los particulares en contra de las resoluciones de los sujetos obligados en el ámbito estatal;</w:t>
      </w:r>
    </w:p>
    <w:p w14:paraId="03BFD817" w14:textId="77777777" w:rsidR="00091A8A" w:rsidRDefault="00091A8A">
      <w:pPr>
        <w:spacing w:after="0" w:line="360" w:lineRule="auto"/>
        <w:ind w:left="720"/>
        <w:jc w:val="both"/>
        <w:rPr>
          <w:rFonts w:ascii="Palatino Linotype" w:eastAsia="Palatino Linotype" w:hAnsi="Palatino Linotype" w:cs="Palatino Linotype"/>
          <w:i/>
          <w:sz w:val="10"/>
          <w:szCs w:val="10"/>
        </w:rPr>
      </w:pPr>
    </w:p>
    <w:p w14:paraId="71D191D7" w14:textId="77777777" w:rsidR="00091A8A" w:rsidRDefault="00AB3593">
      <w:pPr>
        <w:numPr>
          <w:ilvl w:val="0"/>
          <w:numId w:val="4"/>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Realizar de oficio y a petición de parte, análisis y recomendaciones o en su caso, lineamientos en relación con presuntos incumplimientos a las disposiciones de la Ley, cuando existan elementos suficientes a juicio del Pleno del Instituto;</w:t>
      </w:r>
    </w:p>
    <w:p w14:paraId="0FD4DABF" w14:textId="77777777" w:rsidR="00091A8A" w:rsidRDefault="00091A8A">
      <w:pPr>
        <w:spacing w:after="0" w:line="360" w:lineRule="auto"/>
        <w:ind w:left="720"/>
        <w:jc w:val="both"/>
        <w:rPr>
          <w:rFonts w:ascii="Palatino Linotype" w:eastAsia="Palatino Linotype" w:hAnsi="Palatino Linotype" w:cs="Palatino Linotype"/>
          <w:i/>
          <w:sz w:val="10"/>
          <w:szCs w:val="10"/>
        </w:rPr>
      </w:pPr>
    </w:p>
    <w:p w14:paraId="73D88BC1" w14:textId="77777777" w:rsidR="00091A8A" w:rsidRDefault="00AB3593">
      <w:pPr>
        <w:numPr>
          <w:ilvl w:val="0"/>
          <w:numId w:val="4"/>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Emitir comunicados públicos sobre el incumplimiento de sus resoluciones o por infracciones reiteradas a la Ley, en el ámbito de su competencia;</w:t>
      </w:r>
    </w:p>
    <w:p w14:paraId="5576580F" w14:textId="77777777" w:rsidR="00091A8A" w:rsidRDefault="00091A8A">
      <w:pPr>
        <w:spacing w:after="0" w:line="360" w:lineRule="auto"/>
        <w:ind w:left="720"/>
        <w:jc w:val="both"/>
        <w:rPr>
          <w:rFonts w:ascii="Palatino Linotype" w:eastAsia="Palatino Linotype" w:hAnsi="Palatino Linotype" w:cs="Palatino Linotype"/>
          <w:i/>
          <w:sz w:val="10"/>
          <w:szCs w:val="10"/>
        </w:rPr>
      </w:pPr>
    </w:p>
    <w:p w14:paraId="381D157C" w14:textId="77777777" w:rsidR="00091A8A" w:rsidRDefault="00AB3593">
      <w:pPr>
        <w:numPr>
          <w:ilvl w:val="0"/>
          <w:numId w:val="4"/>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Ordenar a los sujetos obligados la ejecutoría en la entrega de información en términos de la presente Ley;</w:t>
      </w:r>
    </w:p>
    <w:p w14:paraId="4ECE0E50" w14:textId="77777777" w:rsidR="00091A8A" w:rsidRDefault="00091A8A">
      <w:pPr>
        <w:spacing w:after="0" w:line="360" w:lineRule="auto"/>
        <w:ind w:left="720"/>
        <w:jc w:val="both"/>
        <w:rPr>
          <w:rFonts w:ascii="Palatino Linotype" w:eastAsia="Palatino Linotype" w:hAnsi="Palatino Linotype" w:cs="Palatino Linotype"/>
          <w:i/>
          <w:sz w:val="10"/>
          <w:szCs w:val="10"/>
        </w:rPr>
      </w:pPr>
    </w:p>
    <w:p w14:paraId="5207EBDA" w14:textId="77777777" w:rsidR="00091A8A" w:rsidRDefault="00AB3593">
      <w:pPr>
        <w:numPr>
          <w:ilvl w:val="0"/>
          <w:numId w:val="4"/>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Imponer las medidas de apremio para asegurar el cumplimiento de sus determinaciones;</w:t>
      </w:r>
    </w:p>
    <w:p w14:paraId="14EFED67" w14:textId="77777777" w:rsidR="00091A8A" w:rsidRDefault="00091A8A">
      <w:pPr>
        <w:spacing w:after="0" w:line="360" w:lineRule="auto"/>
        <w:ind w:left="720"/>
        <w:jc w:val="both"/>
        <w:rPr>
          <w:rFonts w:ascii="Palatino Linotype" w:eastAsia="Palatino Linotype" w:hAnsi="Palatino Linotype" w:cs="Palatino Linotype"/>
          <w:i/>
          <w:sz w:val="10"/>
          <w:szCs w:val="10"/>
        </w:rPr>
      </w:pPr>
    </w:p>
    <w:p w14:paraId="53734EC6" w14:textId="77777777" w:rsidR="00091A8A" w:rsidRDefault="00AB3593">
      <w:pPr>
        <w:numPr>
          <w:ilvl w:val="0"/>
          <w:numId w:val="4"/>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b/>
          <w:i/>
          <w:u w:val="single"/>
        </w:rPr>
        <w:t>Hacer del conocimiento de la instancia competente la probable responsabilidad por el incumplimiento de las obligaciones</w:t>
      </w:r>
      <w:r>
        <w:rPr>
          <w:rFonts w:ascii="Palatino Linotype" w:eastAsia="Palatino Linotype" w:hAnsi="Palatino Linotype" w:cs="Palatino Linotype"/>
          <w:i/>
        </w:rPr>
        <w:t xml:space="preserve"> previstas en la Ley y en las demás disposiciones aplicable.  </w:t>
      </w:r>
    </w:p>
    <w:p w14:paraId="09A1F147" w14:textId="77777777" w:rsidR="00091A8A" w:rsidRDefault="00091A8A">
      <w:pPr>
        <w:spacing w:after="0" w:line="360" w:lineRule="auto"/>
        <w:jc w:val="both"/>
        <w:rPr>
          <w:rFonts w:ascii="Palatino Linotype" w:eastAsia="Palatino Linotype" w:hAnsi="Palatino Linotype" w:cs="Palatino Linotype"/>
        </w:rPr>
      </w:pPr>
    </w:p>
    <w:p w14:paraId="24B1E120" w14:textId="77777777" w:rsidR="00091A8A" w:rsidRDefault="00AB359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Establecido lo anterior, debe tomarse en cuenta que la vista a la Dirección General de Protección de Datos Personales de este Instituto, no debió incluirse en los resolutivos de la resolución referida, toda vez que, la parte Recurrente no se inconformó sobre de la información proporcionada en respuesta, es decir, no forma parte de la litis (por Litis es un vocablo latino que en idioma español se traduce como litigio, significando disputa o controversia judicial; diferencia de intereses entre dos partes, llamadas litigantes, sometidas a decisión de un Juez.) y por lo tanto no se analizó la documentación entregada al invocar actos consentidos, así en el presente asunto, la vista en mención debe realizarse y tramitarse por cuerda separada, en caso de advertirse que es necesario. </w:t>
      </w:r>
    </w:p>
    <w:p w14:paraId="5716422B" w14:textId="77777777" w:rsidR="00091A8A" w:rsidRDefault="00091A8A">
      <w:pPr>
        <w:spacing w:after="0" w:line="360" w:lineRule="auto"/>
        <w:jc w:val="both"/>
        <w:rPr>
          <w:rFonts w:ascii="Palatino Linotype" w:eastAsia="Palatino Linotype" w:hAnsi="Palatino Linotype" w:cs="Palatino Linotype"/>
        </w:rPr>
      </w:pPr>
    </w:p>
    <w:p w14:paraId="0BF558A5" w14:textId="77777777" w:rsidR="00091A8A" w:rsidRDefault="00AB359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Aunado a lo anterior, respecto los actos consentidos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w:t>
      </w:r>
      <w:r>
        <w:rPr>
          <w:rFonts w:ascii="Palatino Linotype" w:eastAsia="Palatino Linotype" w:hAnsi="Palatino Linotype" w:cs="Palatino Linotype"/>
          <w:u w:val="single"/>
        </w:rPr>
        <w:t>será improcedente el recurso</w:t>
      </w:r>
      <w:r>
        <w:rPr>
          <w:rFonts w:ascii="Palatino Linotype" w:eastAsia="Palatino Linotype" w:hAnsi="Palatino Linotype" w:cs="Palatino Linotype"/>
        </w:rPr>
        <w:t xml:space="preserve"> contra los actos que se hayan consentido tácitamente, entendiéndose por éstos cuando el recurso no se haya promovido en el plazo señalado para el efecto.</w:t>
      </w:r>
    </w:p>
    <w:p w14:paraId="5E56706E" w14:textId="77777777" w:rsidR="00091A8A" w:rsidRDefault="00091A8A">
      <w:pPr>
        <w:spacing w:after="0" w:line="360" w:lineRule="auto"/>
        <w:jc w:val="both"/>
        <w:rPr>
          <w:rFonts w:ascii="Palatino Linotype" w:eastAsia="Palatino Linotype" w:hAnsi="Palatino Linotype" w:cs="Palatino Linotype"/>
        </w:rPr>
      </w:pPr>
    </w:p>
    <w:p w14:paraId="35241888" w14:textId="77777777" w:rsidR="00091A8A" w:rsidRDefault="00AB359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la misma manera resulta aplicable el criterio sostenido por el Poder Judicial de la Federación de rubro </w:t>
      </w:r>
      <w:r>
        <w:rPr>
          <w:rFonts w:ascii="Palatino Linotype" w:eastAsia="Palatino Linotype" w:hAnsi="Palatino Linotype" w:cs="Palatino Linotype"/>
          <w:b/>
        </w:rPr>
        <w:t>ACTOS CONSENTIDOS TÁCITAMENTE</w:t>
      </w:r>
      <w:r>
        <w:rPr>
          <w:rFonts w:ascii="Palatino Linotype" w:eastAsia="Palatino Linotype" w:hAnsi="Palatino Linotype" w:cs="Palatino Linotype"/>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la parte Recurrente está conforme con los mismos.</w:t>
      </w:r>
    </w:p>
    <w:p w14:paraId="44CDFAD0" w14:textId="77777777" w:rsidR="00091A8A" w:rsidRDefault="00091A8A">
      <w:pPr>
        <w:spacing w:after="0" w:line="360" w:lineRule="auto"/>
        <w:jc w:val="both"/>
        <w:rPr>
          <w:rFonts w:ascii="Palatino Linotype" w:eastAsia="Palatino Linotype" w:hAnsi="Palatino Linotype" w:cs="Palatino Linotype"/>
        </w:rPr>
      </w:pPr>
    </w:p>
    <w:p w14:paraId="2D1BDC80" w14:textId="77777777" w:rsidR="00091A8A" w:rsidRDefault="00AB359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sentido, en el caso de que la parte Recurrente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tal como fue realizado, sin embargo, al no haber inconformidad ni estudio sobre las documentales remitidas en respuesta, resulta innecesario la vista citada.</w:t>
      </w:r>
    </w:p>
    <w:p w14:paraId="20E6D34C" w14:textId="77777777" w:rsidR="00091A8A" w:rsidRDefault="00091A8A">
      <w:pPr>
        <w:spacing w:after="0" w:line="360" w:lineRule="auto"/>
        <w:jc w:val="both"/>
        <w:rPr>
          <w:rFonts w:ascii="Palatino Linotype" w:eastAsia="Palatino Linotype" w:hAnsi="Palatino Linotype" w:cs="Palatino Linotype"/>
        </w:rPr>
      </w:pPr>
    </w:p>
    <w:p w14:paraId="39C0EDF3" w14:textId="77777777" w:rsidR="005B77C1" w:rsidRDefault="00AB3593">
      <w:pPr>
        <w:spacing w:after="0" w:line="360" w:lineRule="auto"/>
        <w:jc w:val="both"/>
        <w:rPr>
          <w:rFonts w:ascii="Palatino Linotype" w:eastAsia="Palatino Linotype" w:hAnsi="Palatino Linotype" w:cs="Palatino Linotype"/>
        </w:rPr>
        <w:sectPr w:rsidR="005B77C1">
          <w:headerReference w:type="even" r:id="rId9"/>
          <w:headerReference w:type="default" r:id="rId10"/>
          <w:footerReference w:type="default" r:id="rId11"/>
          <w:headerReference w:type="first" r:id="rId12"/>
          <w:pgSz w:w="12240" w:h="15840"/>
          <w:pgMar w:top="1417" w:right="1701" w:bottom="1417" w:left="1701" w:header="851" w:footer="708" w:gutter="0"/>
          <w:pgNumType w:start="1"/>
          <w:cols w:space="720"/>
        </w:sectPr>
      </w:pPr>
      <w:r>
        <w:rPr>
          <w:rFonts w:ascii="Palatino Linotype" w:eastAsia="Palatino Linotype" w:hAnsi="Palatino Linotype" w:cs="Palatino Linotype"/>
        </w:rPr>
        <w:t xml:space="preserve">Lo anterior expone razones suficientes para la emisión y presentación del presente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relacionado con la resolución del Recurso de Revisión referido. --------------------------------------------------------------------------------------------</w:t>
      </w:r>
      <w:r w:rsidR="005B77C1">
        <w:rPr>
          <w:rFonts w:ascii="Palatino Linotype" w:eastAsia="Palatino Linotype" w:hAnsi="Palatino Linotype" w:cs="Palatino Linotype"/>
        </w:rPr>
        <w:t>--------------------------------------------------------------------------------------------------------------------------------------------------------------------------------------------------------------------------------------------------------------------------------------------------------------------------------------------------------------------------------------------------------------------------------------------------------------------------------------------------------------------------------------------------------------------------------------------------------------------------------------------------------------------------------------------------------------------------------------------------------------------------------</w:t>
      </w:r>
    </w:p>
    <w:p w14:paraId="5244D84F" w14:textId="4C8F8A7E" w:rsidR="00091A8A" w:rsidRDefault="00091A8A">
      <w:pPr>
        <w:spacing w:after="0" w:line="360" w:lineRule="auto"/>
        <w:jc w:val="both"/>
        <w:rPr>
          <w:rFonts w:ascii="Palatino Linotype" w:eastAsia="Palatino Linotype" w:hAnsi="Palatino Linotype" w:cs="Palatino Linotype"/>
        </w:rPr>
      </w:pPr>
    </w:p>
    <w:p w14:paraId="362B3667" w14:textId="77777777" w:rsidR="00091A8A" w:rsidRDefault="00091A8A">
      <w:pPr>
        <w:spacing w:after="0" w:line="360" w:lineRule="auto"/>
        <w:jc w:val="both"/>
        <w:rPr>
          <w:rFonts w:ascii="Palatino Linotype" w:eastAsia="Palatino Linotype" w:hAnsi="Palatino Linotype" w:cs="Palatino Linotype"/>
        </w:rPr>
      </w:pPr>
    </w:p>
    <w:p w14:paraId="32D2CFE1" w14:textId="77777777" w:rsidR="00091A8A" w:rsidRDefault="00091A8A" w:rsidP="00073A6C">
      <w:pPr>
        <w:rPr>
          <w:rFonts w:ascii="Palatino Linotype" w:eastAsia="Palatino Linotype" w:hAnsi="Palatino Linotype" w:cs="Palatino Linotype"/>
        </w:rPr>
      </w:pPr>
    </w:p>
    <w:sectPr w:rsidR="00091A8A">
      <w:headerReference w:type="default" r:id="rId13"/>
      <w:footerReference w:type="default" r:id="rId14"/>
      <w:pgSz w:w="12240" w:h="15840"/>
      <w:pgMar w:top="1417" w:right="1701" w:bottom="1417" w:left="1701" w:header="851"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48575" w14:textId="77777777" w:rsidR="00F76093" w:rsidRDefault="00F76093">
      <w:pPr>
        <w:spacing w:after="0" w:line="240" w:lineRule="auto"/>
      </w:pPr>
      <w:r>
        <w:separator/>
      </w:r>
    </w:p>
  </w:endnote>
  <w:endnote w:type="continuationSeparator" w:id="0">
    <w:p w14:paraId="1BDECA66" w14:textId="77777777" w:rsidR="00F76093" w:rsidRDefault="00F7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0890B" w14:textId="77777777" w:rsidR="00091A8A" w:rsidRDefault="00AB3593">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B77C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B77C1">
      <w:rPr>
        <w:b/>
        <w:noProof/>
        <w:color w:val="000000"/>
        <w:sz w:val="24"/>
        <w:szCs w:val="24"/>
      </w:rPr>
      <w:t>7</w:t>
    </w:r>
    <w:r>
      <w:rPr>
        <w:b/>
        <w:color w:val="000000"/>
        <w:sz w:val="24"/>
        <w:szCs w:val="24"/>
      </w:rPr>
      <w:fldChar w:fldCharType="end"/>
    </w:r>
  </w:p>
  <w:p w14:paraId="038614E3" w14:textId="77777777" w:rsidR="00091A8A" w:rsidRDefault="00091A8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3347B" w14:textId="08497017" w:rsidR="005B77C1" w:rsidRDefault="005B77C1">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Página </w:t>
    </w:r>
    <w:r>
      <w:rPr>
        <w:b/>
        <w:color w:val="000000"/>
        <w:sz w:val="24"/>
        <w:szCs w:val="24"/>
      </w:rPr>
      <w:t>7</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7</w:t>
    </w:r>
    <w:r>
      <w:rPr>
        <w:b/>
        <w:color w:val="000000"/>
        <w:sz w:val="24"/>
        <w:szCs w:val="24"/>
      </w:rPr>
      <w:fldChar w:fldCharType="end"/>
    </w:r>
  </w:p>
  <w:p w14:paraId="28312C86" w14:textId="77777777" w:rsidR="005B77C1" w:rsidRDefault="005B77C1">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D5F15" w14:textId="77777777" w:rsidR="00F76093" w:rsidRDefault="00F76093">
      <w:pPr>
        <w:spacing w:after="0" w:line="240" w:lineRule="auto"/>
      </w:pPr>
      <w:r>
        <w:separator/>
      </w:r>
    </w:p>
  </w:footnote>
  <w:footnote w:type="continuationSeparator" w:id="0">
    <w:p w14:paraId="071F4779" w14:textId="77777777" w:rsidR="00F76093" w:rsidRDefault="00F76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F2DEA" w14:textId="77777777" w:rsidR="00091A8A" w:rsidRDefault="00F76093">
    <w:pPr>
      <w:pBdr>
        <w:top w:val="nil"/>
        <w:left w:val="nil"/>
        <w:bottom w:val="nil"/>
        <w:right w:val="nil"/>
        <w:between w:val="nil"/>
      </w:pBdr>
      <w:tabs>
        <w:tab w:val="center" w:pos="4252"/>
        <w:tab w:val="right" w:pos="8504"/>
      </w:tabs>
      <w:spacing w:after="0" w:line="240" w:lineRule="auto"/>
      <w:rPr>
        <w:color w:val="000000"/>
      </w:rPr>
    </w:pPr>
    <w:r>
      <w:rPr>
        <w:color w:val="000000"/>
      </w:rPr>
      <w:pict w14:anchorId="5B039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41.8pt;height:81.25pt;rotation:315;z-index:-251657728;visibility:visible;mso-position-horizontal:center;mso-position-horizontal-relative:margin;mso-position-vertical:center;mso-position-vertical-relative:margin" fillcolor="silver" stroked="f">
          <v:fill opacity=".5"/>
          <v:textpath style="font-family:&quot;&amp;quot&quot;;font-size:1p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104A3" w14:textId="77777777" w:rsidR="00091A8A" w:rsidRDefault="00091A8A">
    <w:pPr>
      <w:widowControl w:val="0"/>
      <w:pBdr>
        <w:top w:val="nil"/>
        <w:left w:val="nil"/>
        <w:bottom w:val="nil"/>
        <w:right w:val="nil"/>
        <w:between w:val="nil"/>
      </w:pBdr>
      <w:spacing w:after="0" w:line="276" w:lineRule="auto"/>
      <w:rPr>
        <w:color w:val="000000"/>
      </w:rPr>
    </w:pPr>
  </w:p>
  <w:tbl>
    <w:tblPr>
      <w:tblStyle w:val="a"/>
      <w:tblW w:w="87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9"/>
      <w:gridCol w:w="5670"/>
    </w:tblGrid>
    <w:tr w:rsidR="00091A8A" w14:paraId="33AE77C0" w14:textId="77777777">
      <w:trPr>
        <w:trHeight w:val="1843"/>
      </w:trPr>
      <w:tc>
        <w:tcPr>
          <w:tcW w:w="3119" w:type="dxa"/>
          <w:vAlign w:val="bottom"/>
        </w:tcPr>
        <w:p w14:paraId="5C1BBCDA" w14:textId="77777777" w:rsidR="00091A8A" w:rsidRDefault="00AB3593">
          <w:pPr>
            <w:pBdr>
              <w:top w:val="nil"/>
              <w:left w:val="nil"/>
              <w:bottom w:val="nil"/>
              <w:right w:val="nil"/>
              <w:between w:val="nil"/>
            </w:pBdr>
            <w:tabs>
              <w:tab w:val="center" w:pos="4252"/>
              <w:tab w:val="right" w:pos="8504"/>
              <w:tab w:val="center" w:pos="2614"/>
            </w:tabs>
            <w:ind w:left="-255"/>
            <w:rPr>
              <w:color w:val="000000"/>
            </w:rPr>
          </w:pPr>
          <w:r>
            <w:rPr>
              <w:noProof/>
              <w:lang w:val="es-MX"/>
            </w:rPr>
            <w:drawing>
              <wp:anchor distT="0" distB="0" distL="114300" distR="114300" simplePos="0" relativeHeight="251656704" behindDoc="0" locked="0" layoutInCell="1" hidden="0" allowOverlap="1" wp14:anchorId="332B3E4B" wp14:editId="1D018E2D">
                <wp:simplePos x="0" y="0"/>
                <wp:positionH relativeFrom="column">
                  <wp:posOffset>-329564</wp:posOffset>
                </wp:positionH>
                <wp:positionV relativeFrom="paragraph">
                  <wp:posOffset>-861059</wp:posOffset>
                </wp:positionV>
                <wp:extent cx="1873250" cy="112649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250" cy="1126490"/>
                        </a:xfrm>
                        <a:prstGeom prst="rect">
                          <a:avLst/>
                        </a:prstGeom>
                        <a:ln/>
                      </pic:spPr>
                    </pic:pic>
                  </a:graphicData>
                </a:graphic>
              </wp:anchor>
            </w:drawing>
          </w:r>
        </w:p>
        <w:p w14:paraId="2F28D6A8" w14:textId="77777777" w:rsidR="00091A8A" w:rsidRDefault="00091A8A">
          <w:pPr>
            <w:pBdr>
              <w:top w:val="nil"/>
              <w:left w:val="nil"/>
              <w:bottom w:val="nil"/>
              <w:right w:val="nil"/>
              <w:between w:val="nil"/>
            </w:pBdr>
            <w:tabs>
              <w:tab w:val="center" w:pos="4252"/>
              <w:tab w:val="right" w:pos="8504"/>
              <w:tab w:val="center" w:pos="2614"/>
            </w:tabs>
            <w:ind w:left="-255"/>
            <w:rPr>
              <w:color w:val="000000"/>
            </w:rPr>
          </w:pPr>
        </w:p>
      </w:tc>
      <w:tc>
        <w:tcPr>
          <w:tcW w:w="5670" w:type="dxa"/>
          <w:vAlign w:val="center"/>
        </w:tcPr>
        <w:p w14:paraId="4CBFAE3E" w14:textId="77777777" w:rsidR="00091A8A" w:rsidRDefault="00AB3593">
          <w:pPr>
            <w:pBdr>
              <w:top w:val="nil"/>
              <w:left w:val="nil"/>
              <w:bottom w:val="nil"/>
              <w:right w:val="nil"/>
              <w:between w:val="nil"/>
            </w:pBdr>
            <w:tabs>
              <w:tab w:val="center" w:pos="4252"/>
              <w:tab w:val="right" w:pos="8504"/>
            </w:tabs>
            <w:ind w:left="-108"/>
            <w:jc w:val="right"/>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Voto Particular Concurrente</w:t>
          </w:r>
        </w:p>
        <w:p w14:paraId="708C57BD" w14:textId="77777777" w:rsidR="00091A8A" w:rsidRDefault="00AB3593">
          <w:pPr>
            <w:pBdr>
              <w:top w:val="nil"/>
              <w:left w:val="nil"/>
              <w:bottom w:val="nil"/>
              <w:right w:val="nil"/>
              <w:between w:val="nil"/>
            </w:pBdr>
            <w:tabs>
              <w:tab w:val="center" w:pos="4252"/>
              <w:tab w:val="right" w:pos="8504"/>
            </w:tabs>
            <w:ind w:left="-108"/>
            <w:jc w:val="right"/>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Recurso de Revisión: </w:t>
          </w:r>
          <w:r>
            <w:rPr>
              <w:rFonts w:ascii="Palatino Linotype" w:eastAsia="Palatino Linotype" w:hAnsi="Palatino Linotype" w:cs="Palatino Linotype"/>
              <w:color w:val="000000"/>
            </w:rPr>
            <w:t>04351/INFOEM/IP/RR/2024</w:t>
          </w:r>
        </w:p>
        <w:p w14:paraId="530ED7FC" w14:textId="77777777" w:rsidR="00091A8A" w:rsidRDefault="00AB3593">
          <w:pPr>
            <w:pBdr>
              <w:top w:val="nil"/>
              <w:left w:val="nil"/>
              <w:bottom w:val="nil"/>
              <w:right w:val="nil"/>
              <w:between w:val="nil"/>
            </w:pBdr>
            <w:tabs>
              <w:tab w:val="center" w:pos="4252"/>
              <w:tab w:val="right" w:pos="8504"/>
            </w:tabs>
            <w:ind w:left="-108"/>
            <w:jc w:val="right"/>
            <w:rPr>
              <w:rFonts w:ascii="Palatino Linotype" w:eastAsia="Palatino Linotype" w:hAnsi="Palatino Linotype" w:cs="Palatino Linotype"/>
              <w:color w:val="000000"/>
            </w:rPr>
          </w:pP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Ayuntamiento de Luvianos</w:t>
          </w:r>
        </w:p>
        <w:p w14:paraId="7B80AECB" w14:textId="77777777" w:rsidR="00091A8A" w:rsidRDefault="00AB3593">
          <w:pPr>
            <w:pBdr>
              <w:top w:val="nil"/>
              <w:left w:val="nil"/>
              <w:bottom w:val="nil"/>
              <w:right w:val="nil"/>
              <w:between w:val="nil"/>
            </w:pBdr>
            <w:tabs>
              <w:tab w:val="center" w:pos="4252"/>
              <w:tab w:val="right" w:pos="8504"/>
            </w:tabs>
            <w:ind w:left="-108"/>
            <w:jc w:val="right"/>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Comisionado Ponente: </w:t>
          </w:r>
          <w:r>
            <w:rPr>
              <w:rFonts w:ascii="Palatino Linotype" w:eastAsia="Palatino Linotype" w:hAnsi="Palatino Linotype" w:cs="Palatino Linotype"/>
              <w:color w:val="000000"/>
            </w:rPr>
            <w:t>Luis Gustavo Parra Noriega</w:t>
          </w:r>
        </w:p>
        <w:p w14:paraId="12BE9032" w14:textId="77777777" w:rsidR="00091A8A" w:rsidRDefault="00091A8A">
          <w:pPr>
            <w:pBdr>
              <w:top w:val="nil"/>
              <w:left w:val="nil"/>
              <w:bottom w:val="nil"/>
              <w:right w:val="nil"/>
              <w:between w:val="nil"/>
            </w:pBdr>
            <w:tabs>
              <w:tab w:val="center" w:pos="4252"/>
              <w:tab w:val="right" w:pos="8504"/>
            </w:tabs>
            <w:ind w:left="-108" w:right="-104"/>
            <w:jc w:val="both"/>
            <w:rPr>
              <w:rFonts w:ascii="Palatino Linotype" w:eastAsia="Palatino Linotype" w:hAnsi="Palatino Linotype" w:cs="Palatino Linotype"/>
              <w:color w:val="000000"/>
            </w:rPr>
          </w:pPr>
        </w:p>
      </w:tc>
    </w:tr>
  </w:tbl>
  <w:p w14:paraId="4734D352" w14:textId="77777777" w:rsidR="00091A8A" w:rsidRDefault="00091A8A">
    <w:pPr>
      <w:pBdr>
        <w:top w:val="nil"/>
        <w:left w:val="nil"/>
        <w:bottom w:val="nil"/>
        <w:right w:val="nil"/>
        <w:between w:val="nil"/>
      </w:pBdr>
      <w:tabs>
        <w:tab w:val="center" w:pos="4252"/>
        <w:tab w:val="right" w:pos="8504"/>
      </w:tabs>
      <w:spacing w:after="0" w:line="240" w:lineRule="auto"/>
      <w:rPr>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3DCE0" w14:textId="77777777" w:rsidR="00091A8A" w:rsidRDefault="00F76093">
    <w:pPr>
      <w:pBdr>
        <w:top w:val="nil"/>
        <w:left w:val="nil"/>
        <w:bottom w:val="nil"/>
        <w:right w:val="nil"/>
        <w:between w:val="nil"/>
      </w:pBdr>
      <w:tabs>
        <w:tab w:val="center" w:pos="4252"/>
        <w:tab w:val="right" w:pos="8504"/>
      </w:tabs>
      <w:spacing w:after="0" w:line="240" w:lineRule="auto"/>
      <w:rPr>
        <w:color w:val="000000"/>
      </w:rPr>
    </w:pPr>
    <w:r>
      <w:rPr>
        <w:color w:val="000000"/>
      </w:rPr>
      <w:pict w14:anchorId="5FB82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41.8pt;height:81.25pt;rotation:315;z-index:-251658752;visibility:visible;mso-position-horizontal:center;mso-position-horizontal-relative:margin;mso-position-vertical:center;mso-position-vertical-relative:margin" fillcolor="silver" stroked="f">
          <v:fill opacity=".5"/>
          <v:textpath style="font-family:&quot;&amp;quot&quot;;font-size:1pt" string="VOTO PARTICULAR"/>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244FE" w14:textId="77777777" w:rsidR="005B77C1" w:rsidRDefault="005B77C1">
    <w:pPr>
      <w:widowControl w:val="0"/>
      <w:pBdr>
        <w:top w:val="nil"/>
        <w:left w:val="nil"/>
        <w:bottom w:val="nil"/>
        <w:right w:val="nil"/>
        <w:between w:val="nil"/>
      </w:pBdr>
      <w:spacing w:after="0" w:line="276" w:lineRule="auto"/>
      <w:rPr>
        <w:color w:val="000000"/>
      </w:rPr>
    </w:pPr>
  </w:p>
  <w:p w14:paraId="29B0E78B" w14:textId="77777777" w:rsidR="005B77C1" w:rsidRDefault="005B77C1">
    <w:pPr>
      <w:pBdr>
        <w:top w:val="nil"/>
        <w:left w:val="nil"/>
        <w:bottom w:val="nil"/>
        <w:right w:val="nil"/>
        <w:between w:val="nil"/>
      </w:pBdr>
      <w:tabs>
        <w:tab w:val="center" w:pos="4252"/>
        <w:tab w:val="right" w:pos="8504"/>
      </w:tabs>
      <w:spacing w:after="0" w:line="240" w:lineRule="auto"/>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73FE"/>
    <w:multiLevelType w:val="multilevel"/>
    <w:tmpl w:val="71C88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B6046E"/>
    <w:multiLevelType w:val="multilevel"/>
    <w:tmpl w:val="5128D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A43EE1"/>
    <w:multiLevelType w:val="multilevel"/>
    <w:tmpl w:val="1CFA2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884E9E"/>
    <w:multiLevelType w:val="multilevel"/>
    <w:tmpl w:val="AC4EA1D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8A"/>
    <w:rsid w:val="00073A6C"/>
    <w:rsid w:val="00091A8A"/>
    <w:rsid w:val="00122886"/>
    <w:rsid w:val="004751ED"/>
    <w:rsid w:val="005B77C1"/>
    <w:rsid w:val="008F152F"/>
    <w:rsid w:val="009211E7"/>
    <w:rsid w:val="00AB3593"/>
    <w:rsid w:val="00F76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BE24AF"/>
  <w15:docId w15:val="{9AB9B3C3-ED3E-4644-96FC-8111BE8F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3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1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1704"/>
    <w:rPr>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IpZkWMqFTdSuoIeIrPwhaeIAQ==">CgMxLjAyCGguZ2pkZ3hzOAByITFRQnlVN2FCZFQ4VXdjaVU1cG5tLWhSQTQzR2VMbjJTYw==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FFBD5D-C7E4-4557-821B-AEB9E3B9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1518</Words>
  <Characters>8352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INFOEM563</cp:lastModifiedBy>
  <cp:revision>4</cp:revision>
  <cp:lastPrinted>2024-10-21T19:24:00Z</cp:lastPrinted>
  <dcterms:created xsi:type="dcterms:W3CDTF">2024-10-21T15:57:00Z</dcterms:created>
  <dcterms:modified xsi:type="dcterms:W3CDTF">2024-10-21T19:24:00Z</dcterms:modified>
</cp:coreProperties>
</file>