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523" w:rsidRDefault="00922859">
      <w:pPr>
        <w:spacing w:after="0" w:line="360" w:lineRule="auto"/>
        <w:ind w:right="139"/>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VOTO PARTICULAR QUE FORMULA LA COMISIONADA GUADALUPE RAMÍREZ PEÑA, EN RELACIÓN CON LA RESOLUCIÓN DEL RECURSO DE REVISIÓN 04616/INFOEM/IP/RR/2023, DICTADA POR EL PLENO DEL INSTITUTO DE TRANSPARENCIA, ACCESO A LA INFORMACIÓN PÚBLICA Y PROTECCIÓN DE DATOS PER</w:t>
      </w:r>
      <w:r>
        <w:rPr>
          <w:rFonts w:ascii="Palatino Linotype" w:eastAsia="Palatino Linotype" w:hAnsi="Palatino Linotype" w:cs="Palatino Linotype"/>
          <w:b/>
        </w:rPr>
        <w:t>SONALES DEL ESTADO DE MÉXICO Y MUNICIPIOS, EN LA TERCERA SESIÓN ORDINARIA CELEBRADA EL TREINTA Y UNO DE ENERO DE DOS MIL VEINTICUATRO.</w:t>
      </w:r>
    </w:p>
    <w:p w:rsidR="00100523" w:rsidRDefault="00100523">
      <w:pPr>
        <w:spacing w:after="0" w:line="360" w:lineRule="auto"/>
        <w:ind w:right="139"/>
        <w:jc w:val="both"/>
        <w:rPr>
          <w:rFonts w:ascii="Palatino Linotype" w:eastAsia="Palatino Linotype" w:hAnsi="Palatino Linotype" w:cs="Palatino Linotype"/>
          <w:b/>
          <w:sz w:val="24"/>
          <w:szCs w:val="24"/>
        </w:rPr>
      </w:pPr>
    </w:p>
    <w:p w:rsidR="00100523" w:rsidRDefault="00922859">
      <w:pPr>
        <w:spacing w:after="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Con fundamento en lo dispuesto por el artículo 14, fracciones X y XI, del Reglamento del Instituto de Transparencia, Acc</w:t>
      </w:r>
      <w:r>
        <w:rPr>
          <w:rFonts w:ascii="Palatino Linotype" w:eastAsia="Palatino Linotype" w:hAnsi="Palatino Linotype" w:cs="Palatino Linotype"/>
          <w:sz w:val="24"/>
          <w:szCs w:val="24"/>
        </w:rPr>
        <w:t xml:space="preserve">eso a la Información Pública y Protección de Datos Personales del Estado de México y Municipios, la que suscribe emite </w:t>
      </w:r>
      <w:r>
        <w:rPr>
          <w:rFonts w:ascii="Palatino Linotype" w:eastAsia="Palatino Linotype" w:hAnsi="Palatino Linotype" w:cs="Palatino Linotype"/>
          <w:b/>
          <w:sz w:val="24"/>
          <w:szCs w:val="24"/>
        </w:rPr>
        <w:t xml:space="preserve">VOTO PARTICULAR </w:t>
      </w:r>
      <w:r>
        <w:rPr>
          <w:rFonts w:ascii="Palatino Linotype" w:eastAsia="Palatino Linotype" w:hAnsi="Palatino Linotype" w:cs="Palatino Linotype"/>
          <w:sz w:val="24"/>
          <w:szCs w:val="24"/>
        </w:rPr>
        <w:t xml:space="preserve">respecto a la resolución dictada del recurso de revisión </w:t>
      </w:r>
      <w:r>
        <w:rPr>
          <w:rFonts w:ascii="Palatino Linotype" w:eastAsia="Palatino Linotype" w:hAnsi="Palatino Linotype" w:cs="Palatino Linotype"/>
          <w:b/>
          <w:sz w:val="24"/>
          <w:szCs w:val="24"/>
        </w:rPr>
        <w:t xml:space="preserve">04616/INFOEM/IP/RR/2023, </w:t>
      </w:r>
      <w:r>
        <w:rPr>
          <w:rFonts w:ascii="Palatino Linotype" w:eastAsia="Palatino Linotype" w:hAnsi="Palatino Linotype" w:cs="Palatino Linotype"/>
          <w:sz w:val="24"/>
          <w:szCs w:val="24"/>
        </w:rPr>
        <w:t>pronunciada por el Pleno de este Instit</w:t>
      </w:r>
      <w:r>
        <w:rPr>
          <w:rFonts w:ascii="Palatino Linotype" w:eastAsia="Palatino Linotype" w:hAnsi="Palatino Linotype" w:cs="Palatino Linotype"/>
          <w:sz w:val="24"/>
          <w:szCs w:val="24"/>
        </w:rPr>
        <w:t xml:space="preserve">uto ante el proyecto presentado por el  </w:t>
      </w:r>
      <w:r>
        <w:rPr>
          <w:rFonts w:ascii="Palatino Linotype" w:eastAsia="Palatino Linotype" w:hAnsi="Palatino Linotype" w:cs="Palatino Linotype"/>
          <w:b/>
          <w:sz w:val="24"/>
          <w:szCs w:val="24"/>
        </w:rPr>
        <w:t>Comisionado Luis Gustavo Parra Noriega</w:t>
      </w:r>
      <w:r>
        <w:rPr>
          <w:rFonts w:ascii="Palatino Linotype" w:eastAsia="Palatino Linotype" w:hAnsi="Palatino Linotype" w:cs="Palatino Linotype"/>
          <w:sz w:val="24"/>
          <w:szCs w:val="24"/>
        </w:rPr>
        <w:t xml:space="preserve">, el cual fue resuelto conforme al criterio mayoritario que es del tenor siguiente: </w:t>
      </w:r>
    </w:p>
    <w:p w:rsidR="00100523" w:rsidRDefault="00100523">
      <w:pPr>
        <w:spacing w:after="0" w:line="360" w:lineRule="auto"/>
        <w:ind w:right="139"/>
        <w:jc w:val="both"/>
        <w:rPr>
          <w:rFonts w:ascii="Palatino Linotype" w:eastAsia="Palatino Linotype" w:hAnsi="Palatino Linotype" w:cs="Palatino Linotype"/>
          <w:sz w:val="16"/>
          <w:szCs w:val="16"/>
        </w:rPr>
      </w:pPr>
    </w:p>
    <w:p w:rsidR="00100523" w:rsidRDefault="00922859">
      <w:pPr>
        <w:numPr>
          <w:ilvl w:val="0"/>
          <w:numId w:val="2"/>
        </w:numPr>
        <w:spacing w:after="0" w:line="360" w:lineRule="auto"/>
        <w:ind w:left="567" w:right="139" w:hanging="283"/>
        <w:jc w:val="both"/>
        <w:rPr>
          <w:rFonts w:ascii="Palatino Linotype" w:eastAsia="Palatino Linotype" w:hAnsi="Palatino Linotype" w:cs="Palatino Linotype"/>
        </w:rPr>
      </w:pPr>
      <w:r>
        <w:rPr>
          <w:rFonts w:ascii="Palatino Linotype" w:eastAsia="Palatino Linotype" w:hAnsi="Palatino Linotype" w:cs="Palatino Linotype"/>
          <w:b/>
        </w:rPr>
        <w:t>Antecedentes.</w:t>
      </w:r>
    </w:p>
    <w:p w:rsidR="00100523" w:rsidRDefault="00100523">
      <w:pPr>
        <w:spacing w:after="0" w:line="360" w:lineRule="auto"/>
        <w:jc w:val="both"/>
        <w:rPr>
          <w:rFonts w:ascii="Palatino Linotype" w:eastAsia="Palatino Linotype" w:hAnsi="Palatino Linotype" w:cs="Palatino Linotype"/>
          <w:sz w:val="14"/>
          <w:szCs w:val="14"/>
        </w:rPr>
      </w:pPr>
    </w:p>
    <w:p w:rsidR="00100523" w:rsidRDefault="00922859">
      <w:pPr>
        <w:spacing w:after="0" w:line="360" w:lineRule="auto"/>
        <w:ind w:left="567"/>
        <w:jc w:val="both"/>
        <w:rPr>
          <w:rFonts w:ascii="Palatino Linotype" w:eastAsia="Palatino Linotype" w:hAnsi="Palatino Linotype" w:cs="Palatino Linotype"/>
          <w:i/>
        </w:rPr>
      </w:pPr>
      <w:bookmarkStart w:id="1" w:name="_heading=h.3znysh7" w:colFirst="0" w:colLast="0"/>
      <w:bookmarkEnd w:id="1"/>
      <w:r>
        <w:rPr>
          <w:rFonts w:ascii="Palatino Linotype" w:eastAsia="Palatino Linotype" w:hAnsi="Palatino Linotype" w:cs="Palatino Linotype"/>
        </w:rPr>
        <w:t>A través de la solicitud de acceso a la información que nos ocupan, la person</w:t>
      </w:r>
      <w:r>
        <w:rPr>
          <w:rFonts w:ascii="Palatino Linotype" w:eastAsia="Palatino Linotype" w:hAnsi="Palatino Linotype" w:cs="Palatino Linotype"/>
        </w:rPr>
        <w:t>a solicitante requirió del Ayuntamiento de Villa Victoria, lo siguiente:</w:t>
      </w:r>
      <w:r>
        <w:rPr>
          <w:rFonts w:ascii="Palatino Linotype" w:eastAsia="Palatino Linotype" w:hAnsi="Palatino Linotype" w:cs="Palatino Linotype"/>
          <w:i/>
        </w:rPr>
        <w:t xml:space="preserve"> </w:t>
      </w:r>
    </w:p>
    <w:p w:rsidR="00100523" w:rsidRDefault="00922859">
      <w:pPr>
        <w:spacing w:after="0" w:line="240" w:lineRule="auto"/>
        <w:ind w:left="567"/>
        <w:jc w:val="both"/>
        <w:rPr>
          <w:rFonts w:ascii="Palatino Linotype" w:eastAsia="Palatino Linotype" w:hAnsi="Palatino Linotype" w:cs="Palatino Linotype"/>
          <w:i/>
        </w:rPr>
      </w:pPr>
      <w:r>
        <w:rPr>
          <w:rFonts w:ascii="Palatino Linotype" w:eastAsia="Palatino Linotype" w:hAnsi="Palatino Linotype" w:cs="Palatino Linotype"/>
          <w:i/>
        </w:rPr>
        <w:t>DESCRIPCIÓN CLARA Y PRECISA DE LA INFORMACIÓN SOLICITADA.</w:t>
      </w:r>
    </w:p>
    <w:p w:rsidR="00100523" w:rsidRDefault="00922859">
      <w:pPr>
        <w:spacing w:after="0" w:line="240" w:lineRule="auto"/>
        <w:ind w:left="567"/>
        <w:jc w:val="both"/>
        <w:rPr>
          <w:rFonts w:ascii="Palatino Linotype" w:eastAsia="Palatino Linotype" w:hAnsi="Palatino Linotype" w:cs="Palatino Linotype"/>
          <w:i/>
        </w:rPr>
      </w:pPr>
      <w:r>
        <w:rPr>
          <w:rFonts w:ascii="Palatino Linotype" w:eastAsia="Palatino Linotype" w:hAnsi="Palatino Linotype" w:cs="Palatino Linotype"/>
          <w:i/>
        </w:rPr>
        <w:t>Solicito el CV actualizado y completo con documentos probatorios de la Presidenta Municipal del H. Ayuntamiento de Villa Vic</w:t>
      </w:r>
      <w:r>
        <w:rPr>
          <w:rFonts w:ascii="Palatino Linotype" w:eastAsia="Palatino Linotype" w:hAnsi="Palatino Linotype" w:cs="Palatino Linotype"/>
          <w:i/>
        </w:rPr>
        <w:t>toria: María Luisa Carmona Alvarado. (Sic).</w:t>
      </w:r>
    </w:p>
    <w:p w:rsidR="00100523" w:rsidRDefault="00100523">
      <w:pPr>
        <w:spacing w:after="0" w:line="360" w:lineRule="auto"/>
        <w:jc w:val="both"/>
        <w:rPr>
          <w:sz w:val="10"/>
          <w:szCs w:val="10"/>
        </w:rPr>
      </w:pPr>
    </w:p>
    <w:p w:rsidR="00CD4983" w:rsidRDefault="00CD4983">
      <w:pPr>
        <w:spacing w:after="0" w:line="360" w:lineRule="auto"/>
        <w:jc w:val="both"/>
        <w:rPr>
          <w:rFonts w:ascii="Palatino Linotype" w:eastAsia="Palatino Linotype" w:hAnsi="Palatino Linotype" w:cs="Palatino Linotype"/>
          <w:sz w:val="24"/>
          <w:szCs w:val="24"/>
          <w:highlight w:val="red"/>
        </w:rPr>
      </w:pPr>
    </w:p>
    <w:p w:rsidR="00CD4983" w:rsidRPr="00CD4983" w:rsidRDefault="00CD4983" w:rsidP="00CD4983">
      <w:pPr>
        <w:autoSpaceDE w:val="0"/>
        <w:autoSpaceDN w:val="0"/>
        <w:adjustRightInd w:val="0"/>
        <w:spacing w:after="0" w:line="360" w:lineRule="auto"/>
        <w:jc w:val="both"/>
        <w:rPr>
          <w:rFonts w:ascii="Palatino Linotype" w:hAnsi="Palatino Linotype"/>
          <w:color w:val="000000"/>
          <w:sz w:val="24"/>
          <w:szCs w:val="24"/>
        </w:rPr>
      </w:pPr>
      <w:r w:rsidRPr="00CD4983">
        <w:rPr>
          <w:rFonts w:ascii="Palatino Linotype" w:eastAsia="Palatino Linotype" w:hAnsi="Palatino Linotype" w:cs="Palatino Linotype"/>
          <w:sz w:val="24"/>
          <w:szCs w:val="24"/>
        </w:rPr>
        <w:lastRenderedPageBreak/>
        <w:t xml:space="preserve">En respuesta hace entrega de </w:t>
      </w:r>
      <w:r w:rsidRPr="00CD4983">
        <w:rPr>
          <w:rFonts w:ascii="Palatino Linotype" w:hAnsi="Palatino Linotype"/>
          <w:color w:val="000000"/>
          <w:sz w:val="24"/>
          <w:szCs w:val="24"/>
        </w:rPr>
        <w:t>la siguiente liga electrónica (</w:t>
      </w:r>
      <w:hyperlink r:id="rId8" w:history="1">
        <w:r w:rsidRPr="00CD4983">
          <w:rPr>
            <w:rStyle w:val="Hipervnculo"/>
            <w:rFonts w:ascii="Palatino Linotype" w:hAnsi="Palatino Linotype"/>
            <w:sz w:val="24"/>
            <w:szCs w:val="24"/>
          </w:rPr>
          <w:t>https://villavictoria.edomex.gob.mx/titular</w:t>
        </w:r>
      </w:hyperlink>
      <w:r>
        <w:rPr>
          <w:rFonts w:ascii="Palatino Linotype" w:hAnsi="Palatino Linotype"/>
          <w:color w:val="000000"/>
          <w:sz w:val="24"/>
          <w:szCs w:val="24"/>
        </w:rPr>
        <w:t xml:space="preserve">: </w:t>
      </w:r>
    </w:p>
    <w:p w:rsidR="00CD4983" w:rsidRDefault="00CD4983" w:rsidP="00CD4983">
      <w:pPr>
        <w:autoSpaceDE w:val="0"/>
        <w:autoSpaceDN w:val="0"/>
        <w:adjustRightInd w:val="0"/>
        <w:spacing w:after="0" w:line="360" w:lineRule="auto"/>
        <w:rPr>
          <w:color w:val="000000"/>
        </w:rPr>
      </w:pPr>
    </w:p>
    <w:p w:rsidR="00CD4983" w:rsidRDefault="00CD4983" w:rsidP="00CD4983">
      <w:pPr>
        <w:autoSpaceDE w:val="0"/>
        <w:autoSpaceDN w:val="0"/>
        <w:adjustRightInd w:val="0"/>
        <w:spacing w:after="0" w:line="360" w:lineRule="auto"/>
        <w:rPr>
          <w:rFonts w:cs="Tahoma"/>
          <w:bCs/>
          <w:iCs/>
          <w:lang w:val="es-ES"/>
        </w:rPr>
      </w:pPr>
    </w:p>
    <w:p w:rsidR="00CD4983" w:rsidRPr="00AB66A4" w:rsidRDefault="00CD4983" w:rsidP="00CD4983">
      <w:pPr>
        <w:autoSpaceDE w:val="0"/>
        <w:autoSpaceDN w:val="0"/>
        <w:adjustRightInd w:val="0"/>
        <w:spacing w:after="0" w:line="360" w:lineRule="auto"/>
        <w:jc w:val="center"/>
        <w:rPr>
          <w:color w:val="000000"/>
        </w:rPr>
      </w:pPr>
      <w:r w:rsidRPr="00DA4034">
        <w:rPr>
          <w:noProof/>
          <w:color w:val="000000"/>
        </w:rPr>
        <w:drawing>
          <wp:inline distT="0" distB="0" distL="0" distR="0" wp14:anchorId="0684EB6E" wp14:editId="34488C44">
            <wp:extent cx="4019550" cy="5424065"/>
            <wp:effectExtent l="0" t="0" r="0" b="5715"/>
            <wp:docPr id="6430975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097565" name=""/>
                    <pic:cNvPicPr/>
                  </pic:nvPicPr>
                  <pic:blipFill>
                    <a:blip r:embed="rId9"/>
                    <a:stretch>
                      <a:fillRect/>
                    </a:stretch>
                  </pic:blipFill>
                  <pic:spPr>
                    <a:xfrm>
                      <a:off x="0" y="0"/>
                      <a:ext cx="4046848" cy="5460902"/>
                    </a:xfrm>
                    <a:prstGeom prst="rect">
                      <a:avLst/>
                    </a:prstGeom>
                  </pic:spPr>
                </pic:pic>
              </a:graphicData>
            </a:graphic>
          </wp:inline>
        </w:drawing>
      </w:r>
    </w:p>
    <w:p w:rsidR="00100523" w:rsidRDefault="00922859">
      <w:pPr>
        <w:spacing w:after="0" w:line="360" w:lineRule="auto"/>
        <w:jc w:val="both"/>
        <w:rPr>
          <w:rFonts w:ascii="Palatino Linotype" w:eastAsia="Palatino Linotype" w:hAnsi="Palatino Linotype" w:cs="Palatino Linotype"/>
          <w:sz w:val="24"/>
          <w:szCs w:val="24"/>
        </w:rPr>
      </w:pPr>
      <w:r w:rsidRPr="00CD4983">
        <w:rPr>
          <w:rFonts w:ascii="Palatino Linotype" w:eastAsia="Palatino Linotype" w:hAnsi="Palatino Linotype" w:cs="Palatino Linotype"/>
          <w:sz w:val="24"/>
          <w:szCs w:val="24"/>
        </w:rPr>
        <w:lastRenderedPageBreak/>
        <w:t>Una vez conocida l</w:t>
      </w:r>
      <w:r w:rsidRPr="00CD4983">
        <w:rPr>
          <w:rFonts w:ascii="Palatino Linotype" w:eastAsia="Palatino Linotype" w:hAnsi="Palatino Linotype" w:cs="Palatino Linotype"/>
          <w:sz w:val="24"/>
          <w:szCs w:val="24"/>
        </w:rPr>
        <w:t>a</w:t>
      </w:r>
      <w:r>
        <w:rPr>
          <w:rFonts w:ascii="Palatino Linotype" w:eastAsia="Palatino Linotype" w:hAnsi="Palatino Linotype" w:cs="Palatino Linotype"/>
          <w:sz w:val="24"/>
          <w:szCs w:val="24"/>
        </w:rPr>
        <w:t xml:space="preserve"> respuesta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interpuso el medio de impugnación, en los siguientes términos:</w:t>
      </w:r>
    </w:p>
    <w:p w:rsidR="00100523" w:rsidRDefault="00100523">
      <w:pPr>
        <w:spacing w:after="0" w:line="360" w:lineRule="auto"/>
        <w:jc w:val="both"/>
        <w:rPr>
          <w:rFonts w:ascii="Palatino Linotype" w:eastAsia="Palatino Linotype" w:hAnsi="Palatino Linotype" w:cs="Palatino Linotype"/>
          <w:sz w:val="10"/>
          <w:szCs w:val="10"/>
        </w:rPr>
      </w:pPr>
    </w:p>
    <w:p w:rsidR="00100523" w:rsidRDefault="00922859">
      <w:pPr>
        <w:spacing w:after="0" w:line="360" w:lineRule="auto"/>
        <w:ind w:left="567" w:right="567"/>
        <w:rPr>
          <w:rFonts w:ascii="Palatino Linotype" w:eastAsia="Palatino Linotype" w:hAnsi="Palatino Linotype" w:cs="Palatino Linotype"/>
          <w:b/>
          <w:i/>
        </w:rPr>
      </w:pPr>
      <w:bookmarkStart w:id="2" w:name="_heading=h.30j0zll" w:colFirst="0" w:colLast="0"/>
      <w:bookmarkEnd w:id="2"/>
      <w:r>
        <w:rPr>
          <w:rFonts w:ascii="Palatino Linotype" w:eastAsia="Palatino Linotype" w:hAnsi="Palatino Linotype" w:cs="Palatino Linotype"/>
          <w:b/>
          <w:i/>
        </w:rPr>
        <w:t>“ACTO IMPUGNADO</w:t>
      </w:r>
    </w:p>
    <w:p w:rsidR="00100523" w:rsidRDefault="00922859">
      <w:pPr>
        <w:tabs>
          <w:tab w:val="left" w:pos="4667"/>
        </w:tabs>
        <w:spacing w:after="0" w:line="360" w:lineRule="auto"/>
        <w:ind w:left="567" w:right="567"/>
        <w:rPr>
          <w:rFonts w:ascii="Palatino Linotype" w:eastAsia="Palatino Linotype" w:hAnsi="Palatino Linotype" w:cs="Palatino Linotype"/>
          <w:i/>
        </w:rPr>
      </w:pPr>
      <w:r>
        <w:rPr>
          <w:rFonts w:ascii="Palatino Linotype" w:eastAsia="Palatino Linotype" w:hAnsi="Palatino Linotype" w:cs="Palatino Linotype"/>
          <w:i/>
          <w:color w:val="000000"/>
        </w:rPr>
        <w:t xml:space="preserve">Se solicitaron documentos probatorios del CV de la Presidenta Municipal, sin embargo, el Sujeto obligado no los presento, además de que </w:t>
      </w:r>
      <w:proofErr w:type="spellStart"/>
      <w:r>
        <w:rPr>
          <w:rFonts w:ascii="Palatino Linotype" w:eastAsia="Palatino Linotype" w:hAnsi="Palatino Linotype" w:cs="Palatino Linotype"/>
          <w:i/>
          <w:color w:val="000000"/>
        </w:rPr>
        <w:t>presntó</w:t>
      </w:r>
      <w:proofErr w:type="spellEnd"/>
      <w:r>
        <w:rPr>
          <w:rFonts w:ascii="Palatino Linotype" w:eastAsia="Palatino Linotype" w:hAnsi="Palatino Linotype" w:cs="Palatino Linotype"/>
          <w:i/>
          <w:color w:val="000000"/>
        </w:rPr>
        <w:t xml:space="preserve"> solo información parcial del CV y no la información completa como se </w:t>
      </w:r>
      <w:proofErr w:type="spellStart"/>
      <w:r>
        <w:rPr>
          <w:rFonts w:ascii="Palatino Linotype" w:eastAsia="Palatino Linotype" w:hAnsi="Palatino Linotype" w:cs="Palatino Linotype"/>
          <w:i/>
          <w:color w:val="000000"/>
        </w:rPr>
        <w:t>solicito</w:t>
      </w:r>
      <w:proofErr w:type="spellEnd"/>
      <w:r>
        <w:rPr>
          <w:rFonts w:ascii="Palatino Linotype" w:eastAsia="Palatino Linotype" w:hAnsi="Palatino Linotype" w:cs="Palatino Linotype"/>
          <w:i/>
          <w:color w:val="000000"/>
        </w:rPr>
        <w:t>.</w:t>
      </w:r>
      <w:r>
        <w:rPr>
          <w:rFonts w:ascii="Palatino Linotype" w:eastAsia="Palatino Linotype" w:hAnsi="Palatino Linotype" w:cs="Palatino Linotype"/>
          <w:i/>
        </w:rPr>
        <w:t>” (Sic.)</w:t>
      </w:r>
    </w:p>
    <w:p w:rsidR="00100523" w:rsidRDefault="00100523">
      <w:pPr>
        <w:tabs>
          <w:tab w:val="left" w:pos="4667"/>
        </w:tabs>
        <w:spacing w:after="0" w:line="360" w:lineRule="auto"/>
        <w:ind w:left="567" w:right="567"/>
        <w:rPr>
          <w:rFonts w:ascii="Palatino Linotype" w:eastAsia="Palatino Linotype" w:hAnsi="Palatino Linotype" w:cs="Palatino Linotype"/>
          <w:i/>
        </w:rPr>
      </w:pPr>
    </w:p>
    <w:p w:rsidR="00100523" w:rsidRDefault="00922859">
      <w:pPr>
        <w:tabs>
          <w:tab w:val="left" w:pos="4667"/>
        </w:tabs>
        <w:spacing w:after="0" w:line="360" w:lineRule="auto"/>
        <w:ind w:left="567" w:right="567"/>
        <w:rPr>
          <w:rFonts w:ascii="Palatino Linotype" w:eastAsia="Palatino Linotype" w:hAnsi="Palatino Linotype" w:cs="Palatino Linotype"/>
          <w:b/>
          <w:i/>
        </w:rPr>
      </w:pPr>
      <w:r>
        <w:rPr>
          <w:rFonts w:ascii="Palatino Linotype" w:eastAsia="Palatino Linotype" w:hAnsi="Palatino Linotype" w:cs="Palatino Linotype"/>
          <w:b/>
          <w:i/>
        </w:rPr>
        <w:t>“RAZONES O MOTIVOS DE LA</w:t>
      </w:r>
      <w:r>
        <w:rPr>
          <w:rFonts w:ascii="Palatino Linotype" w:eastAsia="Palatino Linotype" w:hAnsi="Palatino Linotype" w:cs="Palatino Linotype"/>
          <w:b/>
          <w:i/>
        </w:rPr>
        <w:t xml:space="preserve"> INCONFORMIDAD</w:t>
      </w:r>
    </w:p>
    <w:p w:rsidR="00100523" w:rsidRDefault="00922859">
      <w:pPr>
        <w:tabs>
          <w:tab w:val="left" w:pos="4667"/>
        </w:tabs>
        <w:spacing w:after="0" w:line="360" w:lineRule="auto"/>
        <w:ind w:left="567" w:right="567"/>
        <w:rPr>
          <w:rFonts w:ascii="Palatino Linotype" w:eastAsia="Palatino Linotype" w:hAnsi="Palatino Linotype" w:cs="Palatino Linotype"/>
          <w:i/>
        </w:rPr>
      </w:pPr>
      <w:r>
        <w:rPr>
          <w:rFonts w:ascii="Palatino Linotype" w:eastAsia="Palatino Linotype" w:hAnsi="Palatino Linotype" w:cs="Palatino Linotype"/>
          <w:i/>
          <w:color w:val="000000"/>
        </w:rPr>
        <w:t xml:space="preserve">Se solicitaron documentos probatorios del CV de la Presidenta Municipal, sin embargo, el Sujeto obligado no los presento, además de que </w:t>
      </w:r>
      <w:proofErr w:type="spellStart"/>
      <w:r>
        <w:rPr>
          <w:rFonts w:ascii="Palatino Linotype" w:eastAsia="Palatino Linotype" w:hAnsi="Palatino Linotype" w:cs="Palatino Linotype"/>
          <w:i/>
          <w:color w:val="000000"/>
        </w:rPr>
        <w:t>presntó</w:t>
      </w:r>
      <w:proofErr w:type="spellEnd"/>
      <w:r>
        <w:rPr>
          <w:rFonts w:ascii="Palatino Linotype" w:eastAsia="Palatino Linotype" w:hAnsi="Palatino Linotype" w:cs="Palatino Linotype"/>
          <w:i/>
          <w:color w:val="000000"/>
        </w:rPr>
        <w:t xml:space="preserve"> solo información parcial del CV y no la información completa como se </w:t>
      </w:r>
      <w:proofErr w:type="spellStart"/>
      <w:r>
        <w:rPr>
          <w:rFonts w:ascii="Palatino Linotype" w:eastAsia="Palatino Linotype" w:hAnsi="Palatino Linotype" w:cs="Palatino Linotype"/>
          <w:i/>
          <w:color w:val="000000"/>
        </w:rPr>
        <w:t>solicito</w:t>
      </w:r>
      <w:proofErr w:type="spellEnd"/>
      <w:r>
        <w:rPr>
          <w:rFonts w:ascii="Palatino Linotype" w:eastAsia="Palatino Linotype" w:hAnsi="Palatino Linotype" w:cs="Palatino Linotype"/>
          <w:i/>
          <w:color w:val="000000"/>
        </w:rPr>
        <w:t>.</w:t>
      </w:r>
      <w:r>
        <w:rPr>
          <w:rFonts w:ascii="Palatino Linotype" w:eastAsia="Palatino Linotype" w:hAnsi="Palatino Linotype" w:cs="Palatino Linotype"/>
          <w:i/>
        </w:rPr>
        <w:t>” (Sic.)</w:t>
      </w:r>
    </w:p>
    <w:p w:rsidR="00100523" w:rsidRDefault="00100523">
      <w:pPr>
        <w:pBdr>
          <w:top w:val="nil"/>
          <w:left w:val="nil"/>
          <w:bottom w:val="nil"/>
          <w:right w:val="nil"/>
          <w:between w:val="nil"/>
        </w:pBdr>
        <w:spacing w:after="0" w:line="360" w:lineRule="auto"/>
        <w:jc w:val="both"/>
        <w:rPr>
          <w:rFonts w:ascii="Palatino Linotype" w:eastAsia="Palatino Linotype" w:hAnsi="Palatino Linotype" w:cs="Palatino Linotype"/>
        </w:rPr>
      </w:pPr>
    </w:p>
    <w:p w:rsidR="00100523" w:rsidRDefault="0092285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Las parte</w:t>
      </w:r>
      <w:r>
        <w:rPr>
          <w:rFonts w:ascii="Palatino Linotype" w:eastAsia="Palatino Linotype" w:hAnsi="Palatino Linotype" w:cs="Palatino Linotype"/>
          <w:sz w:val="24"/>
          <w:szCs w:val="24"/>
        </w:rPr>
        <w:t xml:space="preserve">s fueron omisas en rendir manifestaciones. </w:t>
      </w:r>
    </w:p>
    <w:p w:rsidR="00100523" w:rsidRDefault="00100523">
      <w:pPr>
        <w:pBdr>
          <w:top w:val="nil"/>
          <w:left w:val="nil"/>
          <w:bottom w:val="nil"/>
          <w:right w:val="nil"/>
          <w:between w:val="nil"/>
        </w:pBdr>
        <w:spacing w:after="0" w:line="360" w:lineRule="auto"/>
        <w:jc w:val="both"/>
        <w:rPr>
          <w:rFonts w:ascii="Palatino Linotype" w:eastAsia="Palatino Linotype" w:hAnsi="Palatino Linotype" w:cs="Palatino Linotype"/>
          <w:sz w:val="28"/>
          <w:szCs w:val="28"/>
        </w:rPr>
      </w:pPr>
    </w:p>
    <w:p w:rsidR="00100523" w:rsidRDefault="0092285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las cosas, el Instituto consideró que las razones o motivos de inconformidad hechos valer por la parte </w:t>
      </w:r>
      <w:r>
        <w:rPr>
          <w:rFonts w:ascii="Palatino Linotype" w:eastAsia="Palatino Linotype" w:hAnsi="Palatino Linotype" w:cs="Palatino Linotype"/>
          <w:b/>
          <w:sz w:val="24"/>
          <w:szCs w:val="24"/>
        </w:rPr>
        <w:t xml:space="preserve">RECURRENTE </w:t>
      </w:r>
      <w:r>
        <w:rPr>
          <w:rFonts w:ascii="Palatino Linotype" w:eastAsia="Palatino Linotype" w:hAnsi="Palatino Linotype" w:cs="Palatino Linotype"/>
          <w:sz w:val="24"/>
          <w:szCs w:val="24"/>
        </w:rPr>
        <w:t xml:space="preserve">resultaban fundados, y determinó </w:t>
      </w:r>
      <w:r>
        <w:rPr>
          <w:rFonts w:ascii="Palatino Linotype" w:eastAsia="Palatino Linotype" w:hAnsi="Palatino Linotype" w:cs="Palatino Linotype"/>
          <w:b/>
          <w:sz w:val="24"/>
          <w:szCs w:val="24"/>
        </w:rPr>
        <w:t>modificar</w:t>
      </w:r>
      <w:r>
        <w:rPr>
          <w:rFonts w:ascii="Palatino Linotype" w:eastAsia="Palatino Linotype" w:hAnsi="Palatino Linotype" w:cs="Palatino Linotype"/>
          <w:sz w:val="24"/>
          <w:szCs w:val="24"/>
        </w:rPr>
        <w:t xml:space="preserve"> la respuesta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ordenando lo siguiente:</w:t>
      </w:r>
    </w:p>
    <w:p w:rsidR="00100523" w:rsidRDefault="00100523">
      <w:pPr>
        <w:pBdr>
          <w:top w:val="nil"/>
          <w:left w:val="nil"/>
          <w:bottom w:val="nil"/>
          <w:right w:val="nil"/>
          <w:between w:val="nil"/>
        </w:pBdr>
        <w:spacing w:after="0" w:line="360" w:lineRule="auto"/>
        <w:jc w:val="both"/>
        <w:rPr>
          <w:rFonts w:ascii="Palatino Linotype" w:eastAsia="Palatino Linotype" w:hAnsi="Palatino Linotype" w:cs="Palatino Linotype"/>
        </w:rPr>
      </w:pPr>
    </w:p>
    <w:p w:rsidR="00100523" w:rsidRDefault="00922859">
      <w:pPr>
        <w:pBdr>
          <w:top w:val="nil"/>
          <w:left w:val="nil"/>
          <w:bottom w:val="nil"/>
          <w:right w:val="nil"/>
          <w:between w:val="nil"/>
        </w:pBdr>
        <w:spacing w:after="0" w:line="240" w:lineRule="auto"/>
        <w:ind w:left="851" w:right="618"/>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w:t>
      </w:r>
      <w:r>
        <w:rPr>
          <w:rFonts w:ascii="Palatino Linotype" w:eastAsia="Palatino Linotype" w:hAnsi="Palatino Linotype" w:cs="Palatino Linotype"/>
          <w:i/>
          <w:color w:val="000000"/>
        </w:rPr>
        <w:t>SEGUNDO. Se ORDENA al Ente Recurrido, a efecto de que previa búsqueda exhaustiva y razonable en los archivos de las unidades administrativas competentes, entregue a través del Sistema de Acceso a la Información Mexiquense (SAIME</w:t>
      </w:r>
      <w:r>
        <w:rPr>
          <w:rFonts w:ascii="Palatino Linotype" w:eastAsia="Palatino Linotype" w:hAnsi="Palatino Linotype" w:cs="Palatino Linotype"/>
          <w:i/>
          <w:color w:val="000000"/>
        </w:rPr>
        <w:t>X), en su caso, en versión pública, de la Presidenta Municipal referida en el Considerando QUINTO los documentos con los que contara al treinta y uno de julio de dos mil veintitrés, con lo siguiente:</w:t>
      </w:r>
    </w:p>
    <w:p w:rsidR="00100523" w:rsidRDefault="00100523">
      <w:pPr>
        <w:pBdr>
          <w:top w:val="nil"/>
          <w:left w:val="nil"/>
          <w:bottom w:val="nil"/>
          <w:right w:val="nil"/>
          <w:between w:val="nil"/>
        </w:pBdr>
        <w:spacing w:after="0" w:line="240" w:lineRule="auto"/>
        <w:ind w:left="851" w:right="618"/>
        <w:jc w:val="both"/>
        <w:rPr>
          <w:rFonts w:ascii="Palatino Linotype" w:eastAsia="Palatino Linotype" w:hAnsi="Palatino Linotype" w:cs="Palatino Linotype"/>
          <w:i/>
          <w:color w:val="000000"/>
        </w:rPr>
      </w:pPr>
    </w:p>
    <w:p w:rsidR="00100523" w:rsidRDefault="00922859">
      <w:pPr>
        <w:pBdr>
          <w:top w:val="nil"/>
          <w:left w:val="nil"/>
          <w:bottom w:val="nil"/>
          <w:right w:val="nil"/>
          <w:between w:val="nil"/>
        </w:pBdr>
        <w:spacing w:after="0" w:line="240" w:lineRule="auto"/>
        <w:ind w:left="851" w:right="618"/>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1.</w:t>
      </w:r>
      <w:r>
        <w:rPr>
          <w:rFonts w:ascii="Palatino Linotype" w:eastAsia="Palatino Linotype" w:hAnsi="Palatino Linotype" w:cs="Palatino Linotype"/>
          <w:i/>
          <w:color w:val="000000"/>
        </w:rPr>
        <w:tab/>
        <w:t>La información curricular (currículum o ficha curric</w:t>
      </w:r>
      <w:r>
        <w:rPr>
          <w:rFonts w:ascii="Palatino Linotype" w:eastAsia="Palatino Linotype" w:hAnsi="Palatino Linotype" w:cs="Palatino Linotype"/>
          <w:i/>
          <w:color w:val="000000"/>
        </w:rPr>
        <w:t>ular), y</w:t>
      </w:r>
    </w:p>
    <w:p w:rsidR="00100523" w:rsidRDefault="00100523">
      <w:pPr>
        <w:pBdr>
          <w:top w:val="nil"/>
          <w:left w:val="nil"/>
          <w:bottom w:val="nil"/>
          <w:right w:val="nil"/>
          <w:between w:val="nil"/>
        </w:pBdr>
        <w:spacing w:after="0" w:line="240" w:lineRule="auto"/>
        <w:ind w:left="851" w:right="618"/>
        <w:jc w:val="both"/>
        <w:rPr>
          <w:rFonts w:ascii="Palatino Linotype" w:eastAsia="Palatino Linotype" w:hAnsi="Palatino Linotype" w:cs="Palatino Linotype"/>
          <w:i/>
          <w:color w:val="000000"/>
        </w:rPr>
      </w:pPr>
    </w:p>
    <w:p w:rsidR="00100523" w:rsidRDefault="00922859">
      <w:pPr>
        <w:pBdr>
          <w:top w:val="nil"/>
          <w:left w:val="nil"/>
          <w:bottom w:val="nil"/>
          <w:right w:val="nil"/>
          <w:between w:val="nil"/>
        </w:pBdr>
        <w:spacing w:after="0" w:line="240" w:lineRule="auto"/>
        <w:ind w:left="851" w:right="618"/>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2.</w:t>
      </w:r>
      <w:r>
        <w:rPr>
          <w:rFonts w:ascii="Palatino Linotype" w:eastAsia="Palatino Linotype" w:hAnsi="Palatino Linotype" w:cs="Palatino Linotype"/>
          <w:i/>
          <w:color w:val="000000"/>
        </w:rPr>
        <w:tab/>
        <w:t xml:space="preserve">Aquellos que acrediten la preparación académica y experiencia laboral referida en el documento proporcionado en el punto 1. </w:t>
      </w:r>
    </w:p>
    <w:p w:rsidR="00100523" w:rsidRDefault="00100523">
      <w:pPr>
        <w:pBdr>
          <w:top w:val="nil"/>
          <w:left w:val="nil"/>
          <w:bottom w:val="nil"/>
          <w:right w:val="nil"/>
          <w:between w:val="nil"/>
        </w:pBdr>
        <w:spacing w:after="0" w:line="240" w:lineRule="auto"/>
        <w:ind w:left="851" w:right="618"/>
        <w:jc w:val="both"/>
        <w:rPr>
          <w:rFonts w:ascii="Palatino Linotype" w:eastAsia="Palatino Linotype" w:hAnsi="Palatino Linotype" w:cs="Palatino Linotype"/>
          <w:i/>
          <w:color w:val="000000"/>
        </w:rPr>
      </w:pPr>
    </w:p>
    <w:p w:rsidR="00100523" w:rsidRDefault="00922859">
      <w:pPr>
        <w:pBdr>
          <w:top w:val="nil"/>
          <w:left w:val="nil"/>
          <w:bottom w:val="nil"/>
          <w:right w:val="nil"/>
          <w:between w:val="nil"/>
        </w:pBdr>
        <w:spacing w:after="0" w:line="240" w:lineRule="auto"/>
        <w:ind w:left="851" w:right="618"/>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Además, de ser necesario, deberá proporcionar el Acuerdo de Clasificación donde el Comité de Transparencia, confirme la eliminación de los datos confidenciales, en la versión pública, de conformidad con los artículos 49, fracciones II y VIII y 132, fracció</w:t>
      </w:r>
      <w:r>
        <w:rPr>
          <w:rFonts w:ascii="Palatino Linotype" w:eastAsia="Palatino Linotype" w:hAnsi="Palatino Linotype" w:cs="Palatino Linotype"/>
          <w:i/>
          <w:color w:val="000000"/>
        </w:rPr>
        <w:t>n II de la Ley de Transparencia y Acceso a la Información Pública del Estado de México y Municipios.</w:t>
      </w:r>
    </w:p>
    <w:p w:rsidR="00100523" w:rsidRDefault="00100523">
      <w:pPr>
        <w:pBdr>
          <w:top w:val="nil"/>
          <w:left w:val="nil"/>
          <w:bottom w:val="nil"/>
          <w:right w:val="nil"/>
          <w:between w:val="nil"/>
        </w:pBdr>
        <w:spacing w:after="0" w:line="240" w:lineRule="auto"/>
        <w:ind w:left="851" w:right="618"/>
        <w:jc w:val="both"/>
        <w:rPr>
          <w:rFonts w:ascii="Palatino Linotype" w:eastAsia="Palatino Linotype" w:hAnsi="Palatino Linotype" w:cs="Palatino Linotype"/>
          <w:i/>
          <w:color w:val="000000"/>
        </w:rPr>
      </w:pPr>
    </w:p>
    <w:p w:rsidR="00100523" w:rsidRDefault="00922859">
      <w:pPr>
        <w:pBdr>
          <w:top w:val="nil"/>
          <w:left w:val="nil"/>
          <w:bottom w:val="nil"/>
          <w:right w:val="nil"/>
          <w:between w:val="nil"/>
        </w:pBdr>
        <w:spacing w:after="0" w:line="240" w:lineRule="auto"/>
        <w:ind w:left="851" w:right="618"/>
        <w:jc w:val="both"/>
        <w:rPr>
          <w:rFonts w:ascii="Arial" w:eastAsia="Arial" w:hAnsi="Arial" w:cs="Arial"/>
          <w:i/>
          <w:color w:val="000000"/>
          <w:sz w:val="20"/>
          <w:szCs w:val="20"/>
        </w:rPr>
      </w:pPr>
      <w:r>
        <w:rPr>
          <w:rFonts w:ascii="Palatino Linotype" w:eastAsia="Palatino Linotype" w:hAnsi="Palatino Linotype" w:cs="Palatino Linotype"/>
          <w:i/>
          <w:color w:val="000000"/>
        </w:rPr>
        <w:t>Para el caso, de que no cuente con la información del punto número 2, al no obrar en su expediente laboral, deberá hacerla del conocimiento del ahora Recu</w:t>
      </w:r>
      <w:r>
        <w:rPr>
          <w:rFonts w:ascii="Palatino Linotype" w:eastAsia="Palatino Linotype" w:hAnsi="Palatino Linotype" w:cs="Palatino Linotype"/>
          <w:i/>
          <w:color w:val="000000"/>
        </w:rPr>
        <w:t>rrente de manera clara y precisa.</w:t>
      </w:r>
      <w:r>
        <w:rPr>
          <w:rFonts w:ascii="Arial" w:eastAsia="Arial" w:hAnsi="Arial" w:cs="Arial"/>
          <w:i/>
          <w:color w:val="000000"/>
          <w:sz w:val="20"/>
          <w:szCs w:val="20"/>
        </w:rPr>
        <w:t xml:space="preserve"> […]</w:t>
      </w:r>
    </w:p>
    <w:p w:rsidR="00100523" w:rsidRDefault="00100523">
      <w:pPr>
        <w:pBdr>
          <w:top w:val="nil"/>
          <w:left w:val="nil"/>
          <w:bottom w:val="nil"/>
          <w:right w:val="nil"/>
          <w:between w:val="nil"/>
        </w:pBdr>
        <w:spacing w:after="0" w:line="240" w:lineRule="auto"/>
        <w:ind w:left="851" w:right="618"/>
        <w:jc w:val="both"/>
        <w:rPr>
          <w:rFonts w:ascii="Palatino Linotype" w:eastAsia="Palatino Linotype" w:hAnsi="Palatino Linotype" w:cs="Palatino Linotype"/>
          <w:b/>
          <w:i/>
          <w:color w:val="000000"/>
        </w:rPr>
      </w:pPr>
    </w:p>
    <w:p w:rsidR="00100523" w:rsidRDefault="00922859">
      <w:pPr>
        <w:numPr>
          <w:ilvl w:val="0"/>
          <w:numId w:val="2"/>
        </w:num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Razones del Voto Particular.</w:t>
      </w:r>
    </w:p>
    <w:p w:rsidR="00100523" w:rsidRDefault="00100523">
      <w:pPr>
        <w:pBdr>
          <w:top w:val="nil"/>
          <w:left w:val="nil"/>
          <w:bottom w:val="nil"/>
          <w:right w:val="nil"/>
          <w:between w:val="nil"/>
        </w:pBdr>
        <w:spacing w:after="0" w:line="360" w:lineRule="auto"/>
        <w:ind w:left="1080" w:right="139"/>
        <w:jc w:val="both"/>
        <w:rPr>
          <w:rFonts w:ascii="Palatino Linotype" w:eastAsia="Palatino Linotype" w:hAnsi="Palatino Linotype" w:cs="Palatino Linotype"/>
          <w:b/>
          <w:color w:val="000000"/>
          <w:sz w:val="24"/>
          <w:szCs w:val="24"/>
        </w:rPr>
      </w:pPr>
    </w:p>
    <w:p w:rsidR="00100523" w:rsidRDefault="00922859">
      <w:pPr>
        <w:numPr>
          <w:ilvl w:val="0"/>
          <w:numId w:val="1"/>
        </w:num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 Integrantes de Cabildo.</w:t>
      </w:r>
    </w:p>
    <w:p w:rsidR="00100523" w:rsidRDefault="00100523">
      <w:pPr>
        <w:pBdr>
          <w:top w:val="nil"/>
          <w:left w:val="nil"/>
          <w:bottom w:val="nil"/>
          <w:right w:val="nil"/>
          <w:between w:val="nil"/>
        </w:pBdr>
        <w:spacing w:after="0" w:line="360" w:lineRule="auto"/>
        <w:ind w:left="1080" w:right="139"/>
        <w:jc w:val="both"/>
        <w:rPr>
          <w:rFonts w:ascii="Palatino Linotype" w:eastAsia="Palatino Linotype" w:hAnsi="Palatino Linotype" w:cs="Palatino Linotype"/>
          <w:color w:val="000000"/>
          <w:sz w:val="14"/>
          <w:szCs w:val="14"/>
        </w:rPr>
      </w:pPr>
    </w:p>
    <w:p w:rsidR="00100523" w:rsidRDefault="00922859">
      <w:pPr>
        <w:pBdr>
          <w:top w:val="nil"/>
          <w:left w:val="nil"/>
          <w:bottom w:val="nil"/>
          <w:right w:val="nil"/>
          <w:between w:val="nil"/>
        </w:pBdr>
        <w:spacing w:after="0" w:line="360" w:lineRule="auto"/>
        <w:ind w:right="142"/>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sz w:val="24"/>
          <w:szCs w:val="24"/>
        </w:rPr>
        <w:t>L</w:t>
      </w:r>
      <w:r>
        <w:rPr>
          <w:rFonts w:ascii="Palatino Linotype" w:eastAsia="Palatino Linotype" w:hAnsi="Palatino Linotype" w:cs="Palatino Linotype"/>
          <w:color w:val="000000"/>
          <w:sz w:val="24"/>
          <w:szCs w:val="24"/>
        </w:rPr>
        <w:t xml:space="preserve">a suscrita </w:t>
      </w:r>
      <w:r>
        <w:rPr>
          <w:rFonts w:ascii="Palatino Linotype" w:eastAsia="Palatino Linotype" w:hAnsi="Palatino Linotype" w:cs="Palatino Linotype"/>
          <w:b/>
          <w:color w:val="000000"/>
          <w:sz w:val="24"/>
          <w:szCs w:val="24"/>
        </w:rPr>
        <w:t>no comparte las consideraciones que fueron vertidas en la presente resolución</w:t>
      </w:r>
      <w:r>
        <w:rPr>
          <w:rFonts w:ascii="Palatino Linotype" w:eastAsia="Palatino Linotype" w:hAnsi="Palatino Linotype" w:cs="Palatino Linotype"/>
          <w:sz w:val="24"/>
          <w:szCs w:val="24"/>
        </w:rPr>
        <w:t xml:space="preserve"> respecto a </w:t>
      </w:r>
      <w:r w:rsidRPr="00CD4983">
        <w:rPr>
          <w:rFonts w:ascii="Palatino Linotype" w:eastAsia="Palatino Linotype" w:hAnsi="Palatino Linotype" w:cs="Palatino Linotype"/>
          <w:sz w:val="24"/>
          <w:szCs w:val="24"/>
        </w:rPr>
        <w:t>la</w:t>
      </w:r>
      <w:r w:rsidRPr="00CD4983">
        <w:rPr>
          <w:rFonts w:ascii="Palatino Linotype" w:eastAsia="Palatino Linotype" w:hAnsi="Palatino Linotype" w:cs="Palatino Linotype"/>
          <w:sz w:val="24"/>
          <w:szCs w:val="24"/>
        </w:rPr>
        <w:t xml:space="preserve"> entrega </w:t>
      </w:r>
      <w:r w:rsidR="00CD4983">
        <w:rPr>
          <w:rFonts w:ascii="Palatino Linotype" w:eastAsia="Palatino Linotype" w:hAnsi="Palatino Linotype" w:cs="Palatino Linotype"/>
          <w:sz w:val="24"/>
          <w:szCs w:val="24"/>
        </w:rPr>
        <w:t>de l</w:t>
      </w:r>
      <w:r w:rsidR="00CD4983" w:rsidRPr="00CD4983">
        <w:rPr>
          <w:rFonts w:ascii="Palatino Linotype" w:eastAsia="Palatino Linotype" w:hAnsi="Palatino Linotype" w:cs="Palatino Linotype"/>
          <w:sz w:val="24"/>
          <w:szCs w:val="24"/>
        </w:rPr>
        <w:t xml:space="preserve">a información curricular </w:t>
      </w:r>
      <w:r w:rsidR="00CD4983">
        <w:rPr>
          <w:rFonts w:ascii="Palatino Linotype" w:eastAsia="Palatino Linotype" w:hAnsi="Palatino Linotype" w:cs="Palatino Linotype"/>
          <w:sz w:val="24"/>
          <w:szCs w:val="24"/>
        </w:rPr>
        <w:t xml:space="preserve">y </w:t>
      </w:r>
      <w:r w:rsidRPr="00CD4983">
        <w:rPr>
          <w:rFonts w:ascii="Palatino Linotype" w:eastAsia="Palatino Linotype" w:hAnsi="Palatino Linotype" w:cs="Palatino Linotype"/>
          <w:sz w:val="24"/>
          <w:szCs w:val="24"/>
        </w:rPr>
        <w:t xml:space="preserve">de </w:t>
      </w:r>
      <w:r w:rsidR="00CD4983" w:rsidRPr="00CD4983">
        <w:rPr>
          <w:rFonts w:ascii="Palatino Linotype" w:eastAsia="Palatino Linotype" w:hAnsi="Palatino Linotype" w:cs="Palatino Linotype"/>
          <w:sz w:val="24"/>
          <w:szCs w:val="24"/>
        </w:rPr>
        <w:t>los</w:t>
      </w:r>
      <w:r w:rsidR="00CD4983">
        <w:rPr>
          <w:rFonts w:ascii="Palatino Linotype" w:eastAsia="Palatino Linotype" w:hAnsi="Palatino Linotype" w:cs="Palatino Linotype"/>
          <w:sz w:val="24"/>
          <w:szCs w:val="24"/>
        </w:rPr>
        <w:t xml:space="preserve"> documentos </w:t>
      </w:r>
      <w:r w:rsidR="00CD4983" w:rsidRPr="00CD4983">
        <w:rPr>
          <w:rFonts w:ascii="Palatino Linotype" w:eastAsia="Palatino Linotype" w:hAnsi="Palatino Linotype" w:cs="Palatino Linotype"/>
          <w:sz w:val="24"/>
          <w:szCs w:val="24"/>
        </w:rPr>
        <w:t>que acrediten la preparación académica y experiencia laboral</w:t>
      </w:r>
      <w:r>
        <w:rPr>
          <w:rFonts w:ascii="Palatino Linotype" w:eastAsia="Palatino Linotype" w:hAnsi="Palatino Linotype" w:cs="Palatino Linotype"/>
          <w:color w:val="000000"/>
          <w:sz w:val="24"/>
          <w:szCs w:val="24"/>
        </w:rPr>
        <w:t xml:space="preserve"> en virtud de que, para la emisora del voto en el presente caso, los documentos ordenados de manera particular, </w:t>
      </w:r>
      <w:r>
        <w:rPr>
          <w:rFonts w:ascii="Palatino Linotype" w:eastAsia="Palatino Linotype" w:hAnsi="Palatino Linotype" w:cs="Palatino Linotype"/>
          <w:b/>
          <w:color w:val="000000"/>
          <w:sz w:val="24"/>
          <w:szCs w:val="24"/>
        </w:rPr>
        <w:t xml:space="preserve">no son requisitos necesarios respecto del presidente municipal, pues al tratarse de cargos públicos designado por elección popular, no se requiere acreditar determinado grado de estudios e información curricular, por lo tanto, </w:t>
      </w:r>
      <w:r>
        <w:rPr>
          <w:rFonts w:ascii="Palatino Linotype" w:eastAsia="Palatino Linotype" w:hAnsi="Palatino Linotype" w:cs="Palatino Linotype"/>
          <w:b/>
          <w:color w:val="000000"/>
          <w:sz w:val="24"/>
          <w:szCs w:val="24"/>
        </w:rPr>
        <w:lastRenderedPageBreak/>
        <w:t>en el caso de los Ayuntamient</w:t>
      </w:r>
      <w:r>
        <w:rPr>
          <w:rFonts w:ascii="Palatino Linotype" w:eastAsia="Palatino Linotype" w:hAnsi="Palatino Linotype" w:cs="Palatino Linotype"/>
          <w:b/>
          <w:color w:val="000000"/>
          <w:sz w:val="24"/>
          <w:szCs w:val="24"/>
        </w:rPr>
        <w:t>os, no hay manera de dar satisfacción a la información específica requerida.</w:t>
      </w:r>
    </w:p>
    <w:p w:rsidR="00100523" w:rsidRDefault="00100523">
      <w:pPr>
        <w:spacing w:after="0" w:line="360" w:lineRule="auto"/>
        <w:jc w:val="both"/>
        <w:rPr>
          <w:rFonts w:ascii="Palatino Linotype" w:eastAsia="Palatino Linotype" w:hAnsi="Palatino Linotype" w:cs="Palatino Linotype"/>
          <w:color w:val="000000"/>
          <w:sz w:val="24"/>
          <w:szCs w:val="24"/>
        </w:rPr>
      </w:pPr>
    </w:p>
    <w:p w:rsidR="00100523" w:rsidRDefault="00922859">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Determinado lo anterior, es pertinente mencionar que en estas circunstancias no resulta exigible al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requerirle la entrega de información que no obra en sus archiv</w:t>
      </w:r>
      <w:r>
        <w:rPr>
          <w:rFonts w:ascii="Palatino Linotype" w:eastAsia="Palatino Linotype" w:hAnsi="Palatino Linotype" w:cs="Palatino Linotype"/>
          <w:color w:val="000000"/>
          <w:sz w:val="24"/>
          <w:szCs w:val="24"/>
        </w:rPr>
        <w:t>os, toda vez que de conformidad con los artículos 117, 118, 119 y 120 de la Constitución Política del Estado Libre y Soberano de México, los integrantes del ayuntamiento, propietarios o suplentes deberán cumplir una serie de requisitos, de las cuales no se</w:t>
      </w:r>
      <w:r>
        <w:rPr>
          <w:rFonts w:ascii="Palatino Linotype" w:eastAsia="Palatino Linotype" w:hAnsi="Palatino Linotype" w:cs="Palatino Linotype"/>
          <w:color w:val="000000"/>
          <w:sz w:val="24"/>
          <w:szCs w:val="24"/>
        </w:rPr>
        <w:t xml:space="preserve"> advierte la obligación de entregar los </w:t>
      </w:r>
      <w:r>
        <w:rPr>
          <w:rFonts w:ascii="Palatino Linotype" w:eastAsia="Palatino Linotype" w:hAnsi="Palatino Linotype" w:cs="Palatino Linotype"/>
          <w:sz w:val="24"/>
          <w:szCs w:val="24"/>
        </w:rPr>
        <w:t>Títulos y cédulas que acrediten sus grados académicos</w:t>
      </w:r>
      <w:r>
        <w:rPr>
          <w:rFonts w:ascii="Palatino Linotype" w:eastAsia="Palatino Linotype" w:hAnsi="Palatino Linotype" w:cs="Palatino Linotype"/>
          <w:color w:val="000000"/>
          <w:sz w:val="24"/>
          <w:szCs w:val="24"/>
        </w:rPr>
        <w:t>, sirve de ilustración la siguiente cita: </w:t>
      </w:r>
    </w:p>
    <w:p w:rsidR="00100523" w:rsidRDefault="00100523">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sz w:val="24"/>
          <w:szCs w:val="24"/>
        </w:rPr>
      </w:pPr>
    </w:p>
    <w:p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“Artículo 117.- </w:t>
      </w:r>
      <w:r>
        <w:rPr>
          <w:rFonts w:ascii="Palatino Linotype" w:eastAsia="Palatino Linotype" w:hAnsi="Palatino Linotype" w:cs="Palatino Linotype"/>
          <w:b/>
          <w:i/>
        </w:rPr>
        <w:t>Los ayuntamientos se integrarán con una jefa o jefe de asamblea que se denominará Presidenta o Presidente Municipal, respectivamente</w:t>
      </w:r>
      <w:r>
        <w:rPr>
          <w:rFonts w:ascii="Palatino Linotype" w:eastAsia="Palatino Linotype" w:hAnsi="Palatino Linotype" w:cs="Palatino Linotype"/>
          <w:i/>
        </w:rPr>
        <w:t xml:space="preserve">, </w:t>
      </w:r>
      <w:r>
        <w:rPr>
          <w:rFonts w:ascii="Palatino Linotype" w:eastAsia="Palatino Linotype" w:hAnsi="Palatino Linotype" w:cs="Palatino Linotype"/>
          <w:b/>
          <w:i/>
        </w:rPr>
        <w:t>y con varios miembros más llamados Síndicas o Síndicos y Regidoras o Regidores</w:t>
      </w:r>
      <w:r>
        <w:rPr>
          <w:rFonts w:ascii="Palatino Linotype" w:eastAsia="Palatino Linotype" w:hAnsi="Palatino Linotype" w:cs="Palatino Linotype"/>
          <w:i/>
        </w:rPr>
        <w:t>, cuyo número se determinará en razón direct</w:t>
      </w:r>
      <w:r>
        <w:rPr>
          <w:rFonts w:ascii="Palatino Linotype" w:eastAsia="Palatino Linotype" w:hAnsi="Palatino Linotype" w:cs="Palatino Linotype"/>
          <w:i/>
        </w:rPr>
        <w:t xml:space="preserve">a de la población del municipio que representen, como lo disponga la Ley Orgánica respectiva. Los ayuntamientos de los municipios podrán tener síndicas o síndicos y regidoras o regidores electos según el principio de representación proporcional de acuerdo </w:t>
      </w:r>
      <w:r>
        <w:rPr>
          <w:rFonts w:ascii="Palatino Linotype" w:eastAsia="Palatino Linotype" w:hAnsi="Palatino Linotype" w:cs="Palatino Linotype"/>
          <w:i/>
        </w:rPr>
        <w:t>a los requisitos y reglas de asignación que establezca la ley de la materia, respetando el principio de paridad de género.</w:t>
      </w:r>
    </w:p>
    <w:p w:rsidR="00100523" w:rsidRDefault="00100523">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p>
    <w:p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b/>
          <w:i/>
        </w:rPr>
      </w:pPr>
      <w:r>
        <w:rPr>
          <w:rFonts w:ascii="Palatino Linotype" w:eastAsia="Palatino Linotype" w:hAnsi="Palatino Linotype" w:cs="Palatino Linotype"/>
          <w:b/>
          <w:i/>
        </w:rPr>
        <w:t>CAPÍTULO SEGUNDO</w:t>
      </w:r>
    </w:p>
    <w:p w:rsidR="00100523" w:rsidRDefault="00100523">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b/>
          <w:i/>
        </w:rPr>
      </w:pPr>
    </w:p>
    <w:p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b/>
          <w:i/>
        </w:rPr>
      </w:pPr>
      <w:r>
        <w:rPr>
          <w:rFonts w:ascii="Palatino Linotype" w:eastAsia="Palatino Linotype" w:hAnsi="Palatino Linotype" w:cs="Palatino Linotype"/>
          <w:b/>
          <w:i/>
        </w:rPr>
        <w:t>De los Miembros de los Ayuntamientos</w:t>
      </w:r>
    </w:p>
    <w:p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Artículo 118.- </w:t>
      </w:r>
      <w:r>
        <w:rPr>
          <w:rFonts w:ascii="Palatino Linotype" w:eastAsia="Palatino Linotype" w:hAnsi="Palatino Linotype" w:cs="Palatino Linotype"/>
          <w:b/>
          <w:i/>
        </w:rPr>
        <w:t>Los miembros de un ayuntamiento serán designados en una sola e</w:t>
      </w:r>
      <w:r>
        <w:rPr>
          <w:rFonts w:ascii="Palatino Linotype" w:eastAsia="Palatino Linotype" w:hAnsi="Palatino Linotype" w:cs="Palatino Linotype"/>
          <w:b/>
          <w:i/>
        </w:rPr>
        <w:t xml:space="preserve">lección. </w:t>
      </w:r>
      <w:r>
        <w:rPr>
          <w:rFonts w:ascii="Palatino Linotype" w:eastAsia="Palatino Linotype" w:hAnsi="Palatino Linotype" w:cs="Palatino Linotype"/>
          <w:i/>
        </w:rPr>
        <w:t xml:space="preserve">Se distinguirán las regidoras y los regidores por el orden numérico y los </w:t>
      </w:r>
      <w:r>
        <w:rPr>
          <w:rFonts w:ascii="Palatino Linotype" w:eastAsia="Palatino Linotype" w:hAnsi="Palatino Linotype" w:cs="Palatino Linotype"/>
          <w:i/>
        </w:rPr>
        <w:lastRenderedPageBreak/>
        <w:t>síndicos cuando sean dos, en la misma forma. Las regidoras y los regidores de mayoría relativa y de representación proporcional tendrán los mismos derechos y obligaciones, c</w:t>
      </w:r>
      <w:r>
        <w:rPr>
          <w:rFonts w:ascii="Palatino Linotype" w:eastAsia="Palatino Linotype" w:hAnsi="Palatino Linotype" w:cs="Palatino Linotype"/>
          <w:i/>
        </w:rPr>
        <w:t>onforme a la ley de la materia. Las síndicas electas y los síndicos electos por ambas fórmulas tendrán las atribuciones que les señale la ley. Por cada miembro del ayuntamiento que se elija como propietario se elegirá un suplente.</w:t>
      </w:r>
    </w:p>
    <w:p w:rsidR="00100523" w:rsidRDefault="00100523">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p>
    <w:p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 xml:space="preserve">Artículo 119.- Para ser </w:t>
      </w:r>
      <w:r>
        <w:rPr>
          <w:rFonts w:ascii="Palatino Linotype" w:eastAsia="Palatino Linotype" w:hAnsi="Palatino Linotype" w:cs="Palatino Linotype"/>
          <w:b/>
          <w:i/>
        </w:rPr>
        <w:t>miembro propietario o suplente de un ayuntamiento se requiere:</w:t>
      </w:r>
    </w:p>
    <w:p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b/>
          <w:i/>
        </w:rPr>
      </w:pPr>
      <w:r>
        <w:rPr>
          <w:rFonts w:ascii="Palatino Linotype" w:eastAsia="Palatino Linotype" w:hAnsi="Palatino Linotype" w:cs="Palatino Linotype"/>
          <w:b/>
          <w:i/>
        </w:rPr>
        <w:t>I.</w:t>
      </w:r>
      <w:r>
        <w:rPr>
          <w:rFonts w:ascii="Palatino Linotype" w:eastAsia="Palatino Linotype" w:hAnsi="Palatino Linotype" w:cs="Palatino Linotype"/>
          <w:b/>
          <w:i/>
        </w:rPr>
        <w:tab/>
        <w:t xml:space="preserve"> Ser mexicana o mexicano, ciudadana o ciudadano del Estado, en pleno ejercicio de sus derechos;</w:t>
      </w:r>
    </w:p>
    <w:p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II. Ser mexiquense con residencia efectiva en el municipio no menor a un año o vecino del mism</w:t>
      </w:r>
      <w:r>
        <w:rPr>
          <w:rFonts w:ascii="Palatino Linotype" w:eastAsia="Palatino Linotype" w:hAnsi="Palatino Linotype" w:cs="Palatino Linotype"/>
          <w:b/>
          <w:i/>
        </w:rPr>
        <w:t>o, con residencia efectiva en su territorio no menor a tres años, anteriores al día de la elección; y</w:t>
      </w:r>
    </w:p>
    <w:p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III. Ser de reconocida probidad y buena fama pública.</w:t>
      </w:r>
    </w:p>
    <w:p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IV. No estar condenada o condenado por sentencia ejecutoriada por el delito de violencia política co</w:t>
      </w:r>
      <w:r>
        <w:rPr>
          <w:rFonts w:ascii="Palatino Linotype" w:eastAsia="Palatino Linotype" w:hAnsi="Palatino Linotype" w:cs="Palatino Linotype"/>
          <w:b/>
          <w:i/>
        </w:rPr>
        <w:t>ntra las mujeres en razón de género;</w:t>
      </w:r>
    </w:p>
    <w:p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V. No estar inscrito en el Registro de Deudores Alimentarios Morosos en el Estado, ni en otra entidad federativa, y</w:t>
      </w:r>
    </w:p>
    <w:p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VI. </w:t>
      </w:r>
      <w:r>
        <w:rPr>
          <w:rFonts w:ascii="Palatino Linotype" w:eastAsia="Palatino Linotype" w:hAnsi="Palatino Linotype" w:cs="Palatino Linotype"/>
          <w:b/>
          <w:i/>
        </w:rPr>
        <w:t>No estar condenada o condenado por sentencia ejecutoriada por delitos de violencia familiar, contra</w:t>
      </w:r>
      <w:r>
        <w:rPr>
          <w:rFonts w:ascii="Palatino Linotype" w:eastAsia="Palatino Linotype" w:hAnsi="Palatino Linotype" w:cs="Palatino Linotype"/>
          <w:b/>
          <w:i/>
        </w:rPr>
        <w:t xml:space="preserve"> la libertad sexual o de violencia de género.</w:t>
      </w:r>
    </w:p>
    <w:p w:rsidR="00100523" w:rsidRDefault="00100523">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p>
    <w:p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Artículo 120.- No pueden ser miembros propietarios o suplentes de los ayuntamientos:</w:t>
      </w:r>
    </w:p>
    <w:p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I. Las diputadas o diputados y senadoras o senadores al Congreso de la Unión que se encuentren en ejercicio de su cargo;</w:t>
      </w:r>
    </w:p>
    <w:p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II.</w:t>
      </w:r>
      <w:r>
        <w:rPr>
          <w:rFonts w:ascii="Palatino Linotype" w:eastAsia="Palatino Linotype" w:hAnsi="Palatino Linotype" w:cs="Palatino Linotype"/>
          <w:i/>
        </w:rPr>
        <w:t xml:space="preserve"> Las diputadas o diputados a la Legislatura del Estado que se encuentren en ejercicio de su cargo;</w:t>
      </w:r>
    </w:p>
    <w:p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III. Las juezas o jueces, magistradas o magistrados o consejeras o consejeros de la Judicatura del Poder Judicial del Estado o de la Federación;</w:t>
      </w:r>
    </w:p>
    <w:p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IV. Las y los servidores públicos federales, estatales o municipales en ejercicio de autoridad;</w:t>
      </w:r>
    </w:p>
    <w:p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V. Las y los militares y los miembros de las fuerzas de seguridad pública del Estado y los de los municipios que ejerzan mando en el territorio de la elección; </w:t>
      </w:r>
      <w:r>
        <w:rPr>
          <w:rFonts w:ascii="Palatino Linotype" w:eastAsia="Palatino Linotype" w:hAnsi="Palatino Linotype" w:cs="Palatino Linotype"/>
          <w:i/>
        </w:rPr>
        <w:t>y</w:t>
      </w:r>
    </w:p>
    <w:p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VI. Las y los ministros de cualquier culto, a menos que se separen formal, material y definitivamente de su ministerio, cuando menos cinco años antes del día de la elección.</w:t>
      </w:r>
    </w:p>
    <w:p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Las y los servidores públicos a que se refieren las fracciones de la I a la V serán exceptuados del impedimento si se separan de sus respectivos cargos por lo menos, veinticuatro horas antes del inicio de las campañas, conforme al calendario electoral vige</w:t>
      </w:r>
      <w:r>
        <w:rPr>
          <w:rFonts w:ascii="Palatino Linotype" w:eastAsia="Palatino Linotype" w:hAnsi="Palatino Linotype" w:cs="Palatino Linotype"/>
          <w:i/>
        </w:rPr>
        <w:t>nte</w:t>
      </w:r>
      <w:r>
        <w:rPr>
          <w:rFonts w:ascii="Palatino Linotype" w:eastAsia="Palatino Linotype" w:hAnsi="Palatino Linotype" w:cs="Palatino Linotype"/>
          <w:b/>
          <w:i/>
        </w:rPr>
        <w:t xml:space="preserve">.” </w:t>
      </w:r>
    </w:p>
    <w:p w:rsidR="00100523" w:rsidRDefault="00100523">
      <w:pPr>
        <w:pBdr>
          <w:top w:val="nil"/>
          <w:left w:val="nil"/>
          <w:bottom w:val="nil"/>
          <w:right w:val="nil"/>
          <w:between w:val="nil"/>
        </w:pBdr>
        <w:spacing w:after="0" w:line="360" w:lineRule="auto"/>
        <w:ind w:left="864" w:right="864"/>
        <w:jc w:val="both"/>
        <w:rPr>
          <w:rFonts w:ascii="Palatino Linotype" w:eastAsia="Palatino Linotype" w:hAnsi="Palatino Linotype" w:cs="Palatino Linotype"/>
          <w:i/>
          <w:color w:val="404040"/>
        </w:rPr>
      </w:pPr>
    </w:p>
    <w:p w:rsidR="00100523" w:rsidRDefault="00922859">
      <w:pPr>
        <w:spacing w:after="0" w:line="360" w:lineRule="auto"/>
        <w:ind w:left="102"/>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igual forma, el Código Electoral del Estado de México señala:</w:t>
      </w:r>
    </w:p>
    <w:p w:rsidR="00100523" w:rsidRDefault="00100523">
      <w:pPr>
        <w:pBdr>
          <w:top w:val="nil"/>
          <w:left w:val="nil"/>
          <w:bottom w:val="nil"/>
          <w:right w:val="nil"/>
          <w:between w:val="nil"/>
        </w:pBdr>
        <w:spacing w:after="0" w:line="240" w:lineRule="auto"/>
        <w:ind w:left="864" w:right="864"/>
        <w:jc w:val="both"/>
        <w:rPr>
          <w:rFonts w:ascii="Palatino Linotype" w:eastAsia="Palatino Linotype" w:hAnsi="Palatino Linotype" w:cs="Palatino Linotype"/>
          <w:i/>
          <w:color w:val="404040"/>
          <w:sz w:val="24"/>
          <w:szCs w:val="24"/>
        </w:rPr>
      </w:pPr>
    </w:p>
    <w:p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“Artículo 16. Las ciudadanas y los ciudadanos que reúnan los requisitos que establece el artículo 68 de la Constitución Local son elegibles para el cargo de Gobernadora o Gobernador </w:t>
      </w:r>
      <w:r>
        <w:rPr>
          <w:rFonts w:ascii="Palatino Linotype" w:eastAsia="Palatino Linotype" w:hAnsi="Palatino Linotype" w:cs="Palatino Linotype"/>
          <w:i/>
        </w:rPr>
        <w:t>del Estado de México. Las ciudadanas y los ciudadanos que reúnan los requisitos que establece el artículo 40 de la Constitución Local son elegibles para los cargos de diputadas y diputados a la Legislatura del Estado. Las ciudadanas y los ciudadanos que re</w:t>
      </w:r>
      <w:r>
        <w:rPr>
          <w:rFonts w:ascii="Palatino Linotype" w:eastAsia="Palatino Linotype" w:hAnsi="Palatino Linotype" w:cs="Palatino Linotype"/>
          <w:i/>
        </w:rPr>
        <w:t>únan los requisitos establecidos en el artículo 119 y que no se encuentren en cualquiera de los supuestos previstos en el artículo 120 de la Constitución Local, son elegibles para ser miembros de los ayuntamientos. Las ciudadanas y los ciudadanos que se ha</w:t>
      </w:r>
      <w:r>
        <w:rPr>
          <w:rFonts w:ascii="Palatino Linotype" w:eastAsia="Palatino Linotype" w:hAnsi="Palatino Linotype" w:cs="Palatino Linotype"/>
          <w:i/>
        </w:rPr>
        <w:t>yan separado de un cargo público para contender en un proceso electoral, podrán reincorporase al mismo, una vez que concluya la jornada electoral.</w:t>
      </w:r>
    </w:p>
    <w:p w:rsidR="00100523" w:rsidRDefault="00100523">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p>
    <w:p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Artículo 17. Además de los requisitos señalados en el artículo anterior, las ciudadanas y los ciudadanos que aspiren a las candidaturas a Gobernadora o Gobernador, Diputada, Diputado o integrante de los ayuntamientos deberán satisfacer lo siguiente:</w:t>
      </w:r>
    </w:p>
    <w:p w:rsidR="00100523" w:rsidRDefault="00100523">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p>
    <w:p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I. Es</w:t>
      </w:r>
      <w:r>
        <w:rPr>
          <w:rFonts w:ascii="Palatino Linotype" w:eastAsia="Palatino Linotype" w:hAnsi="Palatino Linotype" w:cs="Palatino Linotype"/>
          <w:i/>
        </w:rPr>
        <w:t>tar inscrito en el padrón electoral correspondiente, la lista nominal y contar con credencial para votar vigente.</w:t>
      </w:r>
    </w:p>
    <w:p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II. No ser magistrada o magistrado del Tribunal Superior de Justicia o del Tribunal Electoral o funcionario de este, salvo que se separe del c</w:t>
      </w:r>
      <w:r>
        <w:rPr>
          <w:rFonts w:ascii="Palatino Linotype" w:eastAsia="Palatino Linotype" w:hAnsi="Palatino Linotype" w:cs="Palatino Linotype"/>
          <w:i/>
        </w:rPr>
        <w:t>argo dos años antes de la fecha de inicio del proceso electoral de que se trate.</w:t>
      </w:r>
    </w:p>
    <w:p w:rsidR="00100523" w:rsidRDefault="00100523">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p>
    <w:p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III. No formar parte del servicio profesional electoral del Instituto, salvo que se separe del cargo dos años antes de la fecha de inicio del proceso electoral de que se trat</w:t>
      </w:r>
      <w:r>
        <w:rPr>
          <w:rFonts w:ascii="Palatino Linotype" w:eastAsia="Palatino Linotype" w:hAnsi="Palatino Linotype" w:cs="Palatino Linotype"/>
          <w:i/>
        </w:rPr>
        <w:t>e.</w:t>
      </w:r>
    </w:p>
    <w:p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IV.  No ser consejera o consejero electoral en el consejo general, del Instituto ni secretario ejecutivo, salvo que se separe del cargo dos años antes de la fecha de inicio del proceso electoral de que se trate.</w:t>
      </w:r>
    </w:p>
    <w:p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V. No  ser  consejera  o  consejero  elec</w:t>
      </w:r>
      <w:r>
        <w:rPr>
          <w:rFonts w:ascii="Palatino Linotype" w:eastAsia="Palatino Linotype" w:hAnsi="Palatino Linotype" w:cs="Palatino Linotype"/>
          <w:i/>
        </w:rPr>
        <w:t>toral  en  los  consejos  distritales  o municipales del Instituto ni director del mismo, salvo que se haya separado del cargo dos años antes de la fecha de inicio del proceso electoral de que se trate.</w:t>
      </w:r>
    </w:p>
    <w:p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VI. No ser integrante del órgano de dirección de los </w:t>
      </w:r>
      <w:r>
        <w:rPr>
          <w:rFonts w:ascii="Palatino Linotype" w:eastAsia="Palatino Linotype" w:hAnsi="Palatino Linotype" w:cs="Palatino Linotype"/>
          <w:i/>
        </w:rPr>
        <w:t>organismos a los que la Constitución Local otorga autonomía, salvo que se separe del cargo dos años antes de la fecha de inicio del proceso electoral de que se trate;</w:t>
      </w:r>
    </w:p>
    <w:p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VII. No ser secretaria, secretario o subsecretaria o subsecretario de Estado, ni titular </w:t>
      </w:r>
      <w:r>
        <w:rPr>
          <w:rFonts w:ascii="Palatino Linotype" w:eastAsia="Palatino Linotype" w:hAnsi="Palatino Linotype" w:cs="Palatino Linotype"/>
          <w:i/>
        </w:rPr>
        <w:t xml:space="preserve"> de los organismos públicos  desconcentrados o  descentralizados  de la administración pública estatal, a menos que se separen noventa días antes de la elección, y</w:t>
      </w:r>
    </w:p>
    <w:p w:rsidR="00100523" w:rsidRDefault="00922859">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VIII. Ser electo o designado candidata o candidato, de conformidad con los procedimientos de</w:t>
      </w:r>
      <w:r>
        <w:rPr>
          <w:rFonts w:ascii="Palatino Linotype" w:eastAsia="Palatino Linotype" w:hAnsi="Palatino Linotype" w:cs="Palatino Linotype"/>
          <w:i/>
        </w:rPr>
        <w:t>mocráticos internos del partido político que lo postule”</w:t>
      </w:r>
    </w:p>
    <w:p w:rsidR="00100523" w:rsidRDefault="00100523">
      <w:pPr>
        <w:pBdr>
          <w:top w:val="nil"/>
          <w:left w:val="nil"/>
          <w:bottom w:val="nil"/>
          <w:right w:val="nil"/>
          <w:between w:val="nil"/>
        </w:pBdr>
        <w:spacing w:after="0" w:line="240" w:lineRule="auto"/>
        <w:ind w:left="864" w:right="864"/>
        <w:jc w:val="both"/>
        <w:rPr>
          <w:rFonts w:ascii="Palatino Linotype" w:eastAsia="Palatino Linotype" w:hAnsi="Palatino Linotype" w:cs="Palatino Linotype"/>
          <w:i/>
          <w:color w:val="404040"/>
          <w:sz w:val="24"/>
          <w:szCs w:val="24"/>
        </w:rPr>
      </w:pPr>
    </w:p>
    <w:p w:rsidR="00100523" w:rsidRDefault="00922859">
      <w:pPr>
        <w:spacing w:after="0" w:line="360" w:lineRule="auto"/>
        <w:ind w:right="7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relación a estos preceptos, la Ley Orgánica Municipal en su artículo 18, fracción I dispone que una vez rendidos los informes de los ayuntamientos en funciones, previa convocatoria a sesión solem</w:t>
      </w:r>
      <w:r>
        <w:rPr>
          <w:rFonts w:ascii="Palatino Linotype" w:eastAsia="Palatino Linotype" w:hAnsi="Palatino Linotype" w:cs="Palatino Linotype"/>
          <w:sz w:val="24"/>
          <w:szCs w:val="24"/>
        </w:rPr>
        <w:t xml:space="preserve">ne, </w:t>
      </w:r>
      <w:r>
        <w:rPr>
          <w:rFonts w:ascii="Palatino Linotype" w:eastAsia="Palatino Linotype" w:hAnsi="Palatino Linotype" w:cs="Palatino Linotype"/>
          <w:b/>
          <w:sz w:val="24"/>
          <w:szCs w:val="24"/>
        </w:rPr>
        <w:t>deberán presentarse los ciudadanos que en términos de ley resultaron electos para rendir protesta y ocupar los cargos de presidente municipal</w:t>
      </w:r>
      <w:r>
        <w:rPr>
          <w:rFonts w:ascii="Palatino Linotype" w:eastAsia="Palatino Linotype" w:hAnsi="Palatino Linotype" w:cs="Palatino Linotype"/>
          <w:sz w:val="24"/>
          <w:szCs w:val="24"/>
        </w:rPr>
        <w:t xml:space="preserve">, sin que dicho plazo exceda el  mes de diciembre del último año de la gestión del ayuntamiento saliente, </w:t>
      </w:r>
      <w:r>
        <w:rPr>
          <w:rFonts w:ascii="Palatino Linotype" w:eastAsia="Palatino Linotype" w:hAnsi="Palatino Linotype" w:cs="Palatino Linotype"/>
          <w:b/>
          <w:sz w:val="24"/>
          <w:szCs w:val="24"/>
        </w:rPr>
        <w:t>dicha</w:t>
      </w:r>
      <w:r>
        <w:rPr>
          <w:rFonts w:ascii="Palatino Linotype" w:eastAsia="Palatino Linotype" w:hAnsi="Palatino Linotype" w:cs="Palatino Linotype"/>
          <w:b/>
          <w:sz w:val="24"/>
          <w:szCs w:val="24"/>
        </w:rPr>
        <w:t xml:space="preserve"> reunión tendrá por objeto que los miembros del ayuntamiento entrante, rindan la protesta en términos de lo </w:t>
      </w:r>
      <w:r>
        <w:rPr>
          <w:rFonts w:ascii="Palatino Linotype" w:eastAsia="Palatino Linotype" w:hAnsi="Palatino Linotype" w:cs="Palatino Linotype"/>
          <w:b/>
          <w:sz w:val="24"/>
          <w:szCs w:val="24"/>
        </w:rPr>
        <w:lastRenderedPageBreak/>
        <w:t>dispuesto por el artículo 144 de la Constitución Política del Estado Libre y Soberano de México</w:t>
      </w:r>
      <w:r>
        <w:rPr>
          <w:rFonts w:ascii="Palatino Linotype" w:eastAsia="Palatino Linotype" w:hAnsi="Palatino Linotype" w:cs="Palatino Linotype"/>
          <w:sz w:val="24"/>
          <w:szCs w:val="24"/>
        </w:rPr>
        <w:t>, por lo que el Presidente Municipal electo para el p</w:t>
      </w:r>
      <w:r>
        <w:rPr>
          <w:rFonts w:ascii="Palatino Linotype" w:eastAsia="Palatino Linotype" w:hAnsi="Palatino Linotype" w:cs="Palatino Linotype"/>
          <w:sz w:val="24"/>
          <w:szCs w:val="24"/>
        </w:rPr>
        <w:t>eríodo siguiente lo hará ante el representante designado por el Ejecutivo del Estado y a su vez, hará de inmediato lo propio con los demás miembros del ayuntamiento electo.</w:t>
      </w:r>
    </w:p>
    <w:p w:rsidR="00100523" w:rsidRDefault="00922859">
      <w:pPr>
        <w:spacing w:after="0" w:line="360" w:lineRule="auto"/>
        <w:ind w:right="6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tal suerte que la Constitución y la Ley Orgánica Municipal considera a las y los Regidores como servidores que ostentan un cargo de elección popular, por lo tanto, se reitera que </w:t>
      </w:r>
      <w:r>
        <w:rPr>
          <w:rFonts w:ascii="Palatino Linotype" w:eastAsia="Palatino Linotype" w:hAnsi="Palatino Linotype" w:cs="Palatino Linotype"/>
          <w:b/>
          <w:sz w:val="24"/>
          <w:szCs w:val="24"/>
        </w:rPr>
        <w:t>no se encuentran constreñidos a entregar los documentos solicitados por la</w:t>
      </w:r>
      <w:r>
        <w:rPr>
          <w:rFonts w:ascii="Palatino Linotype" w:eastAsia="Palatino Linotype" w:hAnsi="Palatino Linotype" w:cs="Palatino Linotype"/>
          <w:b/>
          <w:sz w:val="24"/>
          <w:szCs w:val="24"/>
        </w:rPr>
        <w:t xml:space="preserve"> PARTE RECURRENTE, </w:t>
      </w:r>
      <w:r>
        <w:rPr>
          <w:rFonts w:ascii="Palatino Linotype" w:eastAsia="Palatino Linotype" w:hAnsi="Palatino Linotype" w:cs="Palatino Linotype"/>
          <w:sz w:val="24"/>
          <w:szCs w:val="24"/>
        </w:rPr>
        <w:t>toda vez que por la naturaleza de su designación, estaríamos ante una excepción</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por lo que no es posible entregar la información solicitada, en virtud de que como se analizó en líneas anteriores, no se encuentran obligados a generarla, </w:t>
      </w:r>
      <w:r>
        <w:rPr>
          <w:rFonts w:ascii="Palatino Linotype" w:eastAsia="Palatino Linotype" w:hAnsi="Palatino Linotype" w:cs="Palatino Linotype"/>
          <w:sz w:val="24"/>
          <w:szCs w:val="24"/>
        </w:rPr>
        <w:t>poseerla o administrarla.</w:t>
      </w:r>
    </w:p>
    <w:p w:rsidR="00100523" w:rsidRDefault="00100523">
      <w:pPr>
        <w:spacing w:after="0" w:line="360" w:lineRule="auto"/>
        <w:ind w:right="69"/>
        <w:jc w:val="both"/>
        <w:rPr>
          <w:rFonts w:ascii="Palatino Linotype" w:eastAsia="Palatino Linotype" w:hAnsi="Palatino Linotype" w:cs="Palatino Linotype"/>
          <w:sz w:val="24"/>
          <w:szCs w:val="24"/>
        </w:rPr>
      </w:pPr>
      <w:bookmarkStart w:id="3" w:name="_heading=h.2et92p0" w:colFirst="0" w:colLast="0"/>
      <w:bookmarkEnd w:id="3"/>
    </w:p>
    <w:p w:rsidR="00100523" w:rsidRDefault="00922859">
      <w:pPr>
        <w:widowControl w:val="0"/>
        <w:tabs>
          <w:tab w:val="left" w:pos="1701"/>
          <w:tab w:val="left" w:pos="1843"/>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este contexto,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no está obligado a generar documento ad hoc para satisfacer el derecho de acceso a la información, situación que contravendría al contenido sustantivo del derecho de acceso a la información pú</w:t>
      </w:r>
      <w:r>
        <w:rPr>
          <w:rFonts w:ascii="Palatino Linotype" w:eastAsia="Palatino Linotype" w:hAnsi="Palatino Linotype" w:cs="Palatino Linotype"/>
          <w:sz w:val="24"/>
          <w:szCs w:val="24"/>
        </w:rPr>
        <w:t xml:space="preserve">blica, sirve de sustento a este argumento el Criterio 03-17, emitido por el Instituto Nacional de Transparencia, Acceso a la Información y Protección de Datos Personales (INAI), que versa de la siguiente manera: </w:t>
      </w:r>
    </w:p>
    <w:p w:rsidR="00100523" w:rsidRDefault="00100523">
      <w:pPr>
        <w:pBdr>
          <w:top w:val="nil"/>
          <w:left w:val="nil"/>
          <w:bottom w:val="nil"/>
          <w:right w:val="nil"/>
          <w:between w:val="nil"/>
        </w:pBdr>
        <w:spacing w:after="0" w:line="240" w:lineRule="auto"/>
        <w:ind w:left="864" w:right="864"/>
        <w:jc w:val="both"/>
        <w:rPr>
          <w:rFonts w:ascii="Palatino Linotype" w:eastAsia="Palatino Linotype" w:hAnsi="Palatino Linotype" w:cs="Palatino Linotype"/>
          <w:i/>
          <w:color w:val="404040"/>
          <w:sz w:val="24"/>
          <w:szCs w:val="24"/>
        </w:rPr>
      </w:pPr>
    </w:p>
    <w:p w:rsidR="00100523" w:rsidRDefault="00922859">
      <w:pPr>
        <w:pBdr>
          <w:top w:val="nil"/>
          <w:left w:val="nil"/>
          <w:bottom w:val="nil"/>
          <w:right w:val="nil"/>
          <w:between w:val="nil"/>
        </w:pBdr>
        <w:spacing w:after="0" w:line="24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 xml:space="preserve">No existe obligación de elaborar documentos ad hoc para atender las solicitudes de acceso a la información. </w:t>
      </w:r>
      <w:r>
        <w:rPr>
          <w:rFonts w:ascii="Palatino Linotype" w:eastAsia="Palatino Linotype" w:hAnsi="Palatino Linotype" w:cs="Palatino Linotype"/>
          <w:i/>
        </w:rPr>
        <w:t>Los artículos 129 de la Ley General de Transparencia y Acceso a la Información Pública y 130, párrafo cuarto, de la Ley Federal de Transparencia y A</w:t>
      </w:r>
      <w:r>
        <w:rPr>
          <w:rFonts w:ascii="Palatino Linotype" w:eastAsia="Palatino Linotype" w:hAnsi="Palatino Linotype" w:cs="Palatino Linotype"/>
          <w:i/>
        </w:rPr>
        <w:t xml:space="preserve">cceso a la Información Pública, señalan que los sujetos obligados deberán otorgar acceso a los documentos que se encuentren en sus archivos o que estén </w:t>
      </w:r>
      <w:r>
        <w:rPr>
          <w:rFonts w:ascii="Palatino Linotype" w:eastAsia="Palatino Linotype" w:hAnsi="Palatino Linotype" w:cs="Palatino Linotype"/>
          <w:i/>
        </w:rPr>
        <w:lastRenderedPageBreak/>
        <w:t>obligados a documentar, de acuerdo con sus facultades, competencias o funciones, conforme a las caracter</w:t>
      </w:r>
      <w:r>
        <w:rPr>
          <w:rFonts w:ascii="Palatino Linotype" w:eastAsia="Palatino Linotype" w:hAnsi="Palatino Linotype" w:cs="Palatino Linotype"/>
          <w:i/>
        </w:rPr>
        <w:t>ísticas físicas de la información o del lugar donde se encuentre. Por lo anterior, los sujetos obligados deben garantizar el derecho de acceso a la información del particular, proporcionando la información con la que cuentan en el formato en que la misma o</w:t>
      </w:r>
      <w:r>
        <w:rPr>
          <w:rFonts w:ascii="Palatino Linotype" w:eastAsia="Palatino Linotype" w:hAnsi="Palatino Linotype" w:cs="Palatino Linotype"/>
          <w:i/>
        </w:rPr>
        <w:t>bre en sus archivos; sin necesidad de elaborar documentos ad hoc para atender las solicitudes de información.</w:t>
      </w:r>
    </w:p>
    <w:p w:rsidR="00100523" w:rsidRDefault="00100523">
      <w:pPr>
        <w:pBdr>
          <w:top w:val="nil"/>
          <w:left w:val="nil"/>
          <w:bottom w:val="nil"/>
          <w:right w:val="nil"/>
          <w:between w:val="nil"/>
        </w:pBdr>
        <w:spacing w:after="0" w:line="240" w:lineRule="auto"/>
        <w:ind w:left="567" w:right="616"/>
        <w:jc w:val="both"/>
        <w:rPr>
          <w:rFonts w:ascii="Palatino Linotype" w:eastAsia="Palatino Linotype" w:hAnsi="Palatino Linotype" w:cs="Palatino Linotype"/>
          <w:sz w:val="24"/>
          <w:szCs w:val="24"/>
        </w:rPr>
      </w:pPr>
    </w:p>
    <w:p w:rsidR="00CD4983" w:rsidRDefault="00922859">
      <w:pPr>
        <w:spacing w:after="240" w:line="360" w:lineRule="auto"/>
        <w:jc w:val="both"/>
        <w:rPr>
          <w:rFonts w:ascii="Palatino Linotype" w:eastAsia="Palatino Linotype" w:hAnsi="Palatino Linotype" w:cs="Palatino Linotype"/>
          <w:sz w:val="24"/>
          <w:szCs w:val="24"/>
        </w:rPr>
      </w:pPr>
      <w:bookmarkStart w:id="4" w:name="_heading=h.1fob9te" w:colFirst="0" w:colLast="0"/>
      <w:bookmarkEnd w:id="4"/>
      <w:r>
        <w:rPr>
          <w:rFonts w:ascii="Palatino Linotype" w:eastAsia="Palatino Linotype" w:hAnsi="Palatino Linotype" w:cs="Palatino Linotype"/>
          <w:sz w:val="24"/>
          <w:szCs w:val="24"/>
        </w:rPr>
        <w:t xml:space="preserve">Es por las razones antes expuestas que la suscrita considera que no </w:t>
      </w:r>
      <w:r>
        <w:rPr>
          <w:rFonts w:ascii="Palatino Linotype" w:eastAsia="Palatino Linotype" w:hAnsi="Palatino Linotype" w:cs="Palatino Linotype"/>
          <w:b/>
          <w:sz w:val="24"/>
          <w:szCs w:val="24"/>
          <w:u w:val="single"/>
        </w:rPr>
        <w:t xml:space="preserve">se debió ordenar los </w:t>
      </w:r>
      <w:r w:rsidR="00CD4983">
        <w:rPr>
          <w:rFonts w:ascii="Palatino Linotype" w:eastAsia="Palatino Linotype" w:hAnsi="Palatino Linotype" w:cs="Palatino Linotype"/>
          <w:b/>
          <w:sz w:val="24"/>
          <w:szCs w:val="24"/>
          <w:u w:val="single"/>
        </w:rPr>
        <w:t xml:space="preserve">el documento en el que conste la información curricular y </w:t>
      </w:r>
      <w:r>
        <w:rPr>
          <w:rFonts w:ascii="Palatino Linotype" w:eastAsia="Palatino Linotype" w:hAnsi="Palatino Linotype" w:cs="Palatino Linotype"/>
          <w:b/>
          <w:sz w:val="24"/>
          <w:szCs w:val="24"/>
          <w:u w:val="single"/>
        </w:rPr>
        <w:t>documentos que acrediten la preparación académica y expe</w:t>
      </w:r>
      <w:r>
        <w:rPr>
          <w:rFonts w:ascii="Palatino Linotype" w:eastAsia="Palatino Linotype" w:hAnsi="Palatino Linotype" w:cs="Palatino Linotype"/>
          <w:b/>
          <w:sz w:val="24"/>
          <w:szCs w:val="24"/>
          <w:u w:val="single"/>
        </w:rPr>
        <w:t>riencia laboral de la Presidenta Municipal</w:t>
      </w:r>
      <w:r>
        <w:rPr>
          <w:rFonts w:ascii="Palatino Linotype" w:eastAsia="Palatino Linotype" w:hAnsi="Palatino Linotype" w:cs="Palatino Linotype"/>
          <w:sz w:val="24"/>
          <w:szCs w:val="24"/>
        </w:rPr>
        <w:t>, pues no existe fuente obligacional para ordenar dicha documentación.</w:t>
      </w:r>
    </w:p>
    <w:p w:rsidR="00CD4983" w:rsidRDefault="00CD4983">
      <w:pPr>
        <w:spacing w:after="240" w:line="360" w:lineRule="auto"/>
        <w:jc w:val="both"/>
        <w:rPr>
          <w:rFonts w:ascii="Palatino Linotype" w:eastAsia="Palatino Linotype" w:hAnsi="Palatino Linotype" w:cs="Palatino Linotype"/>
          <w:sz w:val="24"/>
          <w:szCs w:val="24"/>
        </w:rPr>
      </w:pPr>
      <w:bookmarkStart w:id="5" w:name="_GoBack"/>
      <w:bookmarkEnd w:id="5"/>
    </w:p>
    <w:p w:rsidR="00100523" w:rsidRDefault="00922859">
      <w:pPr>
        <w:numPr>
          <w:ilvl w:val="0"/>
          <w:numId w:val="1"/>
        </w:numPr>
        <w:pBdr>
          <w:top w:val="nil"/>
          <w:left w:val="nil"/>
          <w:bottom w:val="nil"/>
          <w:right w:val="nil"/>
          <w:between w:val="nil"/>
        </w:pBdr>
        <w:spacing w:before="240" w:after="240" w:line="360" w:lineRule="auto"/>
        <w:jc w:val="both"/>
        <w:rPr>
          <w:rFonts w:ascii="Palatino Linotype" w:eastAsia="Palatino Linotype" w:hAnsi="Palatino Linotype" w:cs="Palatino Linotype"/>
          <w:b/>
          <w:color w:val="000000"/>
          <w:sz w:val="24"/>
          <w:szCs w:val="24"/>
        </w:rPr>
      </w:pPr>
      <w:bookmarkStart w:id="6" w:name="_heading=h.qm75ttwndlsp" w:colFirst="0" w:colLast="0"/>
      <w:bookmarkEnd w:id="6"/>
      <w:r>
        <w:rPr>
          <w:rFonts w:ascii="Palatino Linotype" w:eastAsia="Palatino Linotype" w:hAnsi="Palatino Linotype" w:cs="Palatino Linotype"/>
          <w:b/>
          <w:color w:val="000000"/>
          <w:sz w:val="24"/>
          <w:szCs w:val="24"/>
        </w:rPr>
        <w:t xml:space="preserve">Fotografía. </w:t>
      </w:r>
    </w:p>
    <w:p w:rsidR="00100523" w:rsidRDefault="00922859">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No</w:t>
      </w:r>
      <w:r>
        <w:rPr>
          <w:rFonts w:ascii="Palatino Linotype" w:eastAsia="Palatino Linotype" w:hAnsi="Palatino Linotype" w:cs="Palatino Linotype"/>
          <w:sz w:val="24"/>
          <w:szCs w:val="24"/>
        </w:rPr>
        <w:t xml:space="preserve"> coincido con los argumentos señalados en la resolución, particularmente por considerar que la fotografía de los servidores públicos sin importar el nivel o cargo y en cualquier documento que se encuentre vinculado con el cumplimiento de disposiciones lega</w:t>
      </w:r>
      <w:r>
        <w:rPr>
          <w:rFonts w:ascii="Palatino Linotype" w:eastAsia="Palatino Linotype" w:hAnsi="Palatino Linotype" w:cs="Palatino Linotype"/>
          <w:sz w:val="24"/>
          <w:szCs w:val="24"/>
        </w:rPr>
        <w:t xml:space="preserve">les debe ser pública. </w:t>
      </w:r>
    </w:p>
    <w:p w:rsidR="00100523" w:rsidRDefault="00100523">
      <w:pPr>
        <w:spacing w:after="0" w:line="360" w:lineRule="auto"/>
        <w:jc w:val="both"/>
        <w:rPr>
          <w:rFonts w:ascii="Palatino Linotype" w:eastAsia="Palatino Linotype" w:hAnsi="Palatino Linotype" w:cs="Palatino Linotype"/>
          <w:sz w:val="24"/>
          <w:szCs w:val="24"/>
        </w:rPr>
      </w:pPr>
    </w:p>
    <w:p w:rsidR="00100523" w:rsidRDefault="00922859">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Al respecto la Ponencia que resolvió, consideró lo siguiente:</w:t>
      </w:r>
    </w:p>
    <w:p w:rsidR="00100523" w:rsidRDefault="00100523">
      <w:pPr>
        <w:spacing w:after="0" w:line="360" w:lineRule="auto"/>
        <w:jc w:val="both"/>
        <w:rPr>
          <w:rFonts w:ascii="Palatino Linotype" w:eastAsia="Palatino Linotype" w:hAnsi="Palatino Linotype" w:cs="Palatino Linotype"/>
          <w:sz w:val="24"/>
          <w:szCs w:val="24"/>
        </w:rPr>
      </w:pPr>
    </w:p>
    <w:p w:rsidR="00100523" w:rsidRDefault="00922859">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“…Por lo que hace a las fotografías, es preciso señalar que estas dan cuenta de las características físicas de los servidores públicos; por lo que, no debe perderse de vista que la imagen personal es la apariencia física, la cual puede ser captada en </w:t>
      </w:r>
      <w:r>
        <w:rPr>
          <w:rFonts w:ascii="Palatino Linotype" w:eastAsia="Palatino Linotype" w:hAnsi="Palatino Linotype" w:cs="Palatino Linotype"/>
          <w:i/>
        </w:rPr>
        <w:lastRenderedPageBreak/>
        <w:t>dibuj</w:t>
      </w:r>
      <w:r>
        <w:rPr>
          <w:rFonts w:ascii="Palatino Linotype" w:eastAsia="Palatino Linotype" w:hAnsi="Palatino Linotype" w:cs="Palatino Linotype"/>
          <w:i/>
        </w:rPr>
        <w:t>o, pintura, escultura, fotografía, y video; la imagen así captada puede ser reproducida, publicada y divulgada por diversos medios, desde volantes impresos de la forma más rudimentaria, hasta filmaciones y fotografías transmitidas por televisión cine, vide</w:t>
      </w:r>
      <w:r>
        <w:rPr>
          <w:rFonts w:ascii="Palatino Linotype" w:eastAsia="Palatino Linotype" w:hAnsi="Palatino Linotype" w:cs="Palatino Linotype"/>
          <w:i/>
        </w:rPr>
        <w:t>o, correo electrónico o Internet.</w:t>
      </w:r>
    </w:p>
    <w:p w:rsidR="00100523" w:rsidRDefault="00100523">
      <w:pPr>
        <w:spacing w:after="0" w:line="276" w:lineRule="auto"/>
        <w:ind w:left="851" w:right="902"/>
        <w:jc w:val="both"/>
        <w:rPr>
          <w:rFonts w:ascii="Palatino Linotype" w:eastAsia="Palatino Linotype" w:hAnsi="Palatino Linotype" w:cs="Palatino Linotype"/>
          <w:i/>
        </w:rPr>
      </w:pPr>
    </w:p>
    <w:p w:rsidR="00100523" w:rsidRDefault="00922859">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Así, dichos datos constituyen la reproducción fiel de las características físicas de una persona en un momento determinado, por lo que representan un instrumento de identificación, proyección exterior y factor imprescindi</w:t>
      </w:r>
      <w:r>
        <w:rPr>
          <w:rFonts w:ascii="Palatino Linotype" w:eastAsia="Palatino Linotype" w:hAnsi="Palatino Linotype" w:cs="Palatino Linotype"/>
          <w:i/>
        </w:rPr>
        <w:t>ble para su propio reconocimiento como sujeto individual; lo que en el presente caso, acreditaría e identificaría a una persona como servidor público, por lo que es posible advertir que existe cierto interés público, cuando la fotografía obra en documentos</w:t>
      </w:r>
      <w:r>
        <w:rPr>
          <w:rFonts w:ascii="Palatino Linotype" w:eastAsia="Palatino Linotype" w:hAnsi="Palatino Linotype" w:cs="Palatino Linotype"/>
          <w:i/>
        </w:rPr>
        <w:t xml:space="preserve"> de servidores públicos vinculados con el cumplimiento de disposiciones legales.</w:t>
      </w:r>
    </w:p>
    <w:p w:rsidR="00100523" w:rsidRDefault="00100523">
      <w:pPr>
        <w:spacing w:after="0" w:line="276" w:lineRule="auto"/>
        <w:ind w:left="851" w:right="902"/>
        <w:jc w:val="both"/>
        <w:rPr>
          <w:rFonts w:ascii="Palatino Linotype" w:eastAsia="Palatino Linotype" w:hAnsi="Palatino Linotype" w:cs="Palatino Linotype"/>
          <w:i/>
        </w:rPr>
      </w:pPr>
    </w:p>
    <w:p w:rsidR="00100523" w:rsidRDefault="00922859">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Además, existen documentos que contienen la fotografía con los cuales se permite identificar que una persona que se acredita como trabajador gubernamental, realmente tiene el</w:t>
      </w:r>
      <w:r>
        <w:rPr>
          <w:rFonts w:ascii="Palatino Linotype" w:eastAsia="Palatino Linotype" w:hAnsi="Palatino Linotype" w:cs="Palatino Linotype"/>
          <w:i/>
        </w:rPr>
        <w:t xml:space="preserve"> cargo con el que se ostenta, otros documentos con los cuales se rinde cuentas a la ciudadanía, por ejemplo cuando se cubre el perfil de puesto; además cuando se brinda servicios a la ciudadanía, es de relevancia conocer e identificar a todos sus trabajado</w:t>
      </w:r>
      <w:r>
        <w:rPr>
          <w:rFonts w:ascii="Palatino Linotype" w:eastAsia="Palatino Linotype" w:hAnsi="Palatino Linotype" w:cs="Palatino Linotype"/>
          <w:i/>
        </w:rPr>
        <w:t>res, no importa el nivel o rango (con excepción del personal operativo en materia de seguridad, respecto del cual el Pleno de este Instituto ya se ha pronunciado en el sentido de que la información que los haga identificados o identificables debe clasifica</w:t>
      </w:r>
      <w:r>
        <w:rPr>
          <w:rFonts w:ascii="Palatino Linotype" w:eastAsia="Palatino Linotype" w:hAnsi="Palatino Linotype" w:cs="Palatino Linotype"/>
          <w:i/>
        </w:rPr>
        <w:t>rse como reservada).</w:t>
      </w:r>
    </w:p>
    <w:p w:rsidR="00100523" w:rsidRDefault="00100523">
      <w:pPr>
        <w:spacing w:after="0" w:line="276" w:lineRule="auto"/>
        <w:ind w:left="851" w:right="902"/>
        <w:jc w:val="both"/>
        <w:rPr>
          <w:rFonts w:ascii="Palatino Linotype" w:eastAsia="Palatino Linotype" w:hAnsi="Palatino Linotype" w:cs="Palatino Linotype"/>
          <w:i/>
        </w:rPr>
      </w:pPr>
    </w:p>
    <w:p w:rsidR="00100523" w:rsidRDefault="00922859">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En este sentido, resultan aplicables por analogía, los Criterios SO/015/2017 y SO/001/2013 del Instituto Nacional de Transparencia y Acceso a la Información Pública y Protección de Datos Personales, en los cuales se esgrimen argumento</w:t>
      </w:r>
      <w:r>
        <w:rPr>
          <w:rFonts w:ascii="Palatino Linotype" w:eastAsia="Palatino Linotype" w:hAnsi="Palatino Linotype" w:cs="Palatino Linotype"/>
          <w:i/>
        </w:rPr>
        <w:t>s, que, si bien no refieren de manera específica a fotografías de servidores públicos, sí establecen un criterio para que este dato personal pueda ser considerado como público, cuando se pretende acreditar que una persona es servidor público.</w:t>
      </w:r>
    </w:p>
    <w:p w:rsidR="00100523" w:rsidRDefault="00100523">
      <w:pPr>
        <w:spacing w:after="0" w:line="276" w:lineRule="auto"/>
        <w:ind w:left="851" w:right="902"/>
        <w:jc w:val="both"/>
        <w:rPr>
          <w:rFonts w:ascii="Palatino Linotype" w:eastAsia="Palatino Linotype" w:hAnsi="Palatino Linotype" w:cs="Palatino Linotype"/>
          <w:i/>
        </w:rPr>
      </w:pPr>
    </w:p>
    <w:p w:rsidR="00100523" w:rsidRDefault="00922859">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Debe tenerse presente que el actuar de los servidores públicos incide de manera específica en los derechos de los particulares, pues el acto de un servidor público en ejercicio de sus funciones, de manera directa genera derechos y obligaciones pues se cons</w:t>
      </w:r>
      <w:r>
        <w:rPr>
          <w:rFonts w:ascii="Palatino Linotype" w:eastAsia="Palatino Linotype" w:hAnsi="Palatino Linotype" w:cs="Palatino Linotype"/>
          <w:i/>
        </w:rPr>
        <w:t>idera un acto administrativo o acto de autoridad, por lo que es primordial, que estos trabajadores se identifiquen ante la ciudadanía, por lo que otorgar acceso a los documentos que obran en los archivos de los sujetos obligados y que además están directam</w:t>
      </w:r>
      <w:r>
        <w:rPr>
          <w:rFonts w:ascii="Palatino Linotype" w:eastAsia="Palatino Linotype" w:hAnsi="Palatino Linotype" w:cs="Palatino Linotype"/>
          <w:i/>
        </w:rPr>
        <w:t xml:space="preserve">ente relacionados con el cumplimiento de disposiciones normativas o el ejercicio de funciones revisten un interés público. </w:t>
      </w:r>
    </w:p>
    <w:p w:rsidR="00100523" w:rsidRDefault="00100523">
      <w:pPr>
        <w:spacing w:after="0" w:line="276" w:lineRule="auto"/>
        <w:ind w:left="851" w:right="902"/>
        <w:jc w:val="both"/>
        <w:rPr>
          <w:rFonts w:ascii="Palatino Linotype" w:eastAsia="Palatino Linotype" w:hAnsi="Palatino Linotype" w:cs="Palatino Linotype"/>
          <w:i/>
        </w:rPr>
      </w:pPr>
    </w:p>
    <w:p w:rsidR="00100523" w:rsidRDefault="00922859">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Por lo anterior, cuando las fotografías de los servidores públicos obran en documentos que dan cuenta del cumplimiento de funciones</w:t>
      </w:r>
      <w:r>
        <w:rPr>
          <w:rFonts w:ascii="Palatino Linotype" w:eastAsia="Palatino Linotype" w:hAnsi="Palatino Linotype" w:cs="Palatino Linotype"/>
          <w:i/>
        </w:rPr>
        <w:t>, requisitos legales o los acredita como servidores públicos, deben ser consideradas un dato personal, que no puede ser clasificado como confidencial, pues en este caso, es superado por el interés público de conocer si en realidad, la persona que se ostent</w:t>
      </w:r>
      <w:r>
        <w:rPr>
          <w:rFonts w:ascii="Palatino Linotype" w:eastAsia="Palatino Linotype" w:hAnsi="Palatino Linotype" w:cs="Palatino Linotype"/>
          <w:i/>
        </w:rPr>
        <w:t xml:space="preserve">a en carácter de servidor público, se encuentra en ese encargo, si realiza las funciones o si cumple con los requisitos legales; sin que se considere como factor diferenciador para determinar la publicidad o clasificación el cargo o nivel jerárquico en el </w:t>
      </w:r>
      <w:r>
        <w:rPr>
          <w:rFonts w:ascii="Palatino Linotype" w:eastAsia="Palatino Linotype" w:hAnsi="Palatino Linotype" w:cs="Palatino Linotype"/>
          <w:i/>
        </w:rPr>
        <w:t>que se desempeñe el servidor público.</w:t>
      </w:r>
    </w:p>
    <w:p w:rsidR="00100523" w:rsidRDefault="00100523">
      <w:pPr>
        <w:spacing w:after="0" w:line="276" w:lineRule="auto"/>
        <w:ind w:left="851" w:right="902"/>
        <w:jc w:val="both"/>
        <w:rPr>
          <w:rFonts w:ascii="Palatino Linotype" w:eastAsia="Palatino Linotype" w:hAnsi="Palatino Linotype" w:cs="Palatino Linotype"/>
          <w:i/>
        </w:rPr>
      </w:pPr>
    </w:p>
    <w:p w:rsidR="00100523" w:rsidRDefault="00922859">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De acuerdo con el argumento planteado, la determinación de esta resolución deja sin efectos el criterio adoptado anteriormente por el Pleno de este Instituto, con número 03/2019, en el que solo se consideraban como pú</w:t>
      </w:r>
      <w:r>
        <w:rPr>
          <w:rFonts w:ascii="Palatino Linotype" w:eastAsia="Palatino Linotype" w:hAnsi="Palatino Linotype" w:cs="Palatino Linotype"/>
          <w:i/>
        </w:rPr>
        <w:t>blicas las fotografías de mandos medios y/o superiores.</w:t>
      </w:r>
    </w:p>
    <w:p w:rsidR="00100523" w:rsidRDefault="00100523">
      <w:pPr>
        <w:spacing w:after="0" w:line="276" w:lineRule="auto"/>
        <w:ind w:left="851" w:right="902"/>
        <w:jc w:val="both"/>
        <w:rPr>
          <w:rFonts w:ascii="Palatino Linotype" w:eastAsia="Palatino Linotype" w:hAnsi="Palatino Linotype" w:cs="Palatino Linotype"/>
          <w:i/>
        </w:rPr>
      </w:pPr>
    </w:p>
    <w:p w:rsidR="00100523" w:rsidRDefault="00922859">
      <w:pPr>
        <w:spacing w:after="0" w:line="276" w:lineRule="auto"/>
        <w:ind w:left="851" w:right="902"/>
        <w:jc w:val="both"/>
        <w:rPr>
          <w:rFonts w:ascii="Palatino Linotype" w:eastAsia="Palatino Linotype" w:hAnsi="Palatino Linotype" w:cs="Palatino Linotype"/>
          <w:b/>
          <w:i/>
        </w:rPr>
      </w:pPr>
      <w:r>
        <w:rPr>
          <w:rFonts w:ascii="Palatino Linotype" w:eastAsia="Palatino Linotype" w:hAnsi="Palatino Linotype" w:cs="Palatino Linotype"/>
          <w:b/>
          <w:i/>
          <w:u w:val="single"/>
        </w:rPr>
        <w:t>Conforme a lo anterior, las fotografías de servidores públicos sin importar el nivel o rango guardan la naturaleza de públicas (con excepción del personal operativo en materia de seguridad) y no proc</w:t>
      </w:r>
      <w:r>
        <w:rPr>
          <w:rFonts w:ascii="Palatino Linotype" w:eastAsia="Palatino Linotype" w:hAnsi="Palatino Linotype" w:cs="Palatino Linotype"/>
          <w:b/>
          <w:i/>
          <w:u w:val="single"/>
        </w:rPr>
        <w:t>ede su clasificación, en términos del artículo 143, fracción I,</w:t>
      </w:r>
      <w:r>
        <w:rPr>
          <w:rFonts w:ascii="Palatino Linotype" w:eastAsia="Palatino Linotype" w:hAnsi="Palatino Linotype" w:cs="Palatino Linotype"/>
          <w:i/>
        </w:rPr>
        <w:t xml:space="preserve"> de la Ley de Transparencia y Acceso a la Información Pública del Estado de México y Municipios, por lo que en las versiones públicas que se ordenen, no podrá clasificarse esa información</w:t>
      </w:r>
      <w:r>
        <w:rPr>
          <w:rFonts w:ascii="Palatino Linotype" w:eastAsia="Palatino Linotype" w:hAnsi="Palatino Linotype" w:cs="Palatino Linotype"/>
          <w:b/>
          <w:i/>
        </w:rPr>
        <w:t>.”</w:t>
      </w:r>
    </w:p>
    <w:p w:rsidR="00100523" w:rsidRDefault="00100523">
      <w:pPr>
        <w:spacing w:after="0" w:line="360" w:lineRule="auto"/>
        <w:ind w:right="902"/>
        <w:jc w:val="both"/>
        <w:rPr>
          <w:rFonts w:ascii="Palatino Linotype" w:eastAsia="Palatino Linotype" w:hAnsi="Palatino Linotype" w:cs="Palatino Linotype"/>
          <w:i/>
        </w:rPr>
      </w:pPr>
    </w:p>
    <w:p w:rsidR="00100523" w:rsidRDefault="00922859">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w:t>
      </w:r>
      <w:r>
        <w:rPr>
          <w:rFonts w:ascii="Palatino Linotype" w:eastAsia="Palatino Linotype" w:hAnsi="Palatino Linotype" w:cs="Palatino Linotype"/>
          <w:sz w:val="24"/>
          <w:szCs w:val="24"/>
        </w:rPr>
        <w:t xml:space="preserve">n embargo, desde la  óptica de la que suscribe la fotografía de estos, constituye la reproducción fiel de las características físicas de una persona en un momento determinado, además, de que representa un instrumento de identificación, proyección exterior </w:t>
      </w:r>
      <w:r>
        <w:rPr>
          <w:rFonts w:ascii="Palatino Linotype" w:eastAsia="Palatino Linotype" w:hAnsi="Palatino Linotype" w:cs="Palatino Linotype"/>
          <w:sz w:val="24"/>
          <w:szCs w:val="24"/>
        </w:rPr>
        <w:t>y factor imprescindible para su propio reconocimiento como sujeto individual; por tanto, es considerada por regla general, como un dato personal confidencial susceptible de protegerse en los documentos que lo contengan, en términos de los artículos 3, frac</w:t>
      </w:r>
      <w:r>
        <w:rPr>
          <w:rFonts w:ascii="Palatino Linotype" w:eastAsia="Palatino Linotype" w:hAnsi="Palatino Linotype" w:cs="Palatino Linotype"/>
          <w:sz w:val="24"/>
          <w:szCs w:val="24"/>
        </w:rPr>
        <w:t>ción IX, 143, fracción I de la Ley de Transparencia y Acceso a la Información Pública del Estado de México y Municipios, en relación con el 4, fracción XI de La Ley de Protección de Datos Personales en Posesión de Sujetos Obligados del Estado de México y M</w:t>
      </w:r>
      <w:r>
        <w:rPr>
          <w:rFonts w:ascii="Palatino Linotype" w:eastAsia="Palatino Linotype" w:hAnsi="Palatino Linotype" w:cs="Palatino Linotype"/>
          <w:sz w:val="24"/>
          <w:szCs w:val="24"/>
        </w:rPr>
        <w:t>unicipios.</w:t>
      </w:r>
    </w:p>
    <w:p w:rsidR="00100523" w:rsidRDefault="00100523">
      <w:pPr>
        <w:spacing w:after="0" w:line="360" w:lineRule="auto"/>
        <w:jc w:val="both"/>
        <w:rPr>
          <w:rFonts w:ascii="Palatino Linotype" w:eastAsia="Palatino Linotype" w:hAnsi="Palatino Linotype" w:cs="Palatino Linotype"/>
          <w:sz w:val="24"/>
          <w:szCs w:val="24"/>
        </w:rPr>
      </w:pPr>
    </w:p>
    <w:p w:rsidR="00100523" w:rsidRDefault="00922859">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No obstante, en materia de administración pública los servidores públicos desempeñan funciones que por su naturaleza pueden ser de mayor interés público, es decir, aquellas que tienen un impacto directo en la vida de las personas y en el funcio</w:t>
      </w:r>
      <w:r>
        <w:rPr>
          <w:rFonts w:ascii="Palatino Linotype" w:eastAsia="Palatino Linotype" w:hAnsi="Palatino Linotype" w:cs="Palatino Linotype"/>
          <w:sz w:val="24"/>
          <w:szCs w:val="24"/>
        </w:rPr>
        <w:t>namiento de la sociedad o de las instituciones públicas; ejemplo de ello pueden ser las funciones que implican una posición de poder que deba estar sujeta al escrutinio y rendición de cuentas ante la sociedad, la administración de recursos públicos, la imp</w:t>
      </w:r>
      <w:r>
        <w:rPr>
          <w:rFonts w:ascii="Palatino Linotype" w:eastAsia="Palatino Linotype" w:hAnsi="Palatino Linotype" w:cs="Palatino Linotype"/>
          <w:sz w:val="24"/>
          <w:szCs w:val="24"/>
        </w:rPr>
        <w:t>lementación de políticas públicas, la prestación de servicios públicos, entre otras.</w:t>
      </w:r>
    </w:p>
    <w:p w:rsidR="00100523" w:rsidRDefault="00100523">
      <w:pPr>
        <w:spacing w:after="0" w:line="360" w:lineRule="auto"/>
        <w:jc w:val="both"/>
        <w:rPr>
          <w:rFonts w:ascii="Palatino Linotype" w:eastAsia="Palatino Linotype" w:hAnsi="Palatino Linotype" w:cs="Palatino Linotype"/>
          <w:sz w:val="24"/>
          <w:szCs w:val="24"/>
        </w:rPr>
      </w:pPr>
    </w:p>
    <w:p w:rsidR="00100523" w:rsidRDefault="00922859">
      <w:pPr>
        <w:spacing w:after="0" w:line="360" w:lineRule="auto"/>
        <w:ind w:right="14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Por lo que, dado el interés público que revisten las funciones de las y los servidores públicos que dan atención al público, así como de aquellos que cuenten con la calid</w:t>
      </w:r>
      <w:r>
        <w:rPr>
          <w:rFonts w:ascii="Palatino Linotype" w:eastAsia="Palatino Linotype" w:hAnsi="Palatino Linotype" w:cs="Palatino Linotype"/>
          <w:sz w:val="24"/>
          <w:szCs w:val="24"/>
        </w:rPr>
        <w:t>ad de mando medio o superior, la suscrita considera que se debe dejar visible su fotografía, pues hacer pública la imagen de éstos puede contribuir a la transparencia y la rendición de cuentas, al  permitir a la ciudadanía identifique a los funcionarios qu</w:t>
      </w:r>
      <w:r>
        <w:rPr>
          <w:rFonts w:ascii="Palatino Linotype" w:eastAsia="Palatino Linotype" w:hAnsi="Palatino Linotype" w:cs="Palatino Linotype"/>
          <w:sz w:val="24"/>
          <w:szCs w:val="24"/>
        </w:rPr>
        <w:t>e toman decisiones importantes en su nombre.</w:t>
      </w:r>
    </w:p>
    <w:p w:rsidR="00100523" w:rsidRDefault="00100523">
      <w:pPr>
        <w:spacing w:after="0" w:line="360" w:lineRule="auto"/>
        <w:ind w:right="140"/>
        <w:jc w:val="both"/>
        <w:rPr>
          <w:rFonts w:ascii="Palatino Linotype" w:eastAsia="Palatino Linotype" w:hAnsi="Palatino Linotype" w:cs="Palatino Linotype"/>
          <w:sz w:val="24"/>
          <w:szCs w:val="24"/>
        </w:rPr>
      </w:pPr>
    </w:p>
    <w:p w:rsidR="00100523" w:rsidRDefault="00922859">
      <w:pPr>
        <w:spacing w:after="0" w:line="360" w:lineRule="auto"/>
        <w:jc w:val="both"/>
        <w:rPr>
          <w:rFonts w:ascii="Palatino Linotype" w:eastAsia="Palatino Linotype" w:hAnsi="Palatino Linotype" w:cs="Palatino Linotype"/>
          <w:sz w:val="24"/>
          <w:szCs w:val="24"/>
        </w:rPr>
      </w:pPr>
      <w:r w:rsidRPr="00CD4983">
        <w:rPr>
          <w:rFonts w:ascii="Palatino Linotype" w:eastAsia="Palatino Linotype" w:hAnsi="Palatino Linotype" w:cs="Palatino Linotype"/>
          <w:sz w:val="24"/>
          <w:szCs w:val="24"/>
        </w:rPr>
        <w:t>En el caso particular, si bien la fotografía corresponde en efecto a un mando superior com</w:t>
      </w:r>
      <w:r w:rsidR="00CD4983" w:rsidRPr="00CD4983">
        <w:rPr>
          <w:rFonts w:ascii="Palatino Linotype" w:eastAsia="Palatino Linotype" w:hAnsi="Palatino Linotype" w:cs="Palatino Linotype"/>
          <w:sz w:val="24"/>
          <w:szCs w:val="24"/>
        </w:rPr>
        <w:t>o lo es la Presidenta Municipal</w:t>
      </w:r>
      <w:r w:rsidRPr="00CD4983">
        <w:rPr>
          <w:rFonts w:ascii="Palatino Linotype" w:eastAsia="Palatino Linotype" w:hAnsi="Palatino Linotype" w:cs="Palatino Linotype"/>
          <w:sz w:val="24"/>
          <w:szCs w:val="24"/>
        </w:rPr>
        <w:t xml:space="preserve"> y</w:t>
      </w:r>
      <w:r w:rsidRPr="00CD4983">
        <w:rPr>
          <w:rFonts w:ascii="Palatino Linotype" w:eastAsia="Palatino Linotype" w:hAnsi="Palatino Linotype" w:cs="Palatino Linotype"/>
          <w:sz w:val="24"/>
          <w:szCs w:val="24"/>
        </w:rPr>
        <w:t xml:space="preserve"> por ello se comparte que se deje visible, también lo es que se argumentó dentro de la resolución que</w:t>
      </w:r>
      <w:r w:rsidRPr="00CD4983">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u w:val="single"/>
        </w:rPr>
        <w:t>las fo</w:t>
      </w:r>
      <w:r>
        <w:rPr>
          <w:rFonts w:ascii="Palatino Linotype" w:eastAsia="Palatino Linotype" w:hAnsi="Palatino Linotype" w:cs="Palatino Linotype"/>
          <w:b/>
          <w:sz w:val="24"/>
          <w:szCs w:val="24"/>
          <w:u w:val="single"/>
        </w:rPr>
        <w:t>tografías de servidores públicos, sin importar el nivel o rango, guardan la naturaleza de públicas</w:t>
      </w:r>
      <w:r>
        <w:rPr>
          <w:rFonts w:ascii="Palatino Linotype" w:eastAsia="Palatino Linotype" w:hAnsi="Palatino Linotype" w:cs="Palatino Linotype"/>
          <w:sz w:val="24"/>
          <w:szCs w:val="24"/>
        </w:rPr>
        <w:t xml:space="preserve">,  y que por lo tanto, </w:t>
      </w:r>
      <w:r>
        <w:rPr>
          <w:rFonts w:ascii="Palatino Linotype" w:eastAsia="Palatino Linotype" w:hAnsi="Palatino Linotype" w:cs="Palatino Linotype"/>
          <w:b/>
          <w:sz w:val="24"/>
          <w:szCs w:val="24"/>
          <w:u w:val="single"/>
        </w:rPr>
        <w:t>no procede su clasificación</w:t>
      </w:r>
      <w:r>
        <w:rPr>
          <w:rFonts w:ascii="Palatino Linotype" w:eastAsia="Palatino Linotype" w:hAnsi="Palatino Linotype" w:cs="Palatino Linotype"/>
          <w:sz w:val="24"/>
          <w:szCs w:val="24"/>
        </w:rPr>
        <w:t xml:space="preserve"> en términos del artículo 143, fracción I, de la Ley de Transparencia y Acceso a la Información Pública del </w:t>
      </w:r>
      <w:r>
        <w:rPr>
          <w:rFonts w:ascii="Palatino Linotype" w:eastAsia="Palatino Linotype" w:hAnsi="Palatino Linotype" w:cs="Palatino Linotype"/>
          <w:sz w:val="24"/>
          <w:szCs w:val="24"/>
        </w:rPr>
        <w:t xml:space="preserve">Estado de México y Municipios, sin embargo, no comparto dicho argumento, ya que desde </w:t>
      </w:r>
      <w:r w:rsidR="00CD4983">
        <w:rPr>
          <w:rFonts w:ascii="Palatino Linotype" w:eastAsia="Palatino Linotype" w:hAnsi="Palatino Linotype" w:cs="Palatino Linotype"/>
          <w:sz w:val="24"/>
          <w:szCs w:val="24"/>
        </w:rPr>
        <w:t>mi</w:t>
      </w:r>
      <w:r w:rsidRPr="00CD4983">
        <w:rPr>
          <w:rFonts w:ascii="Palatino Linotype" w:eastAsia="Palatino Linotype" w:hAnsi="Palatino Linotype" w:cs="Palatino Linotype"/>
          <w:sz w:val="24"/>
          <w:szCs w:val="24"/>
        </w:rPr>
        <w:t xml:space="preserve"> </w:t>
      </w:r>
      <w:r w:rsidRPr="00CD4983">
        <w:rPr>
          <w:rFonts w:ascii="Palatino Linotype" w:eastAsia="Palatino Linotype" w:hAnsi="Palatino Linotype" w:cs="Palatino Linotype"/>
          <w:sz w:val="24"/>
          <w:szCs w:val="24"/>
        </w:rPr>
        <w:t>punto</w:t>
      </w:r>
      <w:r>
        <w:rPr>
          <w:rFonts w:ascii="Palatino Linotype" w:eastAsia="Palatino Linotype" w:hAnsi="Palatino Linotype" w:cs="Palatino Linotype"/>
          <w:sz w:val="24"/>
          <w:szCs w:val="24"/>
        </w:rPr>
        <w:t xml:space="preserve"> de vista, la fotografía de aquellos servidores públicos que no ostentan un cargo de mando medio o superior, o no brindan atención al público, debe conservar</w:t>
      </w:r>
      <w:r>
        <w:rPr>
          <w:rFonts w:ascii="Palatino Linotype" w:eastAsia="Palatino Linotype" w:hAnsi="Palatino Linotype" w:cs="Palatino Linotype"/>
          <w:sz w:val="24"/>
          <w:szCs w:val="24"/>
        </w:rPr>
        <w:t>se como información confidencial, pues se considera importante equilibrar el interés público con el derecho a la privacidad de las y los servidores públicos y ponderar si realmente es necesario y proporcional hacer públ</w:t>
      </w:r>
      <w:r w:rsidR="00CD4983">
        <w:rPr>
          <w:rFonts w:ascii="Palatino Linotype" w:eastAsia="Palatino Linotype" w:hAnsi="Palatino Linotype" w:cs="Palatino Linotype"/>
          <w:sz w:val="24"/>
          <w:szCs w:val="24"/>
        </w:rPr>
        <w:t xml:space="preserve">ica su imagen, ya que, como ya lo he </w:t>
      </w:r>
      <w:r>
        <w:rPr>
          <w:rFonts w:ascii="Palatino Linotype" w:eastAsia="Palatino Linotype" w:hAnsi="Palatino Linotype" w:cs="Palatino Linotype"/>
          <w:sz w:val="24"/>
          <w:szCs w:val="24"/>
        </w:rPr>
        <w:t xml:space="preserve">expresado con anterioridad, en algunos casos, el interés público de hacer pública la imagen de un servidor público puede justificar la </w:t>
      </w:r>
      <w:r>
        <w:rPr>
          <w:rFonts w:ascii="Palatino Linotype" w:eastAsia="Palatino Linotype" w:hAnsi="Palatino Linotype" w:cs="Palatino Linotype"/>
          <w:sz w:val="24"/>
          <w:szCs w:val="24"/>
        </w:rPr>
        <w:lastRenderedPageBreak/>
        <w:t xml:space="preserve">limitación de su derecho a la privacidad, pero esto debe evaluarse cuidadosamente en cada caso y no ser la regla </w:t>
      </w:r>
      <w:r>
        <w:rPr>
          <w:rFonts w:ascii="Palatino Linotype" w:eastAsia="Palatino Linotype" w:hAnsi="Palatino Linotype" w:cs="Palatino Linotype"/>
          <w:sz w:val="24"/>
          <w:szCs w:val="24"/>
        </w:rPr>
        <w:t>general.</w:t>
      </w:r>
    </w:p>
    <w:p w:rsidR="00100523" w:rsidRDefault="00100523">
      <w:pPr>
        <w:spacing w:after="0" w:line="360" w:lineRule="auto"/>
        <w:jc w:val="both"/>
        <w:rPr>
          <w:rFonts w:ascii="Palatino Linotype" w:eastAsia="Palatino Linotype" w:hAnsi="Palatino Linotype" w:cs="Palatino Linotype"/>
          <w:sz w:val="24"/>
          <w:szCs w:val="24"/>
        </w:rPr>
      </w:pPr>
    </w:p>
    <w:p w:rsidR="00100523" w:rsidRDefault="00922859">
      <w:pPr>
        <w:tabs>
          <w:tab w:val="left" w:pos="4962"/>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 anterior se estima así, dado que el acceso a dichos documentos que contengan el dato materia de análisis,  aun clasificado, daría cuenta de lo que en realidad se pretende transparentar, como lo es, por ejemplo, la preparación académica, que se</w:t>
      </w:r>
      <w:r>
        <w:rPr>
          <w:rFonts w:ascii="Palatino Linotype" w:eastAsia="Palatino Linotype" w:hAnsi="Palatino Linotype" w:cs="Palatino Linotype"/>
          <w:sz w:val="24"/>
          <w:szCs w:val="24"/>
        </w:rPr>
        <w:t xml:space="preserve"> refleja en la toma de decisiones para el óptimo desempeño de las funciones para las cuales fueron designados, la idoneidad para ocupar un cargo, entre otros aspectos, pues el hecho de clasificar la fotografía no le resta validez a los documentos para los </w:t>
      </w:r>
      <w:r>
        <w:rPr>
          <w:rFonts w:ascii="Palatino Linotype" w:eastAsia="Palatino Linotype" w:hAnsi="Palatino Linotype" w:cs="Palatino Linotype"/>
          <w:sz w:val="24"/>
          <w:szCs w:val="24"/>
        </w:rPr>
        <w:t>fines señalados.</w:t>
      </w:r>
    </w:p>
    <w:p w:rsidR="00100523" w:rsidRDefault="00100523">
      <w:pPr>
        <w:tabs>
          <w:tab w:val="left" w:pos="4962"/>
        </w:tabs>
        <w:spacing w:after="0" w:line="360" w:lineRule="auto"/>
        <w:jc w:val="both"/>
        <w:rPr>
          <w:rFonts w:ascii="Palatino Linotype" w:eastAsia="Palatino Linotype" w:hAnsi="Palatino Linotype" w:cs="Palatino Linotype"/>
          <w:sz w:val="24"/>
          <w:szCs w:val="24"/>
        </w:rPr>
      </w:pPr>
    </w:p>
    <w:p w:rsidR="00100523" w:rsidRDefault="00922859">
      <w:pPr>
        <w:tabs>
          <w:tab w:val="left" w:pos="4962"/>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los documentos que dan cuenta del grado de estudios acreditan ante la ciudadanía que la o el servidor público </w:t>
      </w:r>
      <w:r>
        <w:rPr>
          <w:rFonts w:ascii="Palatino Linotype" w:eastAsia="Palatino Linotype" w:hAnsi="Palatino Linotype" w:cs="Palatino Linotype"/>
          <w:b/>
          <w:sz w:val="24"/>
          <w:szCs w:val="24"/>
          <w:u w:val="single"/>
        </w:rPr>
        <w:t>posee los conocimientos propios de su profesión</w:t>
      </w:r>
      <w:r>
        <w:rPr>
          <w:rFonts w:ascii="Palatino Linotype" w:eastAsia="Palatino Linotype" w:hAnsi="Palatino Linotype" w:cs="Palatino Linotype"/>
          <w:sz w:val="24"/>
          <w:szCs w:val="24"/>
        </w:rPr>
        <w:t xml:space="preserve">, por lo que </w:t>
      </w:r>
      <w:r>
        <w:rPr>
          <w:rFonts w:ascii="Palatino Linotype" w:eastAsia="Palatino Linotype" w:hAnsi="Palatino Linotype" w:cs="Palatino Linotype"/>
          <w:b/>
          <w:sz w:val="24"/>
          <w:szCs w:val="24"/>
          <w:u w:val="single"/>
        </w:rPr>
        <w:t>su finalidad principal no es acreditar la identidad de su titul</w:t>
      </w:r>
      <w:r>
        <w:rPr>
          <w:rFonts w:ascii="Palatino Linotype" w:eastAsia="Palatino Linotype" w:hAnsi="Palatino Linotype" w:cs="Palatino Linotype"/>
          <w:b/>
          <w:sz w:val="24"/>
          <w:szCs w:val="24"/>
          <w:u w:val="single"/>
        </w:rPr>
        <w:t>ar</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ya que para ello, se generan documentos específicos.</w:t>
      </w:r>
    </w:p>
    <w:p w:rsidR="00100523" w:rsidRDefault="00100523">
      <w:pPr>
        <w:tabs>
          <w:tab w:val="left" w:pos="4962"/>
        </w:tabs>
        <w:spacing w:after="0" w:line="360" w:lineRule="auto"/>
        <w:jc w:val="both"/>
        <w:rPr>
          <w:rFonts w:ascii="Palatino Linotype" w:eastAsia="Palatino Linotype" w:hAnsi="Palatino Linotype" w:cs="Palatino Linotype"/>
          <w:sz w:val="24"/>
          <w:szCs w:val="24"/>
        </w:rPr>
      </w:pPr>
    </w:p>
    <w:p w:rsidR="00100523" w:rsidRDefault="00922859">
      <w:pPr>
        <w:tabs>
          <w:tab w:val="left" w:pos="4962"/>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 importante señalar que los objetivos de la transparencia se alcanzan al momento de permitir el acceso a los documentos ordenados, no siendo indispensable o determinante dar a conocer la fotografí</w:t>
      </w:r>
      <w:r>
        <w:rPr>
          <w:rFonts w:ascii="Palatino Linotype" w:eastAsia="Palatino Linotype" w:hAnsi="Palatino Linotype" w:cs="Palatino Linotype"/>
          <w:sz w:val="24"/>
          <w:szCs w:val="24"/>
        </w:rPr>
        <w:t>a para dar cuenta de la idoneidad de las personas servidoras públicas para ocupar sus puestos o para acreditar que cumplieron con determinados requisitos, lo que da cuenta de ello es el propio documento.</w:t>
      </w:r>
    </w:p>
    <w:p w:rsidR="00100523" w:rsidRDefault="00100523">
      <w:pPr>
        <w:tabs>
          <w:tab w:val="left" w:pos="4962"/>
        </w:tabs>
        <w:spacing w:after="0" w:line="360" w:lineRule="auto"/>
        <w:jc w:val="both"/>
        <w:rPr>
          <w:rFonts w:ascii="Palatino Linotype" w:eastAsia="Palatino Linotype" w:hAnsi="Palatino Linotype" w:cs="Palatino Linotype"/>
          <w:sz w:val="24"/>
          <w:szCs w:val="24"/>
        </w:rPr>
      </w:pPr>
    </w:p>
    <w:p w:rsidR="00100523" w:rsidRDefault="00922859">
      <w:pPr>
        <w:tabs>
          <w:tab w:val="left" w:pos="4962"/>
        </w:tabs>
        <w:spacing w:after="0" w:line="360" w:lineRule="auto"/>
        <w:jc w:val="both"/>
        <w:rPr>
          <w:rFonts w:ascii="Palatino Linotype" w:eastAsia="Palatino Linotype" w:hAnsi="Palatino Linotype" w:cs="Palatino Linotype"/>
          <w:sz w:val="24"/>
          <w:szCs w:val="24"/>
        </w:rPr>
        <w:sectPr w:rsidR="00100523">
          <w:headerReference w:type="default" r:id="rId10"/>
          <w:footerReference w:type="default" r:id="rId11"/>
          <w:pgSz w:w="12240" w:h="15840"/>
          <w:pgMar w:top="2438" w:right="1701" w:bottom="2778" w:left="1701" w:header="1134" w:footer="1134" w:gutter="0"/>
          <w:pgNumType w:start="1"/>
          <w:cols w:space="720"/>
        </w:sectPr>
      </w:pPr>
      <w:bookmarkStart w:id="7" w:name="_heading=h.1t3h5sf" w:colFirst="0" w:colLast="0"/>
      <w:bookmarkEnd w:id="7"/>
      <w:r>
        <w:rPr>
          <w:rFonts w:ascii="Palatino Linotype" w:eastAsia="Palatino Linotype" w:hAnsi="Palatino Linotype" w:cs="Palatino Linotype"/>
          <w:sz w:val="24"/>
          <w:szCs w:val="24"/>
        </w:rPr>
        <w:t xml:space="preserve">Es por las razones antes expuestas que no se comparte este punto del estudio de la resolución dictada, y, por ende se emite el presente </w:t>
      </w:r>
      <w:r>
        <w:rPr>
          <w:rFonts w:ascii="Palatino Linotype" w:eastAsia="Palatino Linotype" w:hAnsi="Palatino Linotype" w:cs="Palatino Linotype"/>
          <w:b/>
          <w:sz w:val="24"/>
          <w:szCs w:val="24"/>
        </w:rPr>
        <w:t xml:space="preserve">Voto Particular pues se considera que </w:t>
      </w:r>
      <w:r>
        <w:rPr>
          <w:rFonts w:ascii="Palatino Linotype" w:eastAsia="Palatino Linotype" w:hAnsi="Palatino Linotype" w:cs="Palatino Linotype"/>
          <w:b/>
          <w:sz w:val="24"/>
          <w:szCs w:val="24"/>
          <w:u w:val="single"/>
        </w:rPr>
        <w:t>no se debe dejar visible la fotografía de las y los servidores públicos que NO cue</w:t>
      </w:r>
      <w:r>
        <w:rPr>
          <w:rFonts w:ascii="Palatino Linotype" w:eastAsia="Palatino Linotype" w:hAnsi="Palatino Linotype" w:cs="Palatino Linotype"/>
          <w:b/>
          <w:sz w:val="24"/>
          <w:szCs w:val="24"/>
          <w:u w:val="single"/>
        </w:rPr>
        <w:t>nten con la calidad de mando medio y/o superior,</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u w:val="single"/>
        </w:rPr>
        <w:t>o no tengan atención al público</w:t>
      </w:r>
      <w:r>
        <w:rPr>
          <w:rFonts w:ascii="Palatino Linotype" w:eastAsia="Palatino Linotype" w:hAnsi="Palatino Linotype" w:cs="Palatino Linotype"/>
          <w:sz w:val="24"/>
          <w:szCs w:val="24"/>
        </w:rPr>
        <w:t>,  por tanto, se estima que se actualiza la causal de clasificación establecida en el artículo 143, fracción I, de la Ley de la Ley de Transparencia y Acceso a la Información P</w:t>
      </w:r>
      <w:r>
        <w:rPr>
          <w:rFonts w:ascii="Palatino Linotype" w:eastAsia="Palatino Linotype" w:hAnsi="Palatino Linotype" w:cs="Palatino Linotype"/>
          <w:sz w:val="24"/>
          <w:szCs w:val="24"/>
        </w:rPr>
        <w:t>ública del Estado de México y Municipio.</w:t>
      </w:r>
    </w:p>
    <w:p w:rsidR="00100523" w:rsidRDefault="00100523">
      <w:pPr>
        <w:spacing w:after="120" w:line="276" w:lineRule="auto"/>
        <w:ind w:right="902"/>
        <w:jc w:val="both"/>
        <w:rPr>
          <w:b/>
          <w:sz w:val="24"/>
          <w:szCs w:val="24"/>
        </w:rPr>
      </w:pPr>
    </w:p>
    <w:sectPr w:rsidR="00100523">
      <w:headerReference w:type="default" r:id="rId12"/>
      <w:pgSz w:w="12240" w:h="15840"/>
      <w:pgMar w:top="2438" w:right="1701" w:bottom="2778" w:left="1701"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22859">
      <w:pPr>
        <w:spacing w:after="0" w:line="240" w:lineRule="auto"/>
      </w:pPr>
      <w:r>
        <w:separator/>
      </w:r>
    </w:p>
  </w:endnote>
  <w:endnote w:type="continuationSeparator" w:id="0">
    <w:p w:rsidR="00000000" w:rsidRDefault="0092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523" w:rsidRDefault="00922859">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Página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sidR="00CD4983">
      <w:rPr>
        <w:rFonts w:ascii="Times New Roman" w:eastAsia="Times New Roman" w:hAnsi="Times New Roman" w:cs="Times New Roman"/>
        <w:b/>
        <w:color w:val="000000"/>
        <w:sz w:val="20"/>
        <w:szCs w:val="20"/>
      </w:rPr>
      <w:fldChar w:fldCharType="separate"/>
    </w:r>
    <w:r>
      <w:rPr>
        <w:rFonts w:ascii="Times New Roman" w:eastAsia="Times New Roman" w:hAnsi="Times New Roman" w:cs="Times New Roman"/>
        <w:b/>
        <w:noProof/>
        <w:color w:val="000000"/>
        <w:sz w:val="20"/>
        <w:szCs w:val="20"/>
      </w:rPr>
      <w:t>17</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color w:val="000000"/>
        <w:sz w:val="20"/>
        <w:szCs w:val="20"/>
      </w:rPr>
      <w:t xml:space="preserve"> de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NUMPAGES</w:instrText>
    </w:r>
    <w:r w:rsidR="00CD4983">
      <w:rPr>
        <w:rFonts w:ascii="Times New Roman" w:eastAsia="Times New Roman" w:hAnsi="Times New Roman" w:cs="Times New Roman"/>
        <w:b/>
        <w:color w:val="000000"/>
        <w:sz w:val="20"/>
        <w:szCs w:val="20"/>
      </w:rPr>
      <w:fldChar w:fldCharType="separate"/>
    </w:r>
    <w:r>
      <w:rPr>
        <w:rFonts w:ascii="Times New Roman" w:eastAsia="Times New Roman" w:hAnsi="Times New Roman" w:cs="Times New Roman"/>
        <w:b/>
        <w:noProof/>
        <w:color w:val="000000"/>
        <w:sz w:val="20"/>
        <w:szCs w:val="20"/>
      </w:rPr>
      <w:t>17</w:t>
    </w:r>
    <w:r>
      <w:rPr>
        <w:rFonts w:ascii="Times New Roman" w:eastAsia="Times New Roman" w:hAnsi="Times New Roman" w:cs="Times New Roman"/>
        <w:b/>
        <w:color w:val="000000"/>
        <w:sz w:val="20"/>
        <w:szCs w:val="20"/>
      </w:rPr>
      <w:fldChar w:fldCharType="end"/>
    </w:r>
  </w:p>
  <w:p w:rsidR="00100523" w:rsidRDefault="00100523">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22859">
      <w:pPr>
        <w:spacing w:after="0" w:line="240" w:lineRule="auto"/>
      </w:pPr>
      <w:r>
        <w:separator/>
      </w:r>
    </w:p>
  </w:footnote>
  <w:footnote w:type="continuationSeparator" w:id="0">
    <w:p w:rsidR="00000000" w:rsidRDefault="009228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523" w:rsidRDefault="00922859">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r>
      <w:rPr>
        <w:noProof/>
      </w:rPr>
      <w:drawing>
        <wp:anchor distT="0" distB="0" distL="0" distR="0" simplePos="0" relativeHeight="251658240" behindDoc="1" locked="0" layoutInCell="1" hidden="0" allowOverlap="1">
          <wp:simplePos x="0" y="0"/>
          <wp:positionH relativeFrom="column">
            <wp:posOffset>-1080132</wp:posOffset>
          </wp:positionH>
          <wp:positionV relativeFrom="paragraph">
            <wp:posOffset>-747392</wp:posOffset>
          </wp:positionV>
          <wp:extent cx="7510628" cy="9883775"/>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100523" w:rsidRDefault="00922859">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RECURSO DE REVISIÓN 04616/INFOEM/IP/RR/2023</w:t>
    </w:r>
  </w:p>
  <w:p w:rsidR="00100523" w:rsidRDefault="0010052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523" w:rsidRDefault="00922859">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r>
      <w:rPr>
        <w:noProof/>
      </w:rPr>
      <w:drawing>
        <wp:anchor distT="0" distB="0" distL="0" distR="0" simplePos="0" relativeHeight="251659264" behindDoc="1" locked="0" layoutInCell="1" hidden="0" allowOverlap="1">
          <wp:simplePos x="0" y="0"/>
          <wp:positionH relativeFrom="column">
            <wp:posOffset>-1080132</wp:posOffset>
          </wp:positionH>
          <wp:positionV relativeFrom="paragraph">
            <wp:posOffset>-747392</wp:posOffset>
          </wp:positionV>
          <wp:extent cx="7510628" cy="988377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100523" w:rsidRDefault="00922859">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RECURSO DE REVISIÓN 04616/INFOEM/IP/RR/2023</w:t>
    </w:r>
  </w:p>
  <w:p w:rsidR="00100523" w:rsidRDefault="00922859">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noProof/>
      </w:rPr>
      <w:drawing>
        <wp:anchor distT="0" distB="0" distL="0" distR="0" simplePos="0" relativeHeight="251660288" behindDoc="1" locked="0" layoutInCell="1" hidden="0" allowOverlap="1">
          <wp:simplePos x="0" y="0"/>
          <wp:positionH relativeFrom="column">
            <wp:posOffset>-1066799</wp:posOffset>
          </wp:positionH>
          <wp:positionV relativeFrom="paragraph">
            <wp:posOffset>-637539</wp:posOffset>
          </wp:positionV>
          <wp:extent cx="7510628" cy="988377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53922"/>
    <w:multiLevelType w:val="multilevel"/>
    <w:tmpl w:val="FBCC64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04D4E16"/>
    <w:multiLevelType w:val="multilevel"/>
    <w:tmpl w:val="B492F2E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523"/>
    <w:rsid w:val="00100523"/>
    <w:rsid w:val="00922859"/>
    <w:rsid w:val="00CD49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73D667-E7B4-4BD9-93CC-BAFD8C745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CF6D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6D02"/>
  </w:style>
  <w:style w:type="paragraph" w:styleId="Piedepgina">
    <w:name w:val="footer"/>
    <w:basedOn w:val="Normal"/>
    <w:link w:val="PiedepginaCar"/>
    <w:uiPriority w:val="99"/>
    <w:unhideWhenUsed/>
    <w:rsid w:val="00CF6D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6D02"/>
  </w:style>
  <w:style w:type="paragraph" w:customStyle="1" w:styleId="paragraph">
    <w:name w:val="paragraph"/>
    <w:basedOn w:val="Normal"/>
    <w:rsid w:val="00CF6D0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styleId="Tablaconcuadrcula">
    <w:name w:val="Table Grid"/>
    <w:basedOn w:val="Tablanormal"/>
    <w:uiPriority w:val="39"/>
    <w:qFormat/>
    <w:rsid w:val="00CF6D02"/>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CF6D02"/>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F6D02"/>
    <w:pPr>
      <w:spacing w:after="0" w:line="240" w:lineRule="auto"/>
      <w:ind w:left="720"/>
      <w:contextualSpacing/>
      <w:jc w:val="both"/>
    </w:pPr>
    <w:rPr>
      <w:rFonts w:ascii="Palatino Linotype" w:eastAsia="Times New Roman" w:hAnsi="Palatino Linotype" w:cs="Times New Roman"/>
      <w:color w:val="000000" w:themeColor="text1"/>
      <w:szCs w:val="24"/>
      <w:lang w:eastAsia="es-ES"/>
    </w:rPr>
  </w:style>
  <w:style w:type="paragraph" w:styleId="Sangradetextonormal">
    <w:name w:val="Body Text Indent"/>
    <w:basedOn w:val="Normal"/>
    <w:link w:val="SangradetextonormalCar"/>
    <w:uiPriority w:val="99"/>
    <w:unhideWhenUsed/>
    <w:qFormat/>
    <w:rsid w:val="003B3112"/>
    <w:pPr>
      <w:spacing w:after="120" w:line="240" w:lineRule="auto"/>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basedOn w:val="Fuentedeprrafopredeter"/>
    <w:link w:val="Sangradetextonormal"/>
    <w:uiPriority w:val="99"/>
    <w:qFormat/>
    <w:rsid w:val="003B3112"/>
    <w:rPr>
      <w:rFonts w:ascii="Times New Roman" w:eastAsia="Times New Roman" w:hAnsi="Times New Roman" w:cs="Times New Roman"/>
      <w:sz w:val="20"/>
      <w:szCs w:val="20"/>
      <w:lang w:eastAsia="es-ES"/>
    </w:rPr>
  </w:style>
  <w:style w:type="paragraph" w:styleId="Sinespaciado">
    <w:name w:val="No Spacing"/>
    <w:aliases w:val="Francesa,INAI"/>
    <w:link w:val="SinespaciadoCar"/>
    <w:uiPriority w:val="1"/>
    <w:qFormat/>
    <w:rsid w:val="00FB083B"/>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Francesa Car,INAI Car"/>
    <w:basedOn w:val="Fuentedeprrafopredeter"/>
    <w:link w:val="Sinespaciado"/>
    <w:uiPriority w:val="1"/>
    <w:qFormat/>
    <w:rsid w:val="00FB083B"/>
    <w:rPr>
      <w:rFonts w:ascii="Arial" w:eastAsia="Batang" w:hAnsi="Arial" w:cs="Times New Roman"/>
      <w:sz w:val="20"/>
      <w:szCs w:val="24"/>
      <w:lang w:eastAsia="es-ES"/>
    </w:rPr>
  </w:style>
  <w:style w:type="paragraph" w:styleId="Lista4">
    <w:name w:val="List 4"/>
    <w:basedOn w:val="Normal"/>
    <w:uiPriority w:val="99"/>
    <w:unhideWhenUsed/>
    <w:qFormat/>
    <w:rsid w:val="006E36DE"/>
    <w:pPr>
      <w:spacing w:after="0" w:line="240" w:lineRule="auto"/>
      <w:ind w:left="1132" w:hanging="283"/>
      <w:contextualSpacing/>
    </w:pPr>
    <w:rPr>
      <w:rFonts w:ascii="Times New Roman" w:eastAsia="Times New Roman" w:hAnsi="Times New Roman" w:cs="Times New Roman"/>
      <w:sz w:val="20"/>
      <w:szCs w:val="20"/>
      <w:lang w:eastAsia="es-ES"/>
    </w:rPr>
  </w:style>
  <w:style w:type="character" w:styleId="Hipervnculo">
    <w:name w:val="Hyperlink"/>
    <w:basedOn w:val="Fuentedeprrafopredeter"/>
    <w:uiPriority w:val="99"/>
    <w:unhideWhenUsed/>
    <w:rsid w:val="00CD49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villavictoria.edomex.gob.mx/titul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Uzn5gxAHlEcvh0S/fV445BfI8Q==">CgMxLjAyCGguZ2pkZ3hzMgloLjN6bnlzaDcyCWguMzBqMHpsbDIJaC4yZXQ5MnAwMgloLjFmb2I5dGUyDmgucW03NXR0d25kbHNwMg5oLmhobHM4N2M4N3ZpcTIJaC4xdDNoNXNmOAByITFFd1BIUmk5SWhuLXdxQktWOV9SN3VxWktybmhaellGRg==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3620</Words>
  <Characters>19913</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INFOEM505</cp:lastModifiedBy>
  <cp:revision>3</cp:revision>
  <cp:lastPrinted>2024-02-06T15:48:00Z</cp:lastPrinted>
  <dcterms:created xsi:type="dcterms:W3CDTF">2024-02-06T15:48:00Z</dcterms:created>
  <dcterms:modified xsi:type="dcterms:W3CDTF">2024-02-06T15:49:00Z</dcterms:modified>
</cp:coreProperties>
</file>