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DD" w:rsidRDefault="001A682F">
      <w:pPr>
        <w:spacing w:before="240" w:after="24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VOTO PARTICULAR QUE FORMULA LA COMISIONADA GUADALUPE RAMÍREZ PEÑA, EN RELACIÓN CON LA RESOLUCIÓN DICTADA POR EL PLENO DEL INSTITUTO DE TRANSPARENCIA, ACCESO A LA INFORMACIÓN PÚBLICA Y PROTECCIÓN DE DATOS PERSONALES DEL ESTADO DE MÉXICO Y MUNICIPIOS, EN LA PRIMERA SESIÓN ORDINARIA CELEBRADA</w:t>
      </w:r>
      <w:r>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sz w:val="24"/>
          <w:szCs w:val="24"/>
        </w:rPr>
        <w:t>EL DIECISIETE DE ENERO DE DOS MIL VEINTICUATRO, EN EL RECURSO DE REVISIÓN 02749/INFOEM/IP/RR/2023.</w:t>
      </w:r>
    </w:p>
    <w:p w:rsidR="00A67FDD" w:rsidRDefault="001A682F">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eastAsia="Palatino Linotype" w:hAnsi="Palatino Linotype" w:cs="Palatino Linotype"/>
          <w:b/>
          <w:sz w:val="24"/>
          <w:szCs w:val="24"/>
        </w:rPr>
        <w:t>02749/INFOEM/IP/RR/2023</w:t>
      </w:r>
      <w:r>
        <w:rPr>
          <w:rFonts w:ascii="Palatino Linotype" w:eastAsia="Palatino Linotype" w:hAnsi="Palatino Linotype" w:cs="Palatino Linotype"/>
          <w:sz w:val="24"/>
          <w:szCs w:val="24"/>
        </w:rPr>
        <w:t xml:space="preserve">, presentada por la suscrita Comisionada, la cual fue engrosada conforme al criterio mayoritario del Pleno, respecto de la cual, quien suscribe,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con fundamento en los artículos </w:t>
      </w:r>
      <w:r w:rsidRPr="00505F2C">
        <w:rPr>
          <w:rFonts w:ascii="Palatino Linotype" w:eastAsia="Palatino Linotype" w:hAnsi="Palatino Linotype" w:cs="Palatino Linotype"/>
          <w:color w:val="000000" w:themeColor="text1"/>
          <w:sz w:val="24"/>
          <w:szCs w:val="24"/>
        </w:rPr>
        <w:t xml:space="preserve">14, fracción XI, del Reglamento del Instituto de Transparencia, Acceso a la Información Pública y Protección de Personales Datos del Estado de México, así como 45 y 48, fracción I, </w:t>
      </w:r>
      <w:r>
        <w:rPr>
          <w:rFonts w:ascii="Palatino Linotype" w:eastAsia="Palatino Linotype" w:hAnsi="Palatino Linotype" w:cs="Palatino Linotype"/>
          <w:sz w:val="24"/>
          <w:szCs w:val="24"/>
        </w:rPr>
        <w:t>de los Lineamientos para el funcionamiento del Pleno y las Comisiones del Instituto de Transparencia, Acceso a la Información Pública y Protección de Datos Personales del Estado de México y Municipios.</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través de la solicitud de acceso a la información que nos ocupa, la persona solicitante requirió lo siguiente:</w:t>
      </w:r>
    </w:p>
    <w:p w:rsidR="00A67FDD" w:rsidRDefault="001A682F">
      <w:pPr>
        <w:spacing w:before="240"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“Solicito se informe a través de las Unidades de Transparencia, así como de la Tesorería Municipal y por parte de las Dirección de Obras Públicas del H. Ayuntamiento de </w:t>
      </w:r>
      <w:proofErr w:type="spellStart"/>
      <w:r>
        <w:rPr>
          <w:rFonts w:ascii="Palatino Linotype" w:eastAsia="Palatino Linotype" w:hAnsi="Palatino Linotype" w:cs="Palatino Linotype"/>
          <w:i/>
        </w:rPr>
        <w:t>Capulhuac</w:t>
      </w:r>
      <w:proofErr w:type="spellEnd"/>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la siguiente información correspondiente al entero de las retenciones dos y cinco al millar en los ejercicios fiscales 2019, 2020, 2021 y 2022</w:t>
      </w:r>
      <w:r>
        <w:rPr>
          <w:rFonts w:ascii="Palatino Linotype" w:eastAsia="Palatino Linotype" w:hAnsi="Palatino Linotype" w:cs="Palatino Linotype"/>
          <w:i/>
        </w:rPr>
        <w:t xml:space="preserve">: Oficio donde solicita la línea de captura al Cajero General de Gobierno para el pago de las retenciones 2 y 5 al millar. La línea de captura proporcionada por el Gobierno del Estado de México para el pago de las retenciones 2 y 5 al millar. Trasferencia correspondiente que acredita el entero de los recursos a la Caja General del Gobierno del Estado de México, Relación a detalle de las empresas constructoras a las que se les efectuó las retenciones 2 y 5 al millar. Facturas soporte de las constructoras a las que se les efectuó las retenciones del 2 y el 5 al millar. </w:t>
      </w:r>
      <w:r>
        <w:rPr>
          <w:rFonts w:ascii="Palatino Linotype" w:eastAsia="Palatino Linotype" w:hAnsi="Palatino Linotype" w:cs="Palatino Linotype"/>
          <w:b/>
          <w:i/>
          <w:u w:val="single"/>
        </w:rPr>
        <w:t>Dichas retenciones que los H. Ayuntamientos del Estado México retienen de los contratos de obra pública a las empresas constructoras que realizaron obra pública en el ayuntamientos antes mencionados, en los ejercicios fiscales 2019, 2020, 2021 y 2022, así como los correspondientes de enero a abril de 2023</w:t>
      </w:r>
      <w:r>
        <w:rPr>
          <w:rFonts w:ascii="Palatino Linotype" w:eastAsia="Palatino Linotype" w:hAnsi="Palatino Linotype" w:cs="Palatino Linotype"/>
          <w:i/>
        </w:rPr>
        <w:t xml:space="preserve">, solicitando que esta información se emita por la dependencia ejecutora municipal.” (Sic) </w:t>
      </w:r>
    </w:p>
    <w:p w:rsidR="00A67FDD" w:rsidRDefault="001A682F">
      <w:pPr>
        <w:spacing w:before="240" w:after="24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proporcionó  un documento en el que se visualizan por una sola de sus caras, los enteros de las retenciones del 5 al millar y del 2 al millar, correspondiente al ejercicio fiscal 2022, los cuales incluyen: </w:t>
      </w:r>
    </w:p>
    <w:p w:rsidR="00A67FDD" w:rsidRDefault="001A682F">
      <w:pPr>
        <w:spacing w:before="240" w:after="240" w:line="360" w:lineRule="auto"/>
        <w:ind w:left="567"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Comprobante bancario</w:t>
      </w:r>
    </w:p>
    <w:p w:rsidR="00A67FDD" w:rsidRDefault="001A682F">
      <w:pPr>
        <w:spacing w:before="240" w:after="240" w:line="360" w:lineRule="auto"/>
        <w:ind w:left="567"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Oficio dirigido al Cajero General de Gobierno</w:t>
      </w:r>
    </w:p>
    <w:p w:rsidR="00A67FDD" w:rsidRDefault="001A682F">
      <w:pPr>
        <w:spacing w:before="240" w:after="240" w:line="360" w:lineRule="auto"/>
        <w:ind w:left="567"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Formato Universal de Pago (Línea de Captura)</w:t>
      </w:r>
    </w:p>
    <w:p w:rsidR="00A67FDD" w:rsidRDefault="001A682F">
      <w:pPr>
        <w:spacing w:before="240" w:after="240" w:line="360" w:lineRule="auto"/>
        <w:ind w:left="567"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ab/>
        <w:t>Facturas emitidas por las constructoras.</w:t>
      </w:r>
    </w:p>
    <w:p w:rsidR="001A682F" w:rsidRDefault="001A682F">
      <w:pPr>
        <w:spacing w:before="240" w:after="24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Es de precisar que </w:t>
      </w:r>
      <w:r>
        <w:rPr>
          <w:rFonts w:ascii="Palatino Linotype" w:eastAsia="Palatino Linotype" w:hAnsi="Palatino Linotype" w:cs="Palatino Linotype"/>
          <w:b/>
          <w:sz w:val="24"/>
          <w:szCs w:val="24"/>
          <w:u w:val="single"/>
        </w:rPr>
        <w:t xml:space="preserve">el </w:t>
      </w:r>
      <w:r w:rsidRPr="001A682F">
        <w:rPr>
          <w:rFonts w:ascii="Palatino Linotype" w:eastAsia="Palatino Linotype" w:hAnsi="Palatino Linotype" w:cs="Palatino Linotype"/>
          <w:b/>
          <w:sz w:val="24"/>
          <w:szCs w:val="24"/>
          <w:u w:val="single"/>
        </w:rPr>
        <w:t>contenido de estos documentos</w:t>
      </w:r>
      <w:r>
        <w:rPr>
          <w:rFonts w:ascii="Palatino Linotype" w:eastAsia="Palatino Linotype" w:hAnsi="Palatino Linotype" w:cs="Palatino Linotype"/>
          <w:b/>
          <w:sz w:val="24"/>
          <w:szCs w:val="24"/>
          <w:u w:val="single"/>
        </w:rPr>
        <w:t xml:space="preserve"> no fueron impugnados por la parte Recurrente pues únicamente se centró a inconformarse de la entrega de información incompleta al estimar que no le entregaron la información de los ejercicios fiscales 2019, 2020, 2021, así como de enero a abril de 2023</w:t>
      </w:r>
      <w:r>
        <w:rPr>
          <w:rFonts w:ascii="Palatino Linotype" w:eastAsia="Palatino Linotype" w:hAnsi="Palatino Linotype" w:cs="Palatino Linotype"/>
          <w:sz w:val="24"/>
          <w:szCs w:val="24"/>
        </w:rPr>
        <w:t>, por lo que se realizó análisis correspondiente y se invocó la figura jurídica de actos consentidos respecto a las retenciones dos y cinco al millar en el ejercicio fiscal</w:t>
      </w:r>
      <w:r w:rsidRPr="001A682F">
        <w:rPr>
          <w:rFonts w:ascii="Palatino Linotype" w:eastAsia="Palatino Linotype" w:hAnsi="Palatino Linotype" w:cs="Palatino Linotype"/>
          <w:sz w:val="24"/>
          <w:szCs w:val="24"/>
        </w:rPr>
        <w:t xml:space="preserve"> 2022</w:t>
      </w:r>
      <w:r>
        <w:rPr>
          <w:rFonts w:ascii="Palatino Linotype" w:eastAsia="Palatino Linotype" w:hAnsi="Palatino Linotype" w:cs="Palatino Linotype"/>
          <w:sz w:val="24"/>
          <w:szCs w:val="24"/>
        </w:rPr>
        <w:t>.</w:t>
      </w:r>
    </w:p>
    <w:p w:rsidR="00A67FDD" w:rsidRPr="001A682F" w:rsidRDefault="001A682F" w:rsidP="001A682F">
      <w:pPr>
        <w:spacing w:before="240" w:after="240" w:line="360" w:lineRule="auto"/>
        <w:jc w:val="both"/>
        <w:rPr>
          <w:rFonts w:ascii="Palatino Linotype" w:eastAsia="Palatino Linotype" w:hAnsi="Palatino Linotype" w:cs="Palatino Linotype"/>
          <w:sz w:val="24"/>
          <w:szCs w:val="24"/>
          <w:highlight w:val="yellow"/>
        </w:rPr>
      </w:pPr>
      <w:bookmarkStart w:id="0" w:name="_heading=h.gjdgxs" w:colFirst="0" w:colLast="0"/>
      <w:bookmarkEnd w:id="0"/>
      <w:r w:rsidRPr="001A682F">
        <w:rPr>
          <w:rFonts w:ascii="Palatino Linotype" w:eastAsia="Palatino Linotype" w:hAnsi="Palatino Linotype" w:cs="Palatino Linotype"/>
          <w:sz w:val="24"/>
          <w:szCs w:val="24"/>
        </w:rPr>
        <w:t>Al respecto, es preciso mencionar que, si bien se comparte el sentido de la Resolución emitida en virtud de que procede ordenar los documentos que dan cuenta de la información faltante, también lo es que, la suscrita no coincide en el sentido de dar vista a la Dirección General de Protección de Datos Personales de este Instituto, máxime de que los documentos entregados en respuesta, por los cuales se da la vista no fueron impugnados</w:t>
      </w:r>
      <w:r w:rsidRPr="001A682F">
        <w:rPr>
          <w:rFonts w:ascii="Palatino Linotype" w:eastAsia="Palatino Linotype" w:hAnsi="Palatino Linotype" w:cs="Palatino Linotype"/>
          <w:b/>
          <w:sz w:val="24"/>
          <w:szCs w:val="24"/>
        </w:rPr>
        <w:t>.</w:t>
      </w:r>
      <w:r w:rsidRPr="001A682F">
        <w:rPr>
          <w:rFonts w:ascii="Palatino Linotype" w:eastAsia="Palatino Linotype" w:hAnsi="Palatino Linotype" w:cs="Palatino Linotype"/>
          <w:b/>
          <w:sz w:val="24"/>
          <w:szCs w:val="24"/>
          <w:u w:val="single"/>
        </w:rPr>
        <w:t xml:space="preserve"> </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Determinación que constituye el motivo para la emisión del presente Voto Particular, toda vez, que conforme a </w:t>
      </w:r>
      <w:r w:rsidRPr="001A682F">
        <w:rPr>
          <w:rFonts w:ascii="Palatino Linotype" w:eastAsia="Palatino Linotype" w:hAnsi="Palatino Linotype" w:cs="Palatino Linotype"/>
          <w:sz w:val="24"/>
          <w:szCs w:val="24"/>
        </w:rPr>
        <w:t>los artículos 7</w:t>
      </w:r>
      <w:r>
        <w:rPr>
          <w:rFonts w:ascii="Palatino Linotype" w:eastAsia="Palatino Linotype" w:hAnsi="Palatino Linotype" w:cs="Palatino Linotype"/>
          <w:sz w:val="24"/>
          <w:szCs w:val="24"/>
        </w:rPr>
        <w:t xml:space="preserve">°,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organismo público estatal constitucionalmente autónomo, especializado, independiente, imparcial y colegiado dotado de personalidad jurídica y patrimonio propio, con </w:t>
      </w:r>
      <w:r>
        <w:rPr>
          <w:rFonts w:ascii="Palatino Linotype" w:eastAsia="Palatino Linotype" w:hAnsi="Palatino Linotype" w:cs="Palatino Linotype"/>
          <w:sz w:val="24"/>
          <w:szCs w:val="24"/>
        </w:rPr>
        <w:lastRenderedPageBreak/>
        <w:t>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es de resaltar que el recurso de revisión es la garantía secundaria mediante la cual se pretende reparar cualquier posible afectación al derecho de acceso a la información pública, en donde las resoluciones de este Organismo Garante pueden:</w:t>
      </w:r>
    </w:p>
    <w:p w:rsidR="00A67FDD" w:rsidRDefault="001A682F">
      <w:pPr>
        <w:numPr>
          <w:ilvl w:val="0"/>
          <w:numId w:val="2"/>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Desechar o sobreseer el recurso</w:t>
      </w:r>
    </w:p>
    <w:p w:rsidR="00A67FDD" w:rsidRDefault="001A682F">
      <w:pPr>
        <w:numPr>
          <w:ilvl w:val="0"/>
          <w:numId w:val="2"/>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Confirma la respuesta del sujeto obligado</w:t>
      </w:r>
    </w:p>
    <w:p w:rsidR="00A67FDD" w:rsidRDefault="001A682F">
      <w:pPr>
        <w:numPr>
          <w:ilvl w:val="0"/>
          <w:numId w:val="2"/>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Revocar o modificar la respuesta del sujeto obligado; y </w:t>
      </w:r>
    </w:p>
    <w:p w:rsidR="00A67FDD" w:rsidRDefault="001A682F">
      <w:pPr>
        <w:numPr>
          <w:ilvl w:val="0"/>
          <w:numId w:val="2"/>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Ordenar la entrega de la información</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agregar que las resoluciones que pronuncie este Instituto deben contener cuatro aspectos importantes:</w:t>
      </w:r>
    </w:p>
    <w:p w:rsidR="00A67FDD" w:rsidRDefault="001A682F">
      <w:pPr>
        <w:numPr>
          <w:ilvl w:val="0"/>
          <w:numId w:val="3"/>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Lugar, fecha, el nombre del recurrente y del tercero interesado en su caso, sujeto obligado y un extracto de los hechos cuestionados;</w:t>
      </w:r>
    </w:p>
    <w:p w:rsidR="00A67FDD" w:rsidRDefault="001A682F">
      <w:pPr>
        <w:numPr>
          <w:ilvl w:val="0"/>
          <w:numId w:val="3"/>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preceptos en que se fundamenten y las consideraciones que las sustenten;</w:t>
      </w:r>
    </w:p>
    <w:p w:rsidR="00A67FDD" w:rsidRDefault="001A682F">
      <w:pPr>
        <w:numPr>
          <w:ilvl w:val="0"/>
          <w:numId w:val="3"/>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Los alcances y efectos de la resolución, fijando con precisión, en su caso, los sujetos y órganos obligados a cumplirla; y</w:t>
      </w:r>
    </w:p>
    <w:p w:rsidR="00A67FDD" w:rsidRDefault="001A682F">
      <w:pPr>
        <w:numPr>
          <w:ilvl w:val="0"/>
          <w:numId w:val="3"/>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puntos resolutivos.</w:t>
      </w:r>
    </w:p>
    <w:p w:rsidR="00A67FDD" w:rsidRDefault="001A682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Sobre este punto, se considera de suma importancia mencionar que, de la normatividad citada, se advierte que este Instituto está facultado, entre otras cosas, para:</w:t>
      </w:r>
    </w:p>
    <w:p w:rsidR="00A67FDD" w:rsidRDefault="001A682F">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Conocer y resolver los recursos de revisión interpuestos por los particulares en contra de las resoluciones de los sujetos obligados en el ámbito estatal;</w:t>
      </w:r>
    </w:p>
    <w:p w:rsidR="00A67FDD" w:rsidRDefault="001A682F">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Realizar de oficio y a petición de parte, análisis y recomendaciones o en su caso, lineamientos en relación con presuntos incumplimientos a las disposiciones de la Ley, cuando existan elementos suficientes a juicio del Pleno del Instituto;</w:t>
      </w:r>
    </w:p>
    <w:p w:rsidR="00A67FDD" w:rsidRDefault="001A682F">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Emitir comunicados públicos sobre el incumplimiento de sus resoluciones o por infracciones reiteradas a la Ley, en el ámbito de su competencia;</w:t>
      </w:r>
    </w:p>
    <w:p w:rsidR="00A67FDD" w:rsidRDefault="001A682F">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Ordenar a los sujetos obligados la ejecutoría en la entrega de información en términos de la presente Ley;</w:t>
      </w:r>
    </w:p>
    <w:p w:rsidR="00A67FDD" w:rsidRDefault="001A682F">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Imponer las medidas de apremio para asegurar el cumplimiento de sus determinaciones;</w:t>
      </w:r>
    </w:p>
    <w:p w:rsidR="00A67FDD" w:rsidRDefault="001A682F">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Hacer del conocimiento de la instancia competente la probable responsabilidad por el incumplimiento de las obligaciones</w:t>
      </w:r>
      <w:r>
        <w:rPr>
          <w:rFonts w:ascii="Palatino Linotype" w:eastAsia="Palatino Linotype" w:hAnsi="Palatino Linotype" w:cs="Palatino Linotype"/>
          <w:sz w:val="24"/>
          <w:szCs w:val="24"/>
        </w:rPr>
        <w:t xml:space="preserve"> previstas en la Ley y en las demás disposiciones aplicable.  </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Establecido lo anterior, debe tomarse en cuenta que la vista a la Dirección General de Protección de Datos Personales de este Instituto, no debió incluirse en los resolutivos de la resolución referida, toda vez que, se reitera,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se inconformó sobre la información proporcionada en respuesta, es decir, no forma parte de la </w:t>
      </w:r>
      <w:proofErr w:type="spellStart"/>
      <w:r>
        <w:rPr>
          <w:rFonts w:ascii="Palatino Linotype" w:eastAsia="Palatino Linotype" w:hAnsi="Palatino Linotype" w:cs="Palatino Linotype"/>
          <w:sz w:val="24"/>
          <w:szCs w:val="24"/>
        </w:rPr>
        <w:t>litis</w:t>
      </w:r>
      <w:proofErr w:type="spellEnd"/>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w:t>
      </w:r>
      <w:r>
        <w:rPr>
          <w:rFonts w:ascii="Palatino Linotype" w:eastAsia="Palatino Linotype" w:hAnsi="Palatino Linotype" w:cs="Palatino Linotype"/>
          <w:i/>
          <w:sz w:val="24"/>
          <w:szCs w:val="24"/>
        </w:rPr>
        <w:t xml:space="preserve">Litis”: </w:t>
      </w:r>
      <w:r>
        <w:rPr>
          <w:rFonts w:ascii="Palatino Linotype" w:eastAsia="Palatino Linotype" w:hAnsi="Palatino Linotype" w:cs="Palatino Linotype"/>
          <w:sz w:val="24"/>
          <w:szCs w:val="24"/>
        </w:rPr>
        <w:t>vocablo latino que en idioma español se traduce como litigio, significando disputa o controversia judicial; diferencia de intereses entre dos partes, llamadas litigantes, sometidas a decisión de un Juez) y, por lo tanto, no se analizó la documentación entregada al invocar actos consentidos, así en el presente asunto, la vista en mención debe realizarse y tramitarse por cuerda separada, en caso de advertirse que es necesario.</w:t>
      </w:r>
    </w:p>
    <w:p w:rsidR="00A67FDD" w:rsidRDefault="001A682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respecto los actos consentidos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w:t>
      </w:r>
      <w:r>
        <w:rPr>
          <w:rFonts w:ascii="Palatino Linotype" w:eastAsia="Palatino Linotype" w:hAnsi="Palatino Linotype" w:cs="Palatino Linotype"/>
          <w:sz w:val="24"/>
          <w:szCs w:val="24"/>
          <w:u w:val="single"/>
        </w:rPr>
        <w:t>será improcedente el recurso</w:t>
      </w:r>
      <w:r>
        <w:rPr>
          <w:rFonts w:ascii="Palatino Linotype" w:eastAsia="Palatino Linotype" w:hAnsi="Palatino Linotype" w:cs="Palatino Linotype"/>
          <w:sz w:val="24"/>
          <w:szCs w:val="24"/>
        </w:rPr>
        <w:t xml:space="preserve"> contra los actos que se hayan consentido tácitamente, entendiéndose por éstos cuando el recurso no se haya promovido en el plazo señalado para el efecto.</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 misma manera resulta aplicable el criterio sostenido por el Poder Judicial de la Federación de rubro </w:t>
      </w:r>
      <w:r>
        <w:rPr>
          <w:rFonts w:ascii="Palatino Linotype" w:eastAsia="Palatino Linotype" w:hAnsi="Palatino Linotype" w:cs="Palatino Linotype"/>
          <w:b/>
          <w:sz w:val="24"/>
          <w:szCs w:val="24"/>
        </w:rPr>
        <w:t>ACTOS CONSENTIDOS TÁCITAMENTE</w:t>
      </w:r>
      <w:r>
        <w:rPr>
          <w:rFonts w:ascii="Palatino Linotype" w:eastAsia="Palatino Linotype" w:hAnsi="Palatino Linotype" w:cs="Palatino Linotype"/>
          <w:sz w:val="24"/>
          <w:szCs w:val="24"/>
        </w:rPr>
        <w:t xml:space="preserve">, Tesis VI.2o. J/21, emitida en la novena época, por el Segundo Tribunal Colegiado del Sexto Circuito, publicada en la Gaceta del Semanario Judicial de la Federación en agosto de 1995, </w:t>
      </w:r>
      <w:r>
        <w:rPr>
          <w:rFonts w:ascii="Palatino Linotype" w:eastAsia="Palatino Linotype" w:hAnsi="Palatino Linotype" w:cs="Palatino Linotype"/>
          <w:sz w:val="24"/>
          <w:szCs w:val="24"/>
        </w:rPr>
        <w:lastRenderedPageBreak/>
        <w:t>página 291 y número de registro 204707, del que se desprende que cuando no se reclaman los actos de autoridad en la vía y plazos establecidos en la Ley, se presume que el particular está conforme con los mismos.</w:t>
      </w:r>
    </w:p>
    <w:p w:rsidR="00A67FDD" w:rsidRDefault="001A682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innecesario la vista citada.</w:t>
      </w:r>
    </w:p>
    <w:p w:rsidR="00A67FDD" w:rsidRDefault="001A682F">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expone razones suficientes para la emisión y presentación del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 relacionado con la resolución del Recurso de Revisión referido.</w:t>
      </w:r>
    </w:p>
    <w:p w:rsidR="001A682F" w:rsidRDefault="001A682F">
      <w:pPr>
        <w:spacing w:after="0" w:line="360" w:lineRule="auto"/>
        <w:ind w:right="139"/>
        <w:jc w:val="both"/>
        <w:rPr>
          <w:rFonts w:ascii="Palatino Linotype" w:eastAsia="Palatino Linotype" w:hAnsi="Palatino Linotype" w:cs="Palatino Linotype"/>
          <w:sz w:val="23"/>
          <w:szCs w:val="23"/>
        </w:rPr>
      </w:pPr>
    </w:p>
    <w:p w:rsidR="00DF113D" w:rsidRDefault="00DF113D">
      <w:pPr>
        <w:spacing w:after="0" w:line="360" w:lineRule="auto"/>
        <w:ind w:right="139"/>
        <w:jc w:val="both"/>
        <w:rPr>
          <w:rFonts w:ascii="Palatino Linotype" w:eastAsia="Palatino Linotype" w:hAnsi="Palatino Linotype" w:cs="Palatino Linotype"/>
          <w:sz w:val="23"/>
          <w:szCs w:val="23"/>
        </w:rPr>
      </w:pPr>
    </w:p>
    <w:p w:rsidR="00DF113D" w:rsidRDefault="00DF113D">
      <w:pPr>
        <w:spacing w:after="0" w:line="360" w:lineRule="auto"/>
        <w:ind w:right="139"/>
        <w:jc w:val="both"/>
        <w:rPr>
          <w:rFonts w:ascii="Palatino Linotype" w:eastAsia="Palatino Linotype" w:hAnsi="Palatino Linotype" w:cs="Palatino Linotype"/>
          <w:sz w:val="23"/>
          <w:szCs w:val="23"/>
        </w:rPr>
      </w:pPr>
    </w:p>
    <w:p w:rsidR="00DF113D" w:rsidRDefault="00DF113D">
      <w:pPr>
        <w:spacing w:after="0" w:line="360" w:lineRule="auto"/>
        <w:ind w:right="139"/>
        <w:jc w:val="both"/>
        <w:rPr>
          <w:rFonts w:ascii="Palatino Linotype" w:eastAsia="Palatino Linotype" w:hAnsi="Palatino Linotype" w:cs="Palatino Linotype"/>
          <w:sz w:val="23"/>
          <w:szCs w:val="23"/>
        </w:rPr>
      </w:pPr>
    </w:p>
    <w:p w:rsidR="00DF113D" w:rsidRDefault="00DF113D">
      <w:pPr>
        <w:spacing w:after="0" w:line="360" w:lineRule="auto"/>
        <w:ind w:right="139"/>
        <w:jc w:val="both"/>
        <w:rPr>
          <w:rFonts w:ascii="Palatino Linotype" w:eastAsia="Palatino Linotype" w:hAnsi="Palatino Linotype" w:cs="Palatino Linotype"/>
          <w:sz w:val="23"/>
          <w:szCs w:val="23"/>
        </w:rPr>
      </w:pPr>
    </w:p>
    <w:p w:rsidR="00DF113D" w:rsidRDefault="00DF113D">
      <w:pPr>
        <w:spacing w:after="0" w:line="360" w:lineRule="auto"/>
        <w:ind w:right="139"/>
        <w:jc w:val="both"/>
        <w:rPr>
          <w:rFonts w:ascii="Palatino Linotype" w:eastAsia="Palatino Linotype" w:hAnsi="Palatino Linotype" w:cs="Palatino Linotype"/>
          <w:sz w:val="23"/>
          <w:szCs w:val="23"/>
        </w:rPr>
      </w:pPr>
      <w:bookmarkStart w:id="1" w:name="_GoBack"/>
      <w:bookmarkEnd w:id="1"/>
    </w:p>
    <w:p w:rsidR="00A67FDD" w:rsidRDefault="00A67FDD">
      <w:pPr>
        <w:spacing w:after="0" w:line="360" w:lineRule="auto"/>
        <w:ind w:right="139"/>
        <w:jc w:val="both"/>
        <w:rPr>
          <w:rFonts w:ascii="Palatino Linotype" w:eastAsia="Palatino Linotype" w:hAnsi="Palatino Linotype" w:cs="Palatino Linotype"/>
          <w:sz w:val="23"/>
          <w:szCs w:val="23"/>
        </w:rPr>
      </w:pPr>
    </w:p>
    <w:p w:rsidR="00A67FDD" w:rsidRDefault="00A67FDD">
      <w:pPr>
        <w:spacing w:after="0" w:line="360" w:lineRule="auto"/>
        <w:ind w:right="139"/>
        <w:jc w:val="both"/>
        <w:rPr>
          <w:rFonts w:ascii="Palatino Linotype" w:eastAsia="Palatino Linotype" w:hAnsi="Palatino Linotype" w:cs="Palatino Linotype"/>
          <w:sz w:val="23"/>
          <w:szCs w:val="23"/>
        </w:rPr>
      </w:pPr>
    </w:p>
    <w:p w:rsidR="00A67FDD" w:rsidRDefault="00A67FDD">
      <w:pPr>
        <w:spacing w:after="0" w:line="360" w:lineRule="auto"/>
        <w:ind w:right="139"/>
        <w:jc w:val="both"/>
        <w:rPr>
          <w:rFonts w:ascii="Palatino Linotype" w:eastAsia="Palatino Linotype" w:hAnsi="Palatino Linotype" w:cs="Palatino Linotype"/>
          <w:sz w:val="23"/>
          <w:szCs w:val="23"/>
        </w:rPr>
      </w:pPr>
    </w:p>
    <w:p w:rsidR="00A67FDD" w:rsidRDefault="00A67FDD">
      <w:pPr>
        <w:spacing w:after="0" w:line="360" w:lineRule="auto"/>
        <w:ind w:right="139"/>
        <w:jc w:val="both"/>
        <w:rPr>
          <w:rFonts w:ascii="Palatino Linotype" w:eastAsia="Palatino Linotype" w:hAnsi="Palatino Linotype" w:cs="Palatino Linotype"/>
          <w:sz w:val="23"/>
          <w:szCs w:val="23"/>
        </w:rPr>
      </w:pPr>
    </w:p>
    <w:p w:rsidR="00A67FDD" w:rsidRDefault="00A67FDD">
      <w:pPr>
        <w:spacing w:after="0" w:line="360" w:lineRule="auto"/>
        <w:ind w:right="139"/>
        <w:jc w:val="both"/>
        <w:rPr>
          <w:rFonts w:ascii="Palatino Linotype" w:eastAsia="Palatino Linotype" w:hAnsi="Palatino Linotype" w:cs="Palatino Linotype"/>
          <w:sz w:val="23"/>
          <w:szCs w:val="23"/>
        </w:rPr>
      </w:pPr>
    </w:p>
    <w:sectPr w:rsidR="00A67FDD">
      <w:headerReference w:type="default" r:id="rId8"/>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8EC" w:rsidRDefault="001A682F">
      <w:pPr>
        <w:spacing w:after="0" w:line="240" w:lineRule="auto"/>
      </w:pPr>
      <w:r>
        <w:separator/>
      </w:r>
    </w:p>
  </w:endnote>
  <w:endnote w:type="continuationSeparator" w:id="0">
    <w:p w:rsidR="005778EC" w:rsidRDefault="001A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8EC" w:rsidRDefault="001A682F">
      <w:pPr>
        <w:spacing w:after="0" w:line="240" w:lineRule="auto"/>
      </w:pPr>
      <w:r>
        <w:separator/>
      </w:r>
    </w:p>
  </w:footnote>
  <w:footnote w:type="continuationSeparator" w:id="0">
    <w:p w:rsidR="005778EC" w:rsidRDefault="001A6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DD" w:rsidRDefault="001A68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r>
      <w:rPr>
        <w:noProof/>
      </w:rPr>
      <w:drawing>
        <wp:anchor distT="0" distB="0" distL="114300" distR="114300" simplePos="0" relativeHeight="251658240" behindDoc="0" locked="0" layoutInCell="1" hidden="0" allowOverlap="1">
          <wp:simplePos x="0" y="0"/>
          <wp:positionH relativeFrom="column">
            <wp:posOffset>-590549</wp:posOffset>
          </wp:positionH>
          <wp:positionV relativeFrom="paragraph">
            <wp:posOffset>-414018</wp:posOffset>
          </wp:positionV>
          <wp:extent cx="1873250" cy="11264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A67FDD" w:rsidRDefault="001A68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02749/INFOEM/IP/RR/2023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F1FCF"/>
    <w:multiLevelType w:val="multilevel"/>
    <w:tmpl w:val="F4F62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FE5D9A"/>
    <w:multiLevelType w:val="multilevel"/>
    <w:tmpl w:val="3348D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E0201F"/>
    <w:multiLevelType w:val="multilevel"/>
    <w:tmpl w:val="1CFEA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DD"/>
    <w:rsid w:val="001A682F"/>
    <w:rsid w:val="00505F2C"/>
    <w:rsid w:val="005778EC"/>
    <w:rsid w:val="00A67FDD"/>
    <w:rsid w:val="00DF11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61A5E-3395-480A-B9EE-E8BB164C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JpFABevbQUdl+fGOxV+AvzgPQQ==">CgMxLjAyCGguZ2pkZ3hzOAByITFNZVV3dElTVHRzcGlLa091bUxER3EyWHU0WHAzeG5RVw==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1479</Words>
  <Characters>8137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INFOEM517</cp:lastModifiedBy>
  <cp:revision>3</cp:revision>
  <dcterms:created xsi:type="dcterms:W3CDTF">2024-01-22T18:25:00Z</dcterms:created>
  <dcterms:modified xsi:type="dcterms:W3CDTF">2024-01-22T18:46:00Z</dcterms:modified>
</cp:coreProperties>
</file>