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FBF69" w14:textId="77777777" w:rsidR="00882FC6" w:rsidRDefault="00CA0559">
      <w:pPr>
        <w:widowControl w:val="0"/>
        <w:pBdr>
          <w:top w:val="nil"/>
          <w:left w:val="nil"/>
          <w:bottom w:val="nil"/>
          <w:right w:val="nil"/>
          <w:between w:val="nil"/>
        </w:pBdr>
        <w:spacing w:after="0" w:line="276" w:lineRule="auto"/>
      </w:pPr>
      <w:r>
        <w:pict w14:anchorId="7A587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2DF2C11F">
          <v:shape id="_x0000_s1027" type="#_x0000_t136" style="position:absolute;margin-left:0;margin-top:0;width:50pt;height:50pt;z-index:251657728;visibility:hidden">
            <o:lock v:ext="edit" selection="t"/>
          </v:shape>
        </w:pict>
      </w:r>
      <w:r>
        <w:pict w14:anchorId="54E792CF">
          <v:shape id="_x0000_s1026" type="#_x0000_t136" style="position:absolute;margin-left:0;margin-top:0;width:50pt;height:50pt;z-index:251658752;visibility:hidden">
            <o:lock v:ext="edit" selection="t"/>
          </v:shape>
        </w:pict>
      </w:r>
    </w:p>
    <w:p w14:paraId="1C7EFD08" w14:textId="77777777" w:rsidR="00882FC6" w:rsidRDefault="00165310">
      <w:pPr>
        <w:widowControl w:val="0"/>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CONCURRENTE QUE FORMULAN EL COMISIONADO LUIS GUSTAVO PARRA NORIEGA Y LA COMISIONADA GUADALUPE RAMÍREZ PEÑA CON RELACIÓN A LA RESOLUCIÓN EMITIDA POR EL PLENO DEL INSTITUTO DE TRANSPARENCIA, ACCESO A LA INFORMACIÓN PÚBLICA Y PROTECCIÓN DE DATOS PERSONALES DEL ESTADO DE MÉXICO Y MUNICIP</w:t>
      </w:r>
      <w:r w:rsidR="000107CF">
        <w:rPr>
          <w:rFonts w:ascii="Palatino Linotype" w:eastAsia="Palatino Linotype" w:hAnsi="Palatino Linotype" w:cs="Palatino Linotype"/>
          <w:b/>
        </w:rPr>
        <w:t>IOS AL RECURSO DE REVISIÓN 05741</w:t>
      </w:r>
      <w:r>
        <w:rPr>
          <w:rFonts w:ascii="Palatino Linotype" w:eastAsia="Palatino Linotype" w:hAnsi="Palatino Linotype" w:cs="Palatino Linotype"/>
          <w:b/>
        </w:rPr>
        <w:t xml:space="preserve">/INFOEM/IP/RR/2024, PROMOVIDO EN CONTRA DEL </w:t>
      </w:r>
      <w:r w:rsidR="001B4EAD" w:rsidRPr="001B4EAD">
        <w:rPr>
          <w:rFonts w:ascii="Palatino Linotype" w:eastAsia="Palatino Linotype" w:hAnsi="Palatino Linotype" w:cs="Palatino Linotype"/>
          <w:b/>
        </w:rPr>
        <w:t>INSTITUTO DE SALUD DEL ESTADO DE MÉXICO</w:t>
      </w:r>
      <w:r>
        <w:rPr>
          <w:rFonts w:ascii="Palatino Linotype" w:eastAsia="Palatino Linotype" w:hAnsi="Palatino Linotype" w:cs="Palatino Linotype"/>
          <w:b/>
        </w:rPr>
        <w:t>.</w:t>
      </w:r>
    </w:p>
    <w:p w14:paraId="4EBDE63C" w14:textId="77777777" w:rsidR="00882FC6" w:rsidRDefault="00882FC6">
      <w:pPr>
        <w:pBdr>
          <w:top w:val="nil"/>
          <w:left w:val="nil"/>
          <w:bottom w:val="nil"/>
          <w:right w:val="nil"/>
          <w:between w:val="nil"/>
        </w:pBdr>
        <w:tabs>
          <w:tab w:val="center" w:pos="4252"/>
          <w:tab w:val="right" w:pos="8504"/>
        </w:tabs>
        <w:spacing w:after="0" w:line="360" w:lineRule="auto"/>
        <w:ind w:right="49"/>
        <w:jc w:val="both"/>
        <w:rPr>
          <w:rFonts w:ascii="Palatino Linotype" w:eastAsia="Palatino Linotype" w:hAnsi="Palatino Linotype" w:cs="Palatino Linotype"/>
          <w:color w:val="000000"/>
        </w:rPr>
      </w:pPr>
    </w:p>
    <w:p w14:paraId="66366CD4" w14:textId="77777777" w:rsidR="00882FC6" w:rsidRDefault="00165310">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1B4EAD">
        <w:rPr>
          <w:rFonts w:ascii="Palatino Linotype" w:eastAsia="Palatino Linotype" w:hAnsi="Palatino Linotype" w:cs="Palatino Linotype"/>
          <w:b/>
        </w:rPr>
        <w:t>05741</w:t>
      </w:r>
      <w:r>
        <w:rPr>
          <w:rFonts w:ascii="Palatino Linotype" w:eastAsia="Palatino Linotype" w:hAnsi="Palatino Linotype" w:cs="Palatino Linotype"/>
          <w:b/>
        </w:rPr>
        <w:t xml:space="preserve">/INFOEM/IP/RR/2024, </w:t>
      </w:r>
      <w:r>
        <w:rPr>
          <w:rFonts w:ascii="Palatino Linotype" w:eastAsia="Palatino Linotype" w:hAnsi="Palatino Linotype" w:cs="Palatino Linotype"/>
        </w:rPr>
        <w:t xml:space="preserve">presentada por el Comisionado Luis Gustavo Parra Noriega </w:t>
      </w:r>
      <w:r>
        <w:rPr>
          <w:rFonts w:ascii="Palatino Linotype" w:eastAsia="Palatino Linotype" w:hAnsi="Palatino Linotype" w:cs="Palatino Linotype"/>
          <w:b/>
        </w:rPr>
        <w:t>conforme al criterio mayoritario del Pleno</w:t>
      </w:r>
      <w:r>
        <w:rPr>
          <w:rFonts w:ascii="Palatino Linotype" w:eastAsia="Palatino Linotype" w:hAnsi="Palatino Linotype" w:cs="Palatino Linotype"/>
        </w:rPr>
        <w:t xml:space="preserve">, respecto de la cual, quienes suscriben, emiten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50F9E378" w14:textId="77777777" w:rsidR="00882FC6" w:rsidRDefault="00882FC6">
      <w:pPr>
        <w:spacing w:after="0" w:line="360" w:lineRule="auto"/>
        <w:jc w:val="both"/>
        <w:rPr>
          <w:rFonts w:ascii="Palatino Linotype" w:eastAsia="Palatino Linotype" w:hAnsi="Palatino Linotype" w:cs="Palatino Linotype"/>
        </w:rPr>
      </w:pPr>
    </w:p>
    <w:p w14:paraId="1D98665C" w14:textId="77777777" w:rsidR="00882FC6" w:rsidRDefault="001653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 través de la solicitud de acceso a la informació</w:t>
      </w:r>
      <w:r w:rsidR="001E4005">
        <w:rPr>
          <w:rFonts w:ascii="Palatino Linotype" w:eastAsia="Palatino Linotype" w:hAnsi="Palatino Linotype" w:cs="Palatino Linotype"/>
        </w:rPr>
        <w:t xml:space="preserve">n que nos ocupa, el Particular </w:t>
      </w:r>
      <w:r>
        <w:rPr>
          <w:rFonts w:ascii="Palatino Linotype" w:eastAsia="Palatino Linotype" w:hAnsi="Palatino Linotype" w:cs="Palatino Linotype"/>
        </w:rPr>
        <w:t xml:space="preserve">requirió: </w:t>
      </w:r>
    </w:p>
    <w:p w14:paraId="7A9BA33F" w14:textId="77777777" w:rsidR="00882FC6" w:rsidRDefault="00882FC6">
      <w:pPr>
        <w:spacing w:after="0" w:line="360" w:lineRule="auto"/>
        <w:jc w:val="both"/>
        <w:rPr>
          <w:rFonts w:ascii="Palatino Linotype" w:eastAsia="Palatino Linotype" w:hAnsi="Palatino Linotype" w:cs="Palatino Linotype"/>
        </w:rPr>
      </w:pPr>
    </w:p>
    <w:p w14:paraId="3FD2A132" w14:textId="72C0DC88" w:rsidR="00882FC6" w:rsidRPr="001B4EAD" w:rsidRDefault="001B4EAD" w:rsidP="00EA00F7">
      <w:pPr>
        <w:pStyle w:val="Prrafodelista"/>
        <w:numPr>
          <w:ilvl w:val="0"/>
          <w:numId w:val="5"/>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 xml:space="preserve">Del </w:t>
      </w:r>
      <w:r w:rsidR="00EA00F7" w:rsidRPr="001B4EAD">
        <w:rPr>
          <w:rFonts w:ascii="Palatino Linotype" w:eastAsia="Palatino Linotype" w:hAnsi="Palatino Linotype" w:cs="Palatino Linotype"/>
          <w:i/>
        </w:rPr>
        <w:t>Hospital Gene</w:t>
      </w:r>
      <w:r w:rsidR="00EA00F7">
        <w:rPr>
          <w:rFonts w:ascii="Palatino Linotype" w:eastAsia="Palatino Linotype" w:hAnsi="Palatino Linotype" w:cs="Palatino Linotype"/>
          <w:i/>
        </w:rPr>
        <w:t>ral Maximiliano Ruiz Castañeda</w:t>
      </w:r>
      <w:r w:rsidR="00165310" w:rsidRPr="001B4EAD">
        <w:rPr>
          <w:rFonts w:ascii="Palatino Linotype" w:eastAsia="Palatino Linotype" w:hAnsi="Palatino Linotype" w:cs="Palatino Linotype"/>
          <w:i/>
        </w:rPr>
        <w:t>.</w:t>
      </w:r>
    </w:p>
    <w:p w14:paraId="0E7ED801" w14:textId="77777777" w:rsidR="001B4EAD" w:rsidRPr="001B4EAD"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Nombramiento de cada médico adscrito a urgencias, con firma de recibió y las funciones de puesto de cada uno.</w:t>
      </w:r>
    </w:p>
    <w:p w14:paraId="333153DD" w14:textId="095DA46F" w:rsidR="001B4EAD" w:rsidRPr="001B4EAD"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 xml:space="preserve">Nombramiento y funciones del Jefe del Servicio de Urgencias, Héctor </w:t>
      </w:r>
      <w:proofErr w:type="spellStart"/>
      <w:r w:rsidRPr="001B4EAD">
        <w:rPr>
          <w:rFonts w:ascii="Palatino Linotype" w:eastAsia="Palatino Linotype" w:hAnsi="Palatino Linotype" w:cs="Palatino Linotype"/>
          <w:i/>
        </w:rPr>
        <w:t>Fabian</w:t>
      </w:r>
      <w:proofErr w:type="spellEnd"/>
      <w:r w:rsidRPr="001B4EAD">
        <w:rPr>
          <w:rFonts w:ascii="Palatino Linotype" w:eastAsia="Palatino Linotype" w:hAnsi="Palatino Linotype" w:cs="Palatino Linotype"/>
          <w:i/>
        </w:rPr>
        <w:t xml:space="preserve"> con firma de recibido, donde se especifique el cargo, fecha de toma del cargo y las atribuciones que posee.</w:t>
      </w:r>
    </w:p>
    <w:p w14:paraId="066B134A" w14:textId="6879F603" w:rsidR="001B4EAD" w:rsidRPr="00EA00F7"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bCs/>
          <w:i/>
        </w:rPr>
      </w:pPr>
      <w:r w:rsidRPr="00EA00F7">
        <w:rPr>
          <w:rFonts w:ascii="Palatino Linotype" w:eastAsia="Palatino Linotype" w:hAnsi="Palatino Linotype" w:cs="Palatino Linotype"/>
          <w:bCs/>
          <w:i/>
        </w:rPr>
        <w:lastRenderedPageBreak/>
        <w:t xml:space="preserve">De Mariana Correa, adscrita al servicio de urgencias solicitó el </w:t>
      </w:r>
      <w:proofErr w:type="spellStart"/>
      <w:r w:rsidRPr="00EA00F7">
        <w:rPr>
          <w:rFonts w:ascii="Palatino Linotype" w:eastAsia="Palatino Linotype" w:hAnsi="Palatino Linotype" w:cs="Palatino Linotype"/>
          <w:bCs/>
          <w:i/>
        </w:rPr>
        <w:t>Curriculum</w:t>
      </w:r>
      <w:proofErr w:type="spellEnd"/>
      <w:r w:rsidRPr="00EA00F7">
        <w:rPr>
          <w:rFonts w:ascii="Palatino Linotype" w:eastAsia="Palatino Linotype" w:hAnsi="Palatino Linotype" w:cs="Palatino Linotype"/>
          <w:bCs/>
          <w:i/>
        </w:rPr>
        <w:t xml:space="preserve"> vitae, formación académica, llamadas de atención, circunstancias de hechos, quejas, sugerencias del tablero SUG emitidas por pacientes, evaluación del desempeño profesional, examen psicométrico realizado por el área de RH, que avale su estabilidad psicológica y la razón fundamentada por escrito de los   diversos turnos del área de urgencias del año 2017 a 2014.</w:t>
      </w:r>
    </w:p>
    <w:p w14:paraId="54CFB4BB" w14:textId="2D5E8D8B" w:rsidR="001B4EAD" w:rsidRPr="001B4EAD"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Del f</w:t>
      </w:r>
      <w:r w:rsidR="00CA0559">
        <w:rPr>
          <w:rFonts w:ascii="Palatino Linotype" w:eastAsia="Palatino Linotype" w:hAnsi="Palatino Linotype" w:cs="Palatino Linotype"/>
          <w:i/>
        </w:rPr>
        <w:t>uncionario público Daniel Peña</w:t>
      </w:r>
      <w:r w:rsidRPr="001B4EAD">
        <w:rPr>
          <w:rFonts w:ascii="Palatino Linotype" w:eastAsia="Palatino Linotype" w:hAnsi="Palatino Linotype" w:cs="Palatino Linotype"/>
          <w:i/>
        </w:rPr>
        <w:t xml:space="preserve"> solicito recibo de nómina así como </w:t>
      </w:r>
      <w:proofErr w:type="spellStart"/>
      <w:r w:rsidRPr="001B4EAD">
        <w:rPr>
          <w:rFonts w:ascii="Palatino Linotype" w:eastAsia="Palatino Linotype" w:hAnsi="Palatino Linotype" w:cs="Palatino Linotype"/>
          <w:i/>
        </w:rPr>
        <w:t>Curriculum</w:t>
      </w:r>
      <w:proofErr w:type="spellEnd"/>
      <w:r w:rsidRPr="001B4EAD">
        <w:rPr>
          <w:rFonts w:ascii="Palatino Linotype" w:eastAsia="Palatino Linotype" w:hAnsi="Palatino Linotype" w:cs="Palatino Linotype"/>
          <w:i/>
        </w:rPr>
        <w:t xml:space="preserve"> Vitae y constancias de cursos que avalen su formación técnica, nombramiento y funciones firmadas.</w:t>
      </w:r>
    </w:p>
    <w:p w14:paraId="3F554246" w14:textId="77777777" w:rsidR="001B4EAD" w:rsidRPr="001B4EAD"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Solicito los documentos que sustentan las Acciones de la Dirección General ha realizado a favor de la comunidad LGBT del hospital.</w:t>
      </w:r>
    </w:p>
    <w:p w14:paraId="44DC5730" w14:textId="1F68C672" w:rsidR="001B4EAD" w:rsidRPr="001B4EAD"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 xml:space="preserve">Solicito el </w:t>
      </w:r>
      <w:proofErr w:type="spellStart"/>
      <w:r w:rsidRPr="001B4EAD">
        <w:rPr>
          <w:rFonts w:ascii="Palatino Linotype" w:eastAsia="Palatino Linotype" w:hAnsi="Palatino Linotype" w:cs="Palatino Linotype"/>
          <w:i/>
        </w:rPr>
        <w:t>Curriculum</w:t>
      </w:r>
      <w:proofErr w:type="spellEnd"/>
      <w:r w:rsidRPr="001B4EAD">
        <w:rPr>
          <w:rFonts w:ascii="Palatino Linotype" w:eastAsia="Palatino Linotype" w:hAnsi="Palatino Linotype" w:cs="Palatino Linotype"/>
          <w:i/>
        </w:rPr>
        <w:t xml:space="preserve"> vitae de la servidora pública Carolina López así como incidencias, faltas, permisos de entrada y salida vacaciones del año 2024.</w:t>
      </w:r>
    </w:p>
    <w:p w14:paraId="5409AB85" w14:textId="77777777" w:rsidR="001B4EAD" w:rsidRPr="001B4EAD"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Solicito evidencia de checador (tarjeta de entrada y salida) de las funcionarias públicas Ruth Sanjuan y la Dra. Escamilla, adscritas a la jornada especial nocturna.</w:t>
      </w:r>
    </w:p>
    <w:p w14:paraId="1205FA6A" w14:textId="66748BB1" w:rsidR="001B4EAD" w:rsidRPr="001B4EAD"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Solicito de la funcion</w:t>
      </w:r>
      <w:r w:rsidR="00CA0559">
        <w:rPr>
          <w:rFonts w:ascii="Palatino Linotype" w:eastAsia="Palatino Linotype" w:hAnsi="Palatino Linotype" w:cs="Palatino Linotype"/>
          <w:i/>
        </w:rPr>
        <w:t>aria pública Angélica González</w:t>
      </w:r>
      <w:r w:rsidRPr="001B4EAD">
        <w:rPr>
          <w:rFonts w:ascii="Palatino Linotype" w:eastAsia="Palatino Linotype" w:hAnsi="Palatino Linotype" w:cs="Palatino Linotype"/>
          <w:i/>
        </w:rPr>
        <w:t xml:space="preserve">, </w:t>
      </w:r>
      <w:proofErr w:type="spellStart"/>
      <w:r w:rsidRPr="001B4EAD">
        <w:rPr>
          <w:rFonts w:ascii="Palatino Linotype" w:eastAsia="Palatino Linotype" w:hAnsi="Palatino Linotype" w:cs="Palatino Linotype"/>
          <w:i/>
        </w:rPr>
        <w:t>Curriculum</w:t>
      </w:r>
      <w:proofErr w:type="spellEnd"/>
      <w:r w:rsidRPr="001B4EAD">
        <w:rPr>
          <w:rFonts w:ascii="Palatino Linotype" w:eastAsia="Palatino Linotype" w:hAnsi="Palatino Linotype" w:cs="Palatino Linotype"/>
          <w:i/>
        </w:rPr>
        <w:t xml:space="preserve"> vitae, formación académica y cursos de formación así como circunstancias de hechos, exhortos, llamadas de atención, que se le hayan entregado con firma de recibido.</w:t>
      </w:r>
    </w:p>
    <w:p w14:paraId="0A6479F8" w14:textId="77777777" w:rsidR="001B4EAD" w:rsidRPr="001B4EAD"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Solicito las acciones que la Subdirección de Personal ha implementado en función de la NOM 035STPS del 2020 a la fecha, oficios, encuestas, cuestionarios de ambiente laboral, diagnóstico de clima laboral que obren en esta Subdirección.</w:t>
      </w:r>
    </w:p>
    <w:p w14:paraId="4BA7E12E" w14:textId="77777777" w:rsidR="001B4EAD" w:rsidRPr="001B4EAD"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Solicito evidencia de los cursos en relación a la medición del conflicto, comunicación interpersonal, habilidades gerenciales que la Jefatura de Urgencias haya implementado en favor del personal adscrito a este servicio, así como la evidencia o constancias de todo el personal adscrito al mismo que haya tomado estos cursos.</w:t>
      </w:r>
    </w:p>
    <w:p w14:paraId="0276837F" w14:textId="77777777" w:rsidR="00882FC6" w:rsidRDefault="001B4EAD" w:rsidP="00EA00F7">
      <w:pPr>
        <w:numPr>
          <w:ilvl w:val="0"/>
          <w:numId w:val="1"/>
        </w:numPr>
        <w:spacing w:after="0" w:line="276" w:lineRule="auto"/>
        <w:ind w:left="851" w:right="616" w:firstLine="0"/>
        <w:jc w:val="both"/>
        <w:rPr>
          <w:rFonts w:ascii="Palatino Linotype" w:eastAsia="Palatino Linotype" w:hAnsi="Palatino Linotype" w:cs="Palatino Linotype"/>
          <w:i/>
        </w:rPr>
      </w:pPr>
      <w:r w:rsidRPr="001B4EAD">
        <w:rPr>
          <w:rFonts w:ascii="Palatino Linotype" w:eastAsia="Palatino Linotype" w:hAnsi="Palatino Linotype" w:cs="Palatino Linotype"/>
          <w:i/>
        </w:rPr>
        <w:t>Solicito evidencia documental de los últimos tres casos de conflicto médico que se han llevado a Comité de Ética, MECIC, COCASEP Y CODECIN así como las acciones de mejora que como resultado de estas minutas de acuerdo la Jefatura de Urgencias haya establecido para con los médicos adscritos con este servicio.</w:t>
      </w:r>
      <w:r w:rsidR="00165310">
        <w:rPr>
          <w:rFonts w:ascii="Palatino Linotype" w:eastAsia="Palatino Linotype" w:hAnsi="Palatino Linotype" w:cs="Palatino Linotype"/>
          <w:i/>
        </w:rPr>
        <w:t>.</w:t>
      </w:r>
    </w:p>
    <w:p w14:paraId="179F5430" w14:textId="77777777" w:rsidR="00882FC6" w:rsidRDefault="00882FC6">
      <w:pPr>
        <w:spacing w:after="0" w:line="360" w:lineRule="auto"/>
        <w:jc w:val="both"/>
        <w:rPr>
          <w:rFonts w:ascii="Palatino Linotype" w:eastAsia="Palatino Linotype" w:hAnsi="Palatino Linotype" w:cs="Palatino Linotype"/>
        </w:rPr>
      </w:pPr>
    </w:p>
    <w:p w14:paraId="566D7FFE" w14:textId="2767AE99" w:rsidR="00882FC6" w:rsidRDefault="001653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sidR="00EA00F7">
        <w:rPr>
          <w:rFonts w:ascii="Palatino Linotype" w:eastAsia="Palatino Linotype" w:hAnsi="Palatino Linotype" w:cs="Palatino Linotype"/>
        </w:rPr>
        <w:t xml:space="preserve">ente recurrido </w:t>
      </w:r>
      <w:r w:rsidR="007B5A29">
        <w:rPr>
          <w:rFonts w:ascii="Palatino Linotype" w:eastAsia="Palatino Linotype" w:hAnsi="Palatino Linotype" w:cs="Palatino Linotype"/>
        </w:rPr>
        <w:t xml:space="preserve">proporcionó diversos documentos, </w:t>
      </w:r>
      <w:r w:rsidR="007B7F16">
        <w:rPr>
          <w:rFonts w:ascii="Palatino Linotype" w:eastAsia="Palatino Linotype" w:hAnsi="Palatino Linotype" w:cs="Palatino Linotype"/>
        </w:rPr>
        <w:t xml:space="preserve">de </w:t>
      </w:r>
      <w:r w:rsidR="007B5A29">
        <w:rPr>
          <w:rFonts w:ascii="Palatino Linotype" w:eastAsia="Palatino Linotype" w:hAnsi="Palatino Linotype" w:cs="Palatino Linotype"/>
        </w:rPr>
        <w:t>lo</w:t>
      </w:r>
      <w:r w:rsidR="007B5A29" w:rsidRPr="007B5A29">
        <w:rPr>
          <w:rFonts w:ascii="Palatino Linotype" w:eastAsia="Palatino Linotype" w:hAnsi="Palatino Linotype" w:cs="Palatino Linotype"/>
        </w:rPr>
        <w:t xml:space="preserve">s cuales se puede </w:t>
      </w:r>
      <w:r w:rsidR="007B7F16">
        <w:rPr>
          <w:rFonts w:ascii="Palatino Linotype" w:eastAsia="Palatino Linotype" w:hAnsi="Palatino Linotype" w:cs="Palatino Linotype"/>
        </w:rPr>
        <w:t xml:space="preserve">advertir datos que son considerados como confidenciales, tales como </w:t>
      </w:r>
      <w:r w:rsidR="007B5A29" w:rsidRPr="007B5A29">
        <w:rPr>
          <w:rFonts w:ascii="Palatino Linotype" w:eastAsia="Palatino Linotype" w:hAnsi="Palatino Linotype" w:cs="Palatino Linotype"/>
        </w:rPr>
        <w:t xml:space="preserve">domicilio personal, </w:t>
      </w:r>
      <w:r w:rsidR="007B5A29" w:rsidRPr="007B5A29">
        <w:rPr>
          <w:rFonts w:ascii="Palatino Linotype" w:eastAsia="Palatino Linotype" w:hAnsi="Palatino Linotype" w:cs="Palatino Linotype"/>
        </w:rPr>
        <w:lastRenderedPageBreak/>
        <w:t xml:space="preserve">teléfono particular, correo electrónico particular, edad, estado civil, CURP, RFC, lugar de nacimiento, fecha de nacimiento, calificaciones y promedio, </w:t>
      </w:r>
      <w:r w:rsidR="00EA00F7">
        <w:rPr>
          <w:rFonts w:ascii="Palatino Linotype" w:eastAsia="Palatino Linotype" w:hAnsi="Palatino Linotype" w:cs="Palatino Linotype"/>
        </w:rPr>
        <w:t xml:space="preserve">documentos que no </w:t>
      </w:r>
      <w:r w:rsidR="007B5A29">
        <w:rPr>
          <w:rFonts w:ascii="Palatino Linotype" w:eastAsia="Palatino Linotype" w:hAnsi="Palatino Linotype" w:cs="Palatino Linotype"/>
        </w:rPr>
        <w:t xml:space="preserve">fueron impugnados </w:t>
      </w:r>
      <w:r w:rsidR="00EA00F7">
        <w:rPr>
          <w:rFonts w:ascii="Palatino Linotype" w:eastAsia="Palatino Linotype" w:hAnsi="Palatino Linotype" w:cs="Palatino Linotype"/>
        </w:rPr>
        <w:t xml:space="preserve">por el </w:t>
      </w:r>
      <w:r w:rsidR="007B5A29">
        <w:rPr>
          <w:rFonts w:ascii="Palatino Linotype" w:eastAsia="Palatino Linotype" w:hAnsi="Palatino Linotype" w:cs="Palatino Linotype"/>
        </w:rPr>
        <w:t>particular</w:t>
      </w:r>
      <w:r w:rsidR="00EA00F7">
        <w:rPr>
          <w:rFonts w:ascii="Palatino Linotype" w:eastAsia="Palatino Linotype" w:hAnsi="Palatino Linotype" w:cs="Palatino Linotype"/>
        </w:rPr>
        <w:t xml:space="preserve">, toda vez que </w:t>
      </w:r>
      <w:r w:rsidR="007B5A29">
        <w:rPr>
          <w:rFonts w:ascii="Palatino Linotype" w:eastAsia="Palatino Linotype" w:hAnsi="Palatino Linotype" w:cs="Palatino Linotype"/>
        </w:rPr>
        <w:t xml:space="preserve">solo se inconformó por </w:t>
      </w:r>
      <w:r w:rsidR="007B7F16">
        <w:rPr>
          <w:rFonts w:ascii="Palatino Linotype" w:eastAsia="Palatino Linotype" w:hAnsi="Palatino Linotype" w:cs="Palatino Linotype"/>
        </w:rPr>
        <w:t xml:space="preserve">los turnos del área de urgencias </w:t>
      </w:r>
      <w:r w:rsidR="001E4005" w:rsidRPr="001E4005">
        <w:rPr>
          <w:rFonts w:ascii="Palatino Linotype" w:eastAsia="Palatino Linotype" w:hAnsi="Palatino Linotype" w:cs="Palatino Linotype"/>
        </w:rPr>
        <w:t>de</w:t>
      </w:r>
      <w:r w:rsidR="001E4005">
        <w:rPr>
          <w:rFonts w:ascii="Palatino Linotype" w:eastAsia="Palatino Linotype" w:hAnsi="Palatino Linotype" w:cs="Palatino Linotype"/>
        </w:rPr>
        <w:t xml:space="preserve"> la servidora pública adscrita al servicio de urgencias</w:t>
      </w:r>
      <w:r w:rsidR="007B5A29">
        <w:rPr>
          <w:rFonts w:ascii="Palatino Linotype" w:eastAsia="Palatino Linotype" w:hAnsi="Palatino Linotype" w:cs="Palatino Linotype"/>
        </w:rPr>
        <w:t xml:space="preserve"> referida en el punto tres de la solicitud</w:t>
      </w:r>
      <w:r w:rsidR="001E4005">
        <w:rPr>
          <w:rFonts w:ascii="Palatino Linotype" w:eastAsia="Palatino Linotype" w:hAnsi="Palatino Linotype" w:cs="Palatino Linotype"/>
        </w:rPr>
        <w:t>, de dos mil diecisiete a dos mil veintitrés</w:t>
      </w:r>
      <w:r>
        <w:rPr>
          <w:rFonts w:ascii="Palatino Linotype" w:eastAsia="Palatino Linotype" w:hAnsi="Palatino Linotype" w:cs="Palatino Linotype"/>
        </w:rPr>
        <w:t>, por lo que no se realizó el análisis de estos en la resolución y se invocó la figura jurídica de actos consentidos.</w:t>
      </w:r>
    </w:p>
    <w:p w14:paraId="41D419DA" w14:textId="77777777" w:rsidR="00882FC6" w:rsidRDefault="00882FC6">
      <w:pPr>
        <w:spacing w:after="0" w:line="360" w:lineRule="auto"/>
        <w:jc w:val="both"/>
        <w:rPr>
          <w:rFonts w:ascii="Palatino Linotype" w:eastAsia="Palatino Linotype" w:hAnsi="Palatino Linotype" w:cs="Palatino Linotype"/>
        </w:rPr>
      </w:pPr>
    </w:p>
    <w:p w14:paraId="00F08D3A" w14:textId="6D560B4B" w:rsidR="00A53B5A" w:rsidRDefault="001653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partir de tales actuaciones, se consideró procedente dar vista a la Dirección General de Protección de Datos Personales; </w:t>
      </w:r>
      <w:r w:rsidR="007B5A29">
        <w:rPr>
          <w:rFonts w:ascii="Palatino Linotype" w:eastAsia="Palatino Linotype" w:hAnsi="Palatino Linotype" w:cs="Palatino Linotype"/>
        </w:rPr>
        <w:t xml:space="preserve">al </w:t>
      </w:r>
      <w:r w:rsidR="00A53B5A">
        <w:rPr>
          <w:rFonts w:ascii="Palatino Linotype" w:eastAsia="Palatino Linotype" w:hAnsi="Palatino Linotype" w:cs="Palatino Linotype"/>
        </w:rPr>
        <w:t>haberse</w:t>
      </w:r>
      <w:r w:rsidR="007B5A29">
        <w:rPr>
          <w:rFonts w:ascii="Palatino Linotype" w:eastAsia="Palatino Linotype" w:hAnsi="Palatino Linotype" w:cs="Palatino Linotype"/>
        </w:rPr>
        <w:t xml:space="preserve"> dejando </w:t>
      </w:r>
      <w:r w:rsidR="00A53B5A">
        <w:rPr>
          <w:rFonts w:ascii="Palatino Linotype" w:eastAsia="Palatino Linotype" w:hAnsi="Palatino Linotype" w:cs="Palatino Linotype"/>
        </w:rPr>
        <w:t xml:space="preserve">a la vista en los diversos documentos remitidos en respuesta, datos personales de identificación de los diversos servidores públicos; sin embargo, se insiste, </w:t>
      </w:r>
      <w:r>
        <w:rPr>
          <w:rFonts w:ascii="Palatino Linotype" w:eastAsia="Palatino Linotype" w:hAnsi="Palatino Linotype" w:cs="Palatino Linotype"/>
        </w:rPr>
        <w:t>el Particular, no se inconformó respecto de la información entregada</w:t>
      </w:r>
      <w:r w:rsidR="00A53B5A">
        <w:rPr>
          <w:rFonts w:ascii="Palatino Linotype" w:eastAsia="Palatino Linotype" w:hAnsi="Palatino Linotype" w:cs="Palatino Linotype"/>
        </w:rPr>
        <w:t>, sino de</w:t>
      </w:r>
      <w:r w:rsidR="007B7F16">
        <w:rPr>
          <w:rFonts w:ascii="Palatino Linotype" w:eastAsia="Palatino Linotype" w:hAnsi="Palatino Linotype" w:cs="Palatino Linotype"/>
        </w:rPr>
        <w:t xml:space="preserve"> los </w:t>
      </w:r>
      <w:r w:rsidR="00A53B5A" w:rsidRPr="00A53B5A">
        <w:rPr>
          <w:rFonts w:ascii="Palatino Linotype" w:eastAsia="Palatino Linotype" w:hAnsi="Palatino Linotype" w:cs="Palatino Linotype"/>
        </w:rPr>
        <w:t>turno</w:t>
      </w:r>
      <w:r w:rsidR="007B7F16">
        <w:rPr>
          <w:rFonts w:ascii="Palatino Linotype" w:eastAsia="Palatino Linotype" w:hAnsi="Palatino Linotype" w:cs="Palatino Linotype"/>
        </w:rPr>
        <w:t>s</w:t>
      </w:r>
      <w:r w:rsidR="00A53B5A" w:rsidRPr="00A53B5A">
        <w:rPr>
          <w:rFonts w:ascii="Palatino Linotype" w:eastAsia="Palatino Linotype" w:hAnsi="Palatino Linotype" w:cs="Palatino Linotype"/>
        </w:rPr>
        <w:t xml:space="preserve"> de la servidora pública adscrita al servicio de urgencias, de</w:t>
      </w:r>
      <w:r w:rsidR="00A53B5A">
        <w:rPr>
          <w:rFonts w:ascii="Palatino Linotype" w:eastAsia="Palatino Linotype" w:hAnsi="Palatino Linotype" w:cs="Palatino Linotype"/>
        </w:rPr>
        <w:t xml:space="preserve">l </w:t>
      </w:r>
      <w:r w:rsidR="00A53B5A" w:rsidRPr="00A53B5A">
        <w:rPr>
          <w:rFonts w:ascii="Palatino Linotype" w:eastAsia="Palatino Linotype" w:hAnsi="Palatino Linotype" w:cs="Palatino Linotype"/>
        </w:rPr>
        <w:t>dos mil diecisiete a</w:t>
      </w:r>
      <w:r w:rsidR="007B7F16">
        <w:rPr>
          <w:rFonts w:ascii="Palatino Linotype" w:eastAsia="Palatino Linotype" w:hAnsi="Palatino Linotype" w:cs="Palatino Linotype"/>
        </w:rPr>
        <w:t xml:space="preserve">l </w:t>
      </w:r>
      <w:r w:rsidR="00A53B5A" w:rsidRPr="00A53B5A">
        <w:rPr>
          <w:rFonts w:ascii="Palatino Linotype" w:eastAsia="Palatino Linotype" w:hAnsi="Palatino Linotype" w:cs="Palatino Linotype"/>
        </w:rPr>
        <w:t>dos mil veintitrés</w:t>
      </w:r>
      <w:r>
        <w:rPr>
          <w:rFonts w:ascii="Palatino Linotype" w:eastAsia="Palatino Linotype" w:hAnsi="Palatino Linotype" w:cs="Palatino Linotype"/>
        </w:rPr>
        <w:t xml:space="preserve">. </w:t>
      </w:r>
    </w:p>
    <w:p w14:paraId="2766930F" w14:textId="77777777" w:rsidR="00A53B5A" w:rsidRDefault="00A53B5A">
      <w:pPr>
        <w:spacing w:after="0" w:line="360" w:lineRule="auto"/>
        <w:jc w:val="both"/>
        <w:rPr>
          <w:rFonts w:ascii="Palatino Linotype" w:eastAsia="Palatino Linotype" w:hAnsi="Palatino Linotype" w:cs="Palatino Linotype"/>
        </w:rPr>
      </w:pPr>
    </w:p>
    <w:p w14:paraId="252467A4" w14:textId="77777777" w:rsidR="00882FC6" w:rsidRDefault="001653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mencionar que, si bien se comparte el sentido de la Resolución emitida, no coincidimos en el sentido de dar vista al área de </w:t>
      </w:r>
      <w:r w:rsidR="00A53B5A">
        <w:rPr>
          <w:rFonts w:ascii="Palatino Linotype" w:eastAsia="Palatino Linotype" w:hAnsi="Palatino Linotype" w:cs="Palatino Linotype"/>
        </w:rPr>
        <w:t>Datos Personales de este Instituto</w:t>
      </w:r>
      <w:r>
        <w:rPr>
          <w:rFonts w:ascii="Palatino Linotype" w:eastAsia="Palatino Linotype" w:hAnsi="Palatino Linotype" w:cs="Palatino Linotype"/>
        </w:rPr>
        <w:t>, máxime de que los documentos por los cuales se da la vista no fueron impugnados, ni formaron parte del estudio.</w:t>
      </w:r>
    </w:p>
    <w:p w14:paraId="00A8BE9C" w14:textId="77777777" w:rsidR="00882FC6" w:rsidRDefault="00882FC6">
      <w:pPr>
        <w:tabs>
          <w:tab w:val="left" w:pos="0"/>
        </w:tabs>
        <w:spacing w:after="0" w:line="360" w:lineRule="auto"/>
        <w:ind w:right="49"/>
        <w:jc w:val="both"/>
        <w:rPr>
          <w:rFonts w:ascii="Palatino Linotype" w:eastAsia="Palatino Linotype" w:hAnsi="Palatino Linotype" w:cs="Palatino Linotype"/>
        </w:rPr>
      </w:pPr>
    </w:p>
    <w:p w14:paraId="64A50F18" w14:textId="77777777" w:rsidR="00882FC6" w:rsidRDefault="00165310">
      <w:pPr>
        <w:tabs>
          <w:tab w:val="left" w:pos="0"/>
        </w:tabs>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Determinación que constituye el motivo para la emisión del presente Voto Particular Concurrente, toda vez,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del mismo modo precisa que este Instituto es un organismo público estatal constitucionalmente autónomo, </w:t>
      </w:r>
      <w:r>
        <w:rPr>
          <w:rFonts w:ascii="Palatino Linotype" w:eastAsia="Palatino Linotype" w:hAnsi="Palatino Linotype" w:cs="Palatino Linotype"/>
        </w:rPr>
        <w:lastRenderedPageBreak/>
        <w:t>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conforme a los principios y bases establecidas en la Constitución Federal, Constitución Local, Ley General, así como lo previsto en esta Ley y demás disposiciones jurídicas aplicables.</w:t>
      </w:r>
    </w:p>
    <w:p w14:paraId="2B40F88E" w14:textId="77777777" w:rsidR="00882FC6" w:rsidRDefault="00882FC6">
      <w:pPr>
        <w:tabs>
          <w:tab w:val="left" w:pos="0"/>
        </w:tabs>
        <w:spacing w:after="0" w:line="360" w:lineRule="auto"/>
        <w:ind w:right="49"/>
        <w:jc w:val="both"/>
        <w:rPr>
          <w:rFonts w:ascii="Palatino Linotype" w:eastAsia="Palatino Linotype" w:hAnsi="Palatino Linotype" w:cs="Palatino Linotype"/>
        </w:rPr>
      </w:pPr>
    </w:p>
    <w:p w14:paraId="768C2B56" w14:textId="77777777" w:rsidR="00882FC6" w:rsidRDefault="00165310">
      <w:pPr>
        <w:shd w:val="clear" w:color="auto" w:fill="FFFFFF"/>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sentido, es de resaltar que el recurso de revisión es la garantía secundaria mediante la cual se pretende reparar cualquier posible afectación al derecho de acceso a la información pública, en donde las resoluciones de este Organismo Garante pueden:</w:t>
      </w:r>
    </w:p>
    <w:p w14:paraId="7A677494" w14:textId="77777777" w:rsidR="00882FC6" w:rsidRDefault="00882FC6">
      <w:pPr>
        <w:shd w:val="clear" w:color="auto" w:fill="FFFFFF"/>
        <w:spacing w:after="0" w:line="360" w:lineRule="auto"/>
        <w:ind w:right="49"/>
        <w:jc w:val="both"/>
        <w:rPr>
          <w:rFonts w:ascii="Palatino Linotype" w:eastAsia="Palatino Linotype" w:hAnsi="Palatino Linotype" w:cs="Palatino Linotype"/>
        </w:rPr>
      </w:pPr>
    </w:p>
    <w:p w14:paraId="6DF05929" w14:textId="77777777" w:rsidR="00882FC6" w:rsidRDefault="00165310">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Desechar o sobreseer el recurso</w:t>
      </w:r>
    </w:p>
    <w:p w14:paraId="38995C6D" w14:textId="77777777" w:rsidR="00882FC6" w:rsidRDefault="00165310">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Confirma la respuesta del sujeto obligado</w:t>
      </w:r>
    </w:p>
    <w:p w14:paraId="6E7B960A" w14:textId="77777777" w:rsidR="00882FC6" w:rsidRDefault="00165310">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Revocar o modificar la respuesta del sujeto obligado; y </w:t>
      </w:r>
    </w:p>
    <w:p w14:paraId="1637F2AC" w14:textId="77777777" w:rsidR="00882FC6" w:rsidRDefault="00165310">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Ordenar la entrega de la información</w:t>
      </w:r>
    </w:p>
    <w:p w14:paraId="7B657FD5" w14:textId="77777777" w:rsidR="00882FC6" w:rsidRDefault="00882FC6">
      <w:pPr>
        <w:spacing w:after="0" w:line="360" w:lineRule="auto"/>
        <w:ind w:left="720"/>
        <w:jc w:val="both"/>
        <w:rPr>
          <w:rFonts w:ascii="Palatino Linotype" w:eastAsia="Palatino Linotype" w:hAnsi="Palatino Linotype" w:cs="Palatino Linotype"/>
        </w:rPr>
      </w:pPr>
    </w:p>
    <w:p w14:paraId="7FE5F5ED" w14:textId="77777777" w:rsidR="00882FC6" w:rsidRDefault="001653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Cabe agregar que las resoluciones que pronuncie este Instituto deben contener cuatro aspectos importantes:</w:t>
      </w:r>
    </w:p>
    <w:p w14:paraId="34188680" w14:textId="77777777" w:rsidR="00882FC6" w:rsidRDefault="00882FC6">
      <w:pPr>
        <w:spacing w:after="0" w:line="360" w:lineRule="auto"/>
        <w:jc w:val="both"/>
        <w:rPr>
          <w:rFonts w:ascii="Palatino Linotype" w:eastAsia="Palatino Linotype" w:hAnsi="Palatino Linotype" w:cs="Palatino Linotype"/>
        </w:rPr>
      </w:pPr>
    </w:p>
    <w:p w14:paraId="2BECAAA7" w14:textId="77777777" w:rsidR="00882FC6" w:rsidRDefault="00165310">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Lugar, fecha, el nombre del recurrente y del tercero interesado en su caso, sujeto obligado y un extracto de los hechos cuestionados;</w:t>
      </w:r>
    </w:p>
    <w:p w14:paraId="315B8D74" w14:textId="77777777" w:rsidR="00882FC6" w:rsidRDefault="00882FC6">
      <w:pPr>
        <w:spacing w:after="0" w:line="360" w:lineRule="auto"/>
        <w:ind w:left="720"/>
        <w:jc w:val="both"/>
        <w:rPr>
          <w:rFonts w:ascii="Palatino Linotype" w:eastAsia="Palatino Linotype" w:hAnsi="Palatino Linotype" w:cs="Palatino Linotype"/>
        </w:rPr>
      </w:pPr>
    </w:p>
    <w:p w14:paraId="204E6B3E" w14:textId="77777777" w:rsidR="00882FC6" w:rsidRDefault="00165310">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preceptos en que se fundamenten y las consideraciones que las sustenten;</w:t>
      </w:r>
    </w:p>
    <w:p w14:paraId="7B74E3AA" w14:textId="77777777" w:rsidR="00882FC6" w:rsidRDefault="00882FC6">
      <w:pPr>
        <w:spacing w:after="0" w:line="360" w:lineRule="auto"/>
        <w:ind w:left="720"/>
        <w:jc w:val="both"/>
        <w:rPr>
          <w:rFonts w:ascii="Palatino Linotype" w:eastAsia="Palatino Linotype" w:hAnsi="Palatino Linotype" w:cs="Palatino Linotype"/>
        </w:rPr>
      </w:pPr>
    </w:p>
    <w:p w14:paraId="4E4EEF29" w14:textId="77777777" w:rsidR="00882FC6" w:rsidRDefault="00165310">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alcances y efectos de la resolución, fijando con precisión, en su caso, los sujetos y órganos obligados a cumplirla; y</w:t>
      </w:r>
    </w:p>
    <w:p w14:paraId="58A84E84" w14:textId="77777777" w:rsidR="00882FC6" w:rsidRDefault="00165310">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Los puntos resolutivos.</w:t>
      </w:r>
    </w:p>
    <w:p w14:paraId="4BD9056E" w14:textId="77777777" w:rsidR="00882FC6" w:rsidRDefault="00882FC6">
      <w:pPr>
        <w:spacing w:after="0" w:line="360" w:lineRule="auto"/>
        <w:jc w:val="both"/>
        <w:rPr>
          <w:rFonts w:ascii="Palatino Linotype" w:eastAsia="Palatino Linotype" w:hAnsi="Palatino Linotype" w:cs="Palatino Linotype"/>
        </w:rPr>
      </w:pPr>
    </w:p>
    <w:p w14:paraId="5FB220E1" w14:textId="77777777" w:rsidR="00882FC6" w:rsidRDefault="001653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se considera de suma importancia mencionar que, de la normatividad citada, se advierte que este Instituto está facultado entre otras cosas para:</w:t>
      </w:r>
    </w:p>
    <w:p w14:paraId="4FA4425C" w14:textId="77777777" w:rsidR="00882FC6" w:rsidRDefault="00882FC6">
      <w:pPr>
        <w:spacing w:after="0" w:line="360" w:lineRule="auto"/>
        <w:jc w:val="both"/>
        <w:rPr>
          <w:rFonts w:ascii="Palatino Linotype" w:eastAsia="Palatino Linotype" w:hAnsi="Palatino Linotype" w:cs="Palatino Linotype"/>
        </w:rPr>
      </w:pPr>
    </w:p>
    <w:p w14:paraId="6B92AF77" w14:textId="77777777" w:rsidR="00882FC6" w:rsidRDefault="00165310">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Conocer y resolver los recursos de revisión interpuestos por los particulares en contra de las resoluciones de los sujetos obligados en el ámbito estatal;</w:t>
      </w:r>
    </w:p>
    <w:p w14:paraId="75626595" w14:textId="77777777" w:rsidR="00882FC6" w:rsidRDefault="00882FC6">
      <w:pPr>
        <w:spacing w:after="0" w:line="360" w:lineRule="auto"/>
        <w:ind w:left="720"/>
        <w:jc w:val="both"/>
        <w:rPr>
          <w:rFonts w:ascii="Palatino Linotype" w:eastAsia="Palatino Linotype" w:hAnsi="Palatino Linotype" w:cs="Palatino Linotype"/>
          <w:i/>
        </w:rPr>
      </w:pPr>
    </w:p>
    <w:p w14:paraId="5AE000FC" w14:textId="77777777" w:rsidR="00882FC6" w:rsidRDefault="00165310">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Realizar de oficio y a petición de parte, análisis y recomendaciones o en su caso, lineamientos en relación con presuntos incumplimientos a las disposiciones de la Ley, cuando existan elementos suficientes a juicio del Pleno del Instituto;</w:t>
      </w:r>
    </w:p>
    <w:p w14:paraId="5E92A720" w14:textId="77777777" w:rsidR="00882FC6" w:rsidRDefault="00882FC6">
      <w:pPr>
        <w:spacing w:after="0" w:line="360" w:lineRule="auto"/>
        <w:ind w:left="720"/>
        <w:jc w:val="both"/>
        <w:rPr>
          <w:rFonts w:ascii="Palatino Linotype" w:eastAsia="Palatino Linotype" w:hAnsi="Palatino Linotype" w:cs="Palatino Linotype"/>
          <w:i/>
        </w:rPr>
      </w:pPr>
    </w:p>
    <w:p w14:paraId="3B225FD3" w14:textId="77777777" w:rsidR="00882FC6" w:rsidRDefault="00165310">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Emitir comunicados públicos sobre el incumplimiento de sus resoluciones o por infracciones reiteradas a la Ley, en el ámbito de su competencia;</w:t>
      </w:r>
    </w:p>
    <w:p w14:paraId="30C2FC64" w14:textId="77777777" w:rsidR="00882FC6" w:rsidRDefault="00882FC6">
      <w:pPr>
        <w:spacing w:after="0" w:line="360" w:lineRule="auto"/>
        <w:ind w:left="720"/>
        <w:jc w:val="both"/>
        <w:rPr>
          <w:rFonts w:ascii="Palatino Linotype" w:eastAsia="Palatino Linotype" w:hAnsi="Palatino Linotype" w:cs="Palatino Linotype"/>
          <w:i/>
        </w:rPr>
      </w:pPr>
    </w:p>
    <w:p w14:paraId="435960E5" w14:textId="77777777" w:rsidR="00882FC6" w:rsidRDefault="00165310">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Ordenar a los sujetos obligados la ejecutoría en la entrega de información en términos de la presente Ley;</w:t>
      </w:r>
    </w:p>
    <w:p w14:paraId="56E6FF7E" w14:textId="77777777" w:rsidR="00882FC6" w:rsidRDefault="00882FC6">
      <w:pPr>
        <w:spacing w:after="0" w:line="360" w:lineRule="auto"/>
        <w:ind w:left="720"/>
        <w:jc w:val="both"/>
        <w:rPr>
          <w:rFonts w:ascii="Palatino Linotype" w:eastAsia="Palatino Linotype" w:hAnsi="Palatino Linotype" w:cs="Palatino Linotype"/>
          <w:i/>
        </w:rPr>
      </w:pPr>
    </w:p>
    <w:p w14:paraId="76E4577E" w14:textId="77777777" w:rsidR="00882FC6" w:rsidRDefault="00165310">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Imponer las medidas de apremio para asegurar el cumplimiento de sus determinaciones;</w:t>
      </w:r>
    </w:p>
    <w:p w14:paraId="30FD6AFF" w14:textId="77777777" w:rsidR="00882FC6" w:rsidRDefault="00882FC6">
      <w:pPr>
        <w:spacing w:after="0" w:line="360" w:lineRule="auto"/>
        <w:ind w:left="720"/>
        <w:jc w:val="both"/>
        <w:rPr>
          <w:rFonts w:ascii="Palatino Linotype" w:eastAsia="Palatino Linotype" w:hAnsi="Palatino Linotype" w:cs="Palatino Linotype"/>
          <w:i/>
        </w:rPr>
      </w:pPr>
    </w:p>
    <w:p w14:paraId="04FE739C" w14:textId="77777777" w:rsidR="00882FC6" w:rsidRDefault="00165310">
      <w:pPr>
        <w:numPr>
          <w:ilvl w:val="0"/>
          <w:numId w:val="4"/>
        </w:num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b/>
          <w:i/>
          <w:u w:val="single"/>
        </w:rPr>
        <w:t>Hacer del conocimiento de la instancia competente la probable responsabilidad por el incumplimiento de las obligaciones</w:t>
      </w:r>
      <w:r>
        <w:rPr>
          <w:rFonts w:ascii="Palatino Linotype" w:eastAsia="Palatino Linotype" w:hAnsi="Palatino Linotype" w:cs="Palatino Linotype"/>
          <w:i/>
        </w:rPr>
        <w:t xml:space="preserve"> previstas en la Ley y en las demás disposiciones aplicable.  </w:t>
      </w:r>
    </w:p>
    <w:p w14:paraId="30A5D947" w14:textId="77777777" w:rsidR="00882FC6" w:rsidRDefault="00882FC6">
      <w:pPr>
        <w:spacing w:after="0" w:line="360" w:lineRule="auto"/>
        <w:jc w:val="both"/>
        <w:rPr>
          <w:rFonts w:ascii="Palatino Linotype" w:eastAsia="Palatino Linotype" w:hAnsi="Palatino Linotype" w:cs="Palatino Linotype"/>
        </w:rPr>
      </w:pPr>
    </w:p>
    <w:p w14:paraId="658D35B5" w14:textId="77777777" w:rsidR="00882FC6" w:rsidRDefault="001653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Establecido lo anterior, debe tomarse en cuenta que la vista a la Dirección General de Protección de Datos Personales de este Instituto, no debió incluirse en los resolutivos de la </w:t>
      </w:r>
      <w:r>
        <w:rPr>
          <w:rFonts w:ascii="Palatino Linotype" w:eastAsia="Palatino Linotype" w:hAnsi="Palatino Linotype" w:cs="Palatino Linotype"/>
        </w:rPr>
        <w:lastRenderedPageBreak/>
        <w:t xml:space="preserve">resolución referida, toda vez que, el Particular no se inconformó sobre de la información proporcionada en respuesta, es decir, no forma parte de la litis (por Litis es un vocablo latino que en idioma español se traduce como litigio, significando disputa o controversia judicial; diferencia de intereses entre dos partes, llamadas litigantes, sometidas a decisión de un Juez.) y por lo tanto no se analizó la documentación entregada al invocar actos consentidos, así en el presente asunto, la vista en mención debe realizarse y tramitarse por cuerda separada, en caso de advertirse que es necesario. </w:t>
      </w:r>
    </w:p>
    <w:p w14:paraId="75525471" w14:textId="77777777" w:rsidR="00882FC6" w:rsidRDefault="00882FC6">
      <w:pPr>
        <w:spacing w:after="0" w:line="360" w:lineRule="auto"/>
        <w:jc w:val="both"/>
        <w:rPr>
          <w:rFonts w:ascii="Palatino Linotype" w:eastAsia="Palatino Linotype" w:hAnsi="Palatino Linotype" w:cs="Palatino Linotype"/>
        </w:rPr>
      </w:pPr>
    </w:p>
    <w:p w14:paraId="727E5E45" w14:textId="77777777" w:rsidR="00882FC6" w:rsidRDefault="001653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Aunado a lo anterior, respecto los actos consentidos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w:t>
      </w:r>
      <w:r>
        <w:rPr>
          <w:rFonts w:ascii="Palatino Linotype" w:eastAsia="Palatino Linotype" w:hAnsi="Palatino Linotype" w:cs="Palatino Linotype"/>
          <w:u w:val="single"/>
        </w:rPr>
        <w:t>será improcedente el recurso</w:t>
      </w:r>
      <w:r>
        <w:rPr>
          <w:rFonts w:ascii="Palatino Linotype" w:eastAsia="Palatino Linotype" w:hAnsi="Palatino Linotype" w:cs="Palatino Linotype"/>
        </w:rPr>
        <w:t xml:space="preserve"> contra los actos que se hayan consentido tácitamente, entendiéndose por éstos cuando el recurso no se haya promovido en el plazo señalado para el efecto.</w:t>
      </w:r>
    </w:p>
    <w:p w14:paraId="74F37A92" w14:textId="77777777" w:rsidR="00882FC6" w:rsidRDefault="00882FC6">
      <w:pPr>
        <w:spacing w:after="0" w:line="360" w:lineRule="auto"/>
        <w:jc w:val="both"/>
        <w:rPr>
          <w:rFonts w:ascii="Palatino Linotype" w:eastAsia="Palatino Linotype" w:hAnsi="Palatino Linotype" w:cs="Palatino Linotype"/>
        </w:rPr>
      </w:pPr>
    </w:p>
    <w:p w14:paraId="3BB21678" w14:textId="77777777" w:rsidR="00882FC6" w:rsidRDefault="001653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la misma manera resulta aplicable el criterio sostenido por el Poder Judicial de la Federación de rubro </w:t>
      </w:r>
      <w:r>
        <w:rPr>
          <w:rFonts w:ascii="Palatino Linotype" w:eastAsia="Palatino Linotype" w:hAnsi="Palatino Linotype" w:cs="Palatino Linotype"/>
          <w:b/>
        </w:rPr>
        <w:t>ACTOS CONSENTIDOS TÁCITAMENTE</w:t>
      </w:r>
      <w:r>
        <w:rPr>
          <w:rFonts w:ascii="Palatino Linotype" w:eastAsia="Palatino Linotype" w:hAnsi="Palatino Linotype" w:cs="Palatino Linotype"/>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3A14D4EF" w14:textId="77777777" w:rsidR="00882FC6" w:rsidRDefault="00882FC6">
      <w:pPr>
        <w:spacing w:after="0" w:line="360" w:lineRule="auto"/>
        <w:jc w:val="both"/>
        <w:rPr>
          <w:rFonts w:ascii="Palatino Linotype" w:eastAsia="Palatino Linotype" w:hAnsi="Palatino Linotype" w:cs="Palatino Linotype"/>
        </w:rPr>
      </w:pPr>
    </w:p>
    <w:p w14:paraId="4C399869" w14:textId="77777777" w:rsidR="00882FC6" w:rsidRDefault="001653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en el caso de que el Particular no haya manifestado su inconformidad en contra del acto en su totalidad o en cualquiera de sus partes, se tendrá por consentido al no haber realizado argumento alguno que formulara un agravio en su contra, por lo que, en la </w:t>
      </w:r>
      <w:r>
        <w:rPr>
          <w:rFonts w:ascii="Palatino Linotype" w:eastAsia="Palatino Linotype" w:hAnsi="Palatino Linotype" w:cs="Palatino Linotype"/>
        </w:rPr>
        <w:lastRenderedPageBreak/>
        <w:t>especie, se valida la respuesta respecto de los puntos no controvertidos y se arriba a la conclusión de que estos quedaron firmes, tal como fue realizad</w:t>
      </w:r>
      <w:bookmarkStart w:id="0" w:name="_GoBack"/>
      <w:bookmarkEnd w:id="0"/>
      <w:r>
        <w:rPr>
          <w:rFonts w:ascii="Palatino Linotype" w:eastAsia="Palatino Linotype" w:hAnsi="Palatino Linotype" w:cs="Palatino Linotype"/>
        </w:rPr>
        <w:t>o, sin embargo, al no haber inconformidad ni estudio sobre las documentales remitidas en respuesta, resulta innecesario la vista citada.</w:t>
      </w:r>
    </w:p>
    <w:p w14:paraId="5898C7D7" w14:textId="77777777" w:rsidR="00882FC6" w:rsidRDefault="00882FC6">
      <w:pPr>
        <w:spacing w:after="0" w:line="360" w:lineRule="auto"/>
        <w:jc w:val="both"/>
        <w:rPr>
          <w:rFonts w:ascii="Palatino Linotype" w:eastAsia="Palatino Linotype" w:hAnsi="Palatino Linotype" w:cs="Palatino Linotype"/>
        </w:rPr>
      </w:pPr>
    </w:p>
    <w:p w14:paraId="783758D2" w14:textId="77777777" w:rsidR="00882FC6" w:rsidRDefault="00165310">
      <w:pPr>
        <w:spacing w:after="0" w:line="360" w:lineRule="auto"/>
        <w:jc w:val="both"/>
        <w:rPr>
          <w:rFonts w:ascii="Palatino Linotype" w:eastAsia="Palatino Linotype" w:hAnsi="Palatino Linotype" w:cs="Palatino Linotype"/>
        </w:rPr>
        <w:sectPr w:rsidR="00882FC6">
          <w:headerReference w:type="even" r:id="rId8"/>
          <w:headerReference w:type="default" r:id="rId9"/>
          <w:footerReference w:type="default" r:id="rId10"/>
          <w:headerReference w:type="first" r:id="rId11"/>
          <w:pgSz w:w="12240" w:h="15840"/>
          <w:pgMar w:top="1417" w:right="1701" w:bottom="1417" w:left="1701" w:header="426" w:footer="708" w:gutter="0"/>
          <w:pgNumType w:start="1"/>
          <w:cols w:space="720"/>
        </w:sectPr>
      </w:pPr>
      <w:r>
        <w:rPr>
          <w:rFonts w:ascii="Palatino Linotype" w:eastAsia="Palatino Linotype" w:hAnsi="Palatino Linotype" w:cs="Palatino Linotype"/>
        </w:rPr>
        <w:t xml:space="preserve">Lo anterior expone razones suficientes para la emisión y presentación del presente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xml:space="preserve">, relacionado con la resolución del Recurso de Revisión referido. </w:t>
      </w:r>
    </w:p>
    <w:p w14:paraId="7E5768B2" w14:textId="77777777" w:rsidR="00882FC6" w:rsidRDefault="00882FC6">
      <w:pPr>
        <w:spacing w:after="0" w:line="360" w:lineRule="auto"/>
        <w:jc w:val="both"/>
        <w:rPr>
          <w:rFonts w:ascii="Palatino Linotype" w:eastAsia="Palatino Linotype" w:hAnsi="Palatino Linotype" w:cs="Palatino Linotype"/>
        </w:rPr>
      </w:pPr>
    </w:p>
    <w:sectPr w:rsidR="00882FC6">
      <w:headerReference w:type="default" r:id="rId12"/>
      <w:footerReference w:type="default" r:id="rId13"/>
      <w:pgSz w:w="12240" w:h="15840"/>
      <w:pgMar w:top="1417" w:right="1701" w:bottom="1417" w:left="1701"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B53C8" w14:textId="77777777" w:rsidR="0034508C" w:rsidRDefault="00165310">
      <w:pPr>
        <w:spacing w:after="0" w:line="240" w:lineRule="auto"/>
      </w:pPr>
      <w:r>
        <w:separator/>
      </w:r>
    </w:p>
  </w:endnote>
  <w:endnote w:type="continuationSeparator" w:id="0">
    <w:p w14:paraId="3A0165A1" w14:textId="77777777" w:rsidR="0034508C" w:rsidRDefault="0016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48B25" w14:textId="77777777" w:rsidR="00882FC6" w:rsidRDefault="00165310">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A0559">
      <w:rPr>
        <w:b/>
        <w:noProof/>
        <w:color w:val="000000"/>
        <w:sz w:val="24"/>
        <w:szCs w:val="24"/>
      </w:rPr>
      <w:t>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0559">
      <w:rPr>
        <w:b/>
        <w:noProof/>
        <w:color w:val="000000"/>
        <w:sz w:val="24"/>
        <w:szCs w:val="24"/>
      </w:rPr>
      <w:t>8</w:t>
    </w:r>
    <w:r>
      <w:rPr>
        <w:b/>
        <w:color w:val="000000"/>
        <w:sz w:val="24"/>
        <w:szCs w:val="24"/>
      </w:rPr>
      <w:fldChar w:fldCharType="end"/>
    </w:r>
  </w:p>
  <w:p w14:paraId="6F1AEDCB" w14:textId="77777777" w:rsidR="00882FC6" w:rsidRDefault="00882FC6">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02D1" w14:textId="028A0CB2" w:rsidR="00882FC6" w:rsidRDefault="00165310">
    <w:pPr>
      <w:pBdr>
        <w:top w:val="nil"/>
        <w:left w:val="nil"/>
        <w:bottom w:val="nil"/>
        <w:right w:val="nil"/>
        <w:between w:val="nil"/>
      </w:pBdr>
      <w:tabs>
        <w:tab w:val="center" w:pos="4252"/>
        <w:tab w:val="right" w:pos="8504"/>
      </w:tabs>
      <w:spacing w:after="0" w:line="240" w:lineRule="auto"/>
      <w:jc w:val="center"/>
      <w:rPr>
        <w:color w:val="000000"/>
      </w:rPr>
    </w:pPr>
    <w:r>
      <w:rPr>
        <w:color w:val="000000"/>
      </w:rPr>
      <w:t>Página</w:t>
    </w:r>
    <w:r>
      <w:rPr>
        <w:b/>
        <w:color w:val="000000"/>
      </w:rPr>
      <w:t xml:space="preserve"> </w:t>
    </w:r>
    <w:r w:rsidR="007B7F16">
      <w:rPr>
        <w:b/>
        <w:color w:val="000000"/>
      </w:rPr>
      <w:t>8</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0559">
      <w:rPr>
        <w:b/>
        <w:noProof/>
        <w:color w:val="000000"/>
        <w:sz w:val="24"/>
        <w:szCs w:val="24"/>
      </w:rPr>
      <w:t>8</w:t>
    </w:r>
    <w:r>
      <w:rPr>
        <w:b/>
        <w:color w:val="000000"/>
        <w:sz w:val="24"/>
        <w:szCs w:val="24"/>
      </w:rPr>
      <w:fldChar w:fldCharType="end"/>
    </w:r>
  </w:p>
  <w:p w14:paraId="6D2A192A" w14:textId="77777777" w:rsidR="00882FC6" w:rsidRDefault="00882FC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804D9" w14:textId="77777777" w:rsidR="0034508C" w:rsidRDefault="00165310">
      <w:pPr>
        <w:spacing w:after="0" w:line="240" w:lineRule="auto"/>
      </w:pPr>
      <w:r>
        <w:separator/>
      </w:r>
    </w:p>
  </w:footnote>
  <w:footnote w:type="continuationSeparator" w:id="0">
    <w:p w14:paraId="6B90E42B" w14:textId="77777777" w:rsidR="0034508C" w:rsidRDefault="00165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917A" w14:textId="77777777" w:rsidR="00882FC6" w:rsidRDefault="00CA0559">
    <w:pPr>
      <w:pBdr>
        <w:top w:val="nil"/>
        <w:left w:val="nil"/>
        <w:bottom w:val="nil"/>
        <w:right w:val="nil"/>
        <w:between w:val="nil"/>
      </w:pBdr>
      <w:tabs>
        <w:tab w:val="center" w:pos="4252"/>
        <w:tab w:val="right" w:pos="8504"/>
      </w:tabs>
      <w:spacing w:after="0" w:line="240" w:lineRule="auto"/>
      <w:rPr>
        <w:color w:val="000000"/>
      </w:rPr>
    </w:pPr>
    <w:r>
      <w:rPr>
        <w:color w:val="000000"/>
      </w:rPr>
      <w:pict w14:anchorId="08D40D4B">
        <v:shapetype id="_x0000_m2052"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4A0EAFF1">
        <v:shape id="PowerPlusWaterMarkObject2" o:spid="_x0000_s2049" type="#_x0000_m2052" style="position:absolute;margin-left:0;margin-top:0;width:541.8pt;height:81.25pt;rotation:315;z-index:-251656704;mso-position-horizontal:center;mso-position-horizontal-relative:margin;mso-position-vertical:center;mso-position-vertical-relative:margin" fillcolor="silver" stroked="f">
          <v:fill opacity=".5" angle="0"/>
          <v:textpath on="t" style="font-family:&quot;&amp;quot&quot;;font-size:1pt" fitshape="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C1EF" w14:textId="77777777" w:rsidR="00882FC6" w:rsidRDefault="00882FC6">
    <w:pPr>
      <w:widowControl w:val="0"/>
      <w:pBdr>
        <w:top w:val="nil"/>
        <w:left w:val="nil"/>
        <w:bottom w:val="nil"/>
        <w:right w:val="nil"/>
        <w:between w:val="nil"/>
      </w:pBdr>
      <w:spacing w:after="0" w:line="276" w:lineRule="auto"/>
    </w:pPr>
  </w:p>
  <w:tbl>
    <w:tblPr>
      <w:tblStyle w:val="a0"/>
      <w:tblW w:w="9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69"/>
      <w:gridCol w:w="5245"/>
    </w:tblGrid>
    <w:tr w:rsidR="00882FC6" w14:paraId="4F2C726E" w14:textId="77777777">
      <w:trPr>
        <w:trHeight w:val="1843"/>
      </w:trPr>
      <w:tc>
        <w:tcPr>
          <w:tcW w:w="3969" w:type="dxa"/>
          <w:vAlign w:val="bottom"/>
        </w:tcPr>
        <w:p w14:paraId="66BFE0B0" w14:textId="77777777" w:rsidR="00882FC6" w:rsidRDefault="00165310">
          <w:pPr>
            <w:pBdr>
              <w:top w:val="nil"/>
              <w:left w:val="nil"/>
              <w:bottom w:val="nil"/>
              <w:right w:val="nil"/>
              <w:between w:val="nil"/>
            </w:pBdr>
            <w:tabs>
              <w:tab w:val="center" w:pos="4252"/>
              <w:tab w:val="right" w:pos="8504"/>
              <w:tab w:val="center" w:pos="2614"/>
            </w:tabs>
            <w:ind w:left="-255"/>
            <w:rPr>
              <w:color w:val="000000"/>
            </w:rPr>
          </w:pPr>
          <w:r>
            <w:rPr>
              <w:noProof/>
              <w:lang w:val="es-MX"/>
            </w:rPr>
            <w:drawing>
              <wp:anchor distT="0" distB="0" distL="114300" distR="114300" simplePos="0" relativeHeight="251655680" behindDoc="0" locked="0" layoutInCell="1" hidden="0" allowOverlap="1" wp14:anchorId="30808525" wp14:editId="4D80B90D">
                <wp:simplePos x="0" y="0"/>
                <wp:positionH relativeFrom="column">
                  <wp:posOffset>-329563</wp:posOffset>
                </wp:positionH>
                <wp:positionV relativeFrom="paragraph">
                  <wp:posOffset>-861058</wp:posOffset>
                </wp:positionV>
                <wp:extent cx="1873250" cy="112649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250" cy="1126490"/>
                        </a:xfrm>
                        <a:prstGeom prst="rect">
                          <a:avLst/>
                        </a:prstGeom>
                        <a:ln/>
                      </pic:spPr>
                    </pic:pic>
                  </a:graphicData>
                </a:graphic>
              </wp:anchor>
            </w:drawing>
          </w:r>
        </w:p>
        <w:p w14:paraId="6A1BAB3C" w14:textId="77777777" w:rsidR="00882FC6" w:rsidRDefault="00882FC6">
          <w:pPr>
            <w:pBdr>
              <w:top w:val="nil"/>
              <w:left w:val="nil"/>
              <w:bottom w:val="nil"/>
              <w:right w:val="nil"/>
              <w:between w:val="nil"/>
            </w:pBdr>
            <w:tabs>
              <w:tab w:val="center" w:pos="4252"/>
              <w:tab w:val="right" w:pos="8504"/>
              <w:tab w:val="center" w:pos="2614"/>
            </w:tabs>
            <w:ind w:left="-255"/>
            <w:rPr>
              <w:color w:val="000000"/>
            </w:rPr>
          </w:pPr>
        </w:p>
      </w:tc>
      <w:tc>
        <w:tcPr>
          <w:tcW w:w="5245" w:type="dxa"/>
          <w:vAlign w:val="center"/>
        </w:tcPr>
        <w:p w14:paraId="4284FAD5" w14:textId="77777777" w:rsidR="00882FC6" w:rsidRDefault="00165310">
          <w:pPr>
            <w:pBdr>
              <w:top w:val="nil"/>
              <w:left w:val="nil"/>
              <w:bottom w:val="nil"/>
              <w:right w:val="nil"/>
              <w:between w:val="nil"/>
            </w:pBdr>
            <w:tabs>
              <w:tab w:val="center" w:pos="4252"/>
              <w:tab w:val="right" w:pos="8504"/>
            </w:tabs>
            <w:ind w:left="-108" w:right="-25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Voto Particular Concurrente</w:t>
          </w:r>
        </w:p>
        <w:p w14:paraId="029795A6" w14:textId="77777777" w:rsidR="00882FC6" w:rsidRDefault="00165310">
          <w:pPr>
            <w:pBdr>
              <w:top w:val="nil"/>
              <w:left w:val="nil"/>
              <w:bottom w:val="nil"/>
              <w:right w:val="nil"/>
              <w:between w:val="nil"/>
            </w:pBdr>
            <w:tabs>
              <w:tab w:val="center" w:pos="4252"/>
              <w:tab w:val="right" w:pos="8504"/>
            </w:tabs>
            <w:ind w:left="-108" w:right="3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w:t>
          </w:r>
          <w:r w:rsidR="000107CF">
            <w:rPr>
              <w:rFonts w:ascii="Palatino Linotype" w:eastAsia="Palatino Linotype" w:hAnsi="Palatino Linotype" w:cs="Palatino Linotype"/>
              <w:color w:val="000000"/>
            </w:rPr>
            <w:t>05741</w:t>
          </w:r>
          <w:r>
            <w:rPr>
              <w:rFonts w:ascii="Palatino Linotype" w:eastAsia="Palatino Linotype" w:hAnsi="Palatino Linotype" w:cs="Palatino Linotype"/>
              <w:color w:val="000000"/>
            </w:rPr>
            <w:t>/INFOEM/IP/RR/2024</w:t>
          </w:r>
        </w:p>
        <w:p w14:paraId="0C54B3BC" w14:textId="77777777" w:rsidR="00882FC6" w:rsidRDefault="00165310">
          <w:pPr>
            <w:pBdr>
              <w:top w:val="nil"/>
              <w:left w:val="nil"/>
              <w:bottom w:val="nil"/>
              <w:right w:val="nil"/>
              <w:between w:val="nil"/>
            </w:pBdr>
            <w:tabs>
              <w:tab w:val="center" w:pos="4252"/>
              <w:tab w:val="right" w:pos="8504"/>
            </w:tabs>
            <w:ind w:left="-108" w:right="17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sidR="001B4EAD" w:rsidRPr="001B4EAD">
            <w:rPr>
              <w:rFonts w:ascii="Palatino Linotype" w:eastAsia="Palatino Linotype" w:hAnsi="Palatino Linotype" w:cs="Palatino Linotype"/>
              <w:color w:val="000000"/>
            </w:rPr>
            <w:t>Instituto de Salud del Estado de México</w:t>
          </w:r>
        </w:p>
        <w:p w14:paraId="287FF025" w14:textId="77777777" w:rsidR="00882FC6" w:rsidRDefault="00165310">
          <w:pPr>
            <w:pBdr>
              <w:top w:val="nil"/>
              <w:left w:val="nil"/>
              <w:bottom w:val="nil"/>
              <w:right w:val="nil"/>
              <w:between w:val="nil"/>
            </w:pBdr>
            <w:tabs>
              <w:tab w:val="center" w:pos="4252"/>
              <w:tab w:val="right" w:pos="8504"/>
            </w:tabs>
            <w:ind w:left="-108" w:right="-25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Comisionado Ponente: </w:t>
          </w:r>
          <w:r>
            <w:rPr>
              <w:rFonts w:ascii="Palatino Linotype" w:eastAsia="Palatino Linotype" w:hAnsi="Palatino Linotype" w:cs="Palatino Linotype"/>
              <w:color w:val="000000"/>
            </w:rPr>
            <w:t xml:space="preserve">Luis Gustavo Parra Noriega </w:t>
          </w:r>
        </w:p>
      </w:tc>
    </w:tr>
  </w:tbl>
  <w:p w14:paraId="772EBCFD" w14:textId="77777777" w:rsidR="00882FC6" w:rsidRDefault="00882FC6">
    <w:pPr>
      <w:pBdr>
        <w:top w:val="nil"/>
        <w:left w:val="nil"/>
        <w:bottom w:val="nil"/>
        <w:right w:val="nil"/>
        <w:between w:val="nil"/>
      </w:pBdr>
      <w:tabs>
        <w:tab w:val="center" w:pos="4252"/>
        <w:tab w:val="right" w:pos="8504"/>
      </w:tabs>
      <w:spacing w:after="0" w:line="240" w:lineRule="auto"/>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17998" w14:textId="77777777" w:rsidR="00882FC6" w:rsidRDefault="00CA0559">
    <w:pPr>
      <w:pBdr>
        <w:top w:val="nil"/>
        <w:left w:val="nil"/>
        <w:bottom w:val="nil"/>
        <w:right w:val="nil"/>
        <w:between w:val="nil"/>
      </w:pBdr>
      <w:tabs>
        <w:tab w:val="center" w:pos="4252"/>
        <w:tab w:val="right" w:pos="8504"/>
      </w:tabs>
      <w:spacing w:after="0" w:line="240" w:lineRule="auto"/>
      <w:rPr>
        <w:color w:val="000000"/>
      </w:rPr>
    </w:pPr>
    <w:r>
      <w:rPr>
        <w:color w:val="000000"/>
      </w:rPr>
      <w:pict w14:anchorId="5E48150B">
        <v:shapetype id="_x0000_m205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0E5C215D">
        <v:shape id="PowerPlusWaterMarkObject1" o:spid="_x0000_s2050" type="#_x0000_m2051" style="position:absolute;margin-left:0;margin-top:0;width:541.8pt;height:81.25pt;rotation:315;z-index:-251657728;mso-position-horizontal:center;mso-position-horizontal-relative:margin;mso-position-vertical:center;mso-position-vertical-relative:margin" fillcolor="silver" stroked="f">
          <v:fill opacity=".5" angle="0"/>
          <v:textpath on="t" style="font-family:&quot;&amp;quot&quot;;font-size:1pt" fitshape="t" string="VOTO PARTICULA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5C71A" w14:textId="77777777" w:rsidR="00882FC6" w:rsidRDefault="00882FC6">
    <w:pPr>
      <w:widowControl w:val="0"/>
      <w:pBdr>
        <w:top w:val="nil"/>
        <w:left w:val="nil"/>
        <w:bottom w:val="nil"/>
        <w:right w:val="nil"/>
        <w:between w:val="nil"/>
      </w:pBdr>
      <w:spacing w:after="0" w:line="276" w:lineRule="auto"/>
    </w:pPr>
  </w:p>
  <w:p w14:paraId="462416DF" w14:textId="77777777" w:rsidR="00882FC6" w:rsidRDefault="00882FC6">
    <w:pPr>
      <w:pBdr>
        <w:top w:val="nil"/>
        <w:left w:val="nil"/>
        <w:bottom w:val="nil"/>
        <w:right w:val="nil"/>
        <w:between w:val="nil"/>
      </w:pBdr>
      <w:tabs>
        <w:tab w:val="center" w:pos="4252"/>
        <w:tab w:val="right" w:pos="8504"/>
      </w:tabs>
      <w:spacing w:after="0" w:line="240" w:lineRule="auto"/>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76D"/>
    <w:multiLevelType w:val="multilevel"/>
    <w:tmpl w:val="E8326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175335"/>
    <w:multiLevelType w:val="multilevel"/>
    <w:tmpl w:val="E2A80340"/>
    <w:lvl w:ilvl="0">
      <w:start w:val="1"/>
      <w:numFmt w:val="decimal"/>
      <w:lvlText w:val="%1."/>
      <w:lvlJc w:val="left"/>
      <w:pPr>
        <w:ind w:left="420" w:hanging="36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3DA0540A"/>
    <w:multiLevelType w:val="multilevel"/>
    <w:tmpl w:val="AA168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032252"/>
    <w:multiLevelType w:val="multilevel"/>
    <w:tmpl w:val="BB486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7F5833"/>
    <w:multiLevelType w:val="hybridMultilevel"/>
    <w:tmpl w:val="C1462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C6"/>
    <w:rsid w:val="000107CF"/>
    <w:rsid w:val="00092A0B"/>
    <w:rsid w:val="00165310"/>
    <w:rsid w:val="00184108"/>
    <w:rsid w:val="001B4EAD"/>
    <w:rsid w:val="001E4005"/>
    <w:rsid w:val="0034508C"/>
    <w:rsid w:val="00521771"/>
    <w:rsid w:val="00631F9C"/>
    <w:rsid w:val="00656A4E"/>
    <w:rsid w:val="007B5A29"/>
    <w:rsid w:val="007B7F16"/>
    <w:rsid w:val="00882FC6"/>
    <w:rsid w:val="00A53B5A"/>
    <w:rsid w:val="00CA0559"/>
    <w:rsid w:val="00E60DA9"/>
    <w:rsid w:val="00EA0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1FF3822"/>
  <w15:docId w15:val="{08849C62-F33A-490D-9B32-90715C65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2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85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5322"/>
    <w:rPr>
      <w:kern w:val="0"/>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85322"/>
    <w:rPr>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685322"/>
    <w:pPr>
      <w:ind w:left="720"/>
      <w:contextualSpacing/>
    </w:pPr>
    <w:rPr>
      <w:kern w:val="2"/>
    </w:rPr>
  </w:style>
  <w:style w:type="paragraph" w:styleId="Piedepgina">
    <w:name w:val="footer"/>
    <w:basedOn w:val="Normal"/>
    <w:link w:val="PiedepginaCar"/>
    <w:uiPriority w:val="99"/>
    <w:unhideWhenUsed/>
    <w:rsid w:val="00685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5322"/>
    <w:rPr>
      <w:kern w:val="0"/>
      <w:lang w:val="es-ES"/>
    </w:rPr>
  </w:style>
  <w:style w:type="table" w:styleId="Tablaconcuadrcula">
    <w:name w:val="Table Grid"/>
    <w:basedOn w:val="Tablanormal"/>
    <w:uiPriority w:val="59"/>
    <w:rsid w:val="0068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1auzmsqecTyaOKxJF+1N5Ihq/w==">CgMxLjAyCWguNGQzNG9nODIJaC4yczhleW8xOAByITFqRlZ3WTF0dGk2SUY0Z0lnblBNSHVzNmtUWWtSZjFrZw==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1703</Words>
  <Characters>9368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INFOEM402</cp:lastModifiedBy>
  <cp:revision>9</cp:revision>
  <dcterms:created xsi:type="dcterms:W3CDTF">2024-11-15T21:14:00Z</dcterms:created>
  <dcterms:modified xsi:type="dcterms:W3CDTF">2025-01-23T17:08:00Z</dcterms:modified>
</cp:coreProperties>
</file>