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0F1618E1"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2B39D3">
        <w:rPr>
          <w:rFonts w:ascii="Palatino Linotype" w:hAnsi="Palatino Linotype"/>
          <w:b/>
          <w:sz w:val="23"/>
          <w:szCs w:val="23"/>
        </w:rPr>
        <w:t xml:space="preserve">TRIGÉSIMA </w:t>
      </w:r>
      <w:r w:rsidR="00770BB1">
        <w:rPr>
          <w:rFonts w:ascii="Palatino Linotype" w:hAnsi="Palatino Linotype"/>
          <w:b/>
          <w:sz w:val="23"/>
          <w:szCs w:val="23"/>
        </w:rPr>
        <w:t>CUART</w:t>
      </w:r>
      <w:r w:rsidR="002B39D3">
        <w:rPr>
          <w:rFonts w:ascii="Palatino Linotype" w:hAnsi="Palatino Linotype"/>
          <w:b/>
          <w:sz w:val="23"/>
          <w:szCs w:val="23"/>
        </w:rPr>
        <w:t>A</w:t>
      </w:r>
      <w:r w:rsidR="0019061A" w:rsidRPr="008546EB">
        <w:rPr>
          <w:rFonts w:ascii="Palatino Linotype" w:hAnsi="Palatino Linotype"/>
          <w:b/>
          <w:sz w:val="23"/>
          <w:szCs w:val="23"/>
        </w:rPr>
        <w:t xml:space="preserve"> SESIÓN ORDINARIA DEL PLENO DE FECHA </w:t>
      </w:r>
      <w:r w:rsidR="00770BB1">
        <w:rPr>
          <w:rFonts w:ascii="Palatino Linotype" w:hAnsi="Palatino Linotype"/>
          <w:b/>
          <w:sz w:val="23"/>
          <w:szCs w:val="23"/>
        </w:rPr>
        <w:t>VEINTICINCO</w:t>
      </w:r>
      <w:r w:rsidR="002B39D3">
        <w:rPr>
          <w:rFonts w:ascii="Palatino Linotype" w:hAnsi="Palatino Linotype"/>
          <w:b/>
          <w:sz w:val="23"/>
          <w:szCs w:val="23"/>
        </w:rPr>
        <w:t xml:space="preserve"> DE SEPTIEMBRE</w:t>
      </w:r>
      <w:r w:rsidR="008E005D" w:rsidRPr="008546EB">
        <w:rPr>
          <w:rFonts w:ascii="Palatino Linotype" w:hAnsi="Palatino Linotype"/>
          <w:b/>
          <w:sz w:val="23"/>
          <w:szCs w:val="23"/>
        </w:rPr>
        <w:t xml:space="preserve"> DE </w:t>
      </w:r>
      <w:r w:rsidR="0019061A" w:rsidRPr="008546EB">
        <w:rPr>
          <w:rFonts w:ascii="Palatino Linotype" w:hAnsi="Palatino Linotype"/>
          <w:b/>
          <w:sz w:val="23"/>
          <w:szCs w:val="23"/>
        </w:rPr>
        <w:t>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0353B6">
        <w:rPr>
          <w:rFonts w:ascii="Palatino Linotype" w:hAnsi="Palatino Linotype"/>
          <w:b/>
          <w:sz w:val="23"/>
          <w:szCs w:val="23"/>
        </w:rPr>
        <w:t>0</w:t>
      </w:r>
      <w:r w:rsidR="00C76308">
        <w:rPr>
          <w:rFonts w:ascii="Palatino Linotype" w:hAnsi="Palatino Linotype"/>
          <w:b/>
          <w:sz w:val="23"/>
          <w:szCs w:val="23"/>
        </w:rPr>
        <w:t>226</w:t>
      </w:r>
      <w:r w:rsidR="00770BB1">
        <w:rPr>
          <w:rFonts w:ascii="Palatino Linotype" w:hAnsi="Palatino Linotype"/>
          <w:b/>
          <w:sz w:val="23"/>
          <w:szCs w:val="23"/>
        </w:rPr>
        <w:t>9</w:t>
      </w:r>
      <w:r w:rsidR="00E047E0" w:rsidRPr="00E047E0">
        <w:rPr>
          <w:rFonts w:ascii="Palatino Linotype" w:hAnsi="Palatino Linotype"/>
          <w:b/>
          <w:sz w:val="23"/>
          <w:szCs w:val="23"/>
        </w:rPr>
        <w:t>/INFOEM/IP/RR/202</w:t>
      </w:r>
      <w:r w:rsidR="00A503FC">
        <w:rPr>
          <w:rFonts w:ascii="Palatino Linotype" w:hAnsi="Palatino Linotype"/>
          <w:b/>
          <w:sz w:val="23"/>
          <w:szCs w:val="23"/>
        </w:rPr>
        <w:t>4</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0DB9B502" w14:textId="7BAC80E5" w:rsidR="0019061A" w:rsidRDefault="002A12CF"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 xml:space="preserve">Con fundamento en lo dispuesto por el artículo 14 fracción XI,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Pr>
          <w:rFonts w:ascii="Palatino Linotype" w:hAnsi="Palatino Linotype"/>
          <w:b/>
          <w:sz w:val="23"/>
          <w:szCs w:val="23"/>
        </w:rPr>
        <w:t>0</w:t>
      </w:r>
      <w:r w:rsidR="00C76308">
        <w:rPr>
          <w:rFonts w:ascii="Palatino Linotype" w:hAnsi="Palatino Linotype"/>
          <w:b/>
          <w:sz w:val="23"/>
          <w:szCs w:val="23"/>
        </w:rPr>
        <w:t>226</w:t>
      </w:r>
      <w:r w:rsidR="00770BB1">
        <w:rPr>
          <w:rFonts w:ascii="Palatino Linotype" w:hAnsi="Palatino Linotype"/>
          <w:b/>
          <w:sz w:val="23"/>
          <w:szCs w:val="23"/>
        </w:rPr>
        <w:t>9</w:t>
      </w:r>
      <w:r w:rsidRPr="00E047E0">
        <w:rPr>
          <w:rFonts w:ascii="Palatino Linotype" w:hAnsi="Palatino Linotype"/>
          <w:b/>
          <w:sz w:val="23"/>
          <w:szCs w:val="23"/>
        </w:rPr>
        <w:t>/INFOEM/IP/RR/202</w:t>
      </w:r>
      <w:r>
        <w:rPr>
          <w:rFonts w:ascii="Palatino Linotype" w:hAnsi="Palatino Linotype"/>
          <w:b/>
          <w:sz w:val="23"/>
          <w:szCs w:val="23"/>
        </w:rPr>
        <w:t>3</w:t>
      </w:r>
      <w:r w:rsidRPr="008546EB">
        <w:rPr>
          <w:rFonts w:ascii="Palatino Linotype" w:hAnsi="Palatino Linotype"/>
          <w:sz w:val="23"/>
          <w:szCs w:val="23"/>
        </w:rPr>
        <w:t xml:space="preserve">, pronunciada por el Pleno de este Instituto ante el proyecto presentado por </w:t>
      </w:r>
      <w:r>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Pr>
          <w:rFonts w:ascii="Palatino Linotype" w:hAnsi="Palatino Linotype"/>
          <w:b/>
          <w:sz w:val="23"/>
          <w:szCs w:val="23"/>
        </w:rPr>
        <w:t>a</w:t>
      </w:r>
      <w:r w:rsidRPr="008546EB">
        <w:rPr>
          <w:rFonts w:ascii="Palatino Linotype" w:hAnsi="Palatino Linotype"/>
          <w:b/>
          <w:sz w:val="23"/>
          <w:szCs w:val="23"/>
        </w:rPr>
        <w:t xml:space="preserve"> </w:t>
      </w:r>
      <w:r>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1B2CE27F" w14:textId="77777777" w:rsidR="002A12CF" w:rsidRPr="008546EB" w:rsidRDefault="002A12CF" w:rsidP="0019061A">
      <w:pPr>
        <w:spacing w:after="0" w:line="360" w:lineRule="auto"/>
        <w:contextualSpacing/>
        <w:jc w:val="both"/>
        <w:rPr>
          <w:rFonts w:ascii="Palatino Linotype" w:hAnsi="Palatino Linotype"/>
          <w:sz w:val="23"/>
          <w:szCs w:val="23"/>
        </w:rPr>
      </w:pPr>
    </w:p>
    <w:p w14:paraId="15E9FBA2" w14:textId="7AE49F2A" w:rsidR="00770BB1" w:rsidRDefault="00846F0C" w:rsidP="00770BB1">
      <w:pPr>
        <w:spacing w:after="0" w:line="360" w:lineRule="auto"/>
        <w:jc w:val="both"/>
        <w:rPr>
          <w:rFonts w:ascii="Palatino Linotype" w:eastAsia="Palatino Linotype" w:hAnsi="Palatino Linotype" w:cs="Palatino Linotype"/>
          <w:sz w:val="23"/>
          <w:szCs w:val="23"/>
          <w:lang w:val="es-ES" w:eastAsia="es-ES"/>
        </w:rPr>
      </w:pPr>
      <w:r w:rsidRPr="00770BB1">
        <w:rPr>
          <w:rFonts w:ascii="Palatino Linotype" w:hAnsi="Palatino Linotype"/>
          <w:sz w:val="23"/>
          <w:szCs w:val="23"/>
        </w:rPr>
        <w:t>En primer término</w:t>
      </w:r>
      <w:r w:rsidR="00B835E7" w:rsidRPr="00770BB1">
        <w:rPr>
          <w:rFonts w:ascii="Palatino Linotype" w:hAnsi="Palatino Linotype"/>
          <w:sz w:val="23"/>
          <w:szCs w:val="23"/>
        </w:rPr>
        <w:t>,</w:t>
      </w:r>
      <w:r w:rsidR="0019061A" w:rsidRPr="00770BB1">
        <w:rPr>
          <w:rFonts w:ascii="Palatino Linotype" w:hAnsi="Palatino Linotype"/>
          <w:sz w:val="23"/>
          <w:szCs w:val="23"/>
        </w:rPr>
        <w:t xml:space="preserve"> el ahora recurrente, requirió </w:t>
      </w:r>
      <w:r w:rsidR="00B835E7" w:rsidRPr="00770BB1">
        <w:rPr>
          <w:rFonts w:ascii="Palatino Linotype" w:hAnsi="Palatino Linotype"/>
          <w:sz w:val="23"/>
          <w:szCs w:val="23"/>
        </w:rPr>
        <w:t>a</w:t>
      </w:r>
      <w:r w:rsidR="00C37B1B" w:rsidRPr="00770BB1">
        <w:rPr>
          <w:rFonts w:ascii="Palatino Linotype" w:hAnsi="Palatino Linotype"/>
          <w:sz w:val="23"/>
          <w:szCs w:val="23"/>
        </w:rPr>
        <w:t>l</w:t>
      </w:r>
      <w:r w:rsidR="00EA3CFA" w:rsidRPr="00770BB1">
        <w:rPr>
          <w:rFonts w:ascii="Palatino Linotype" w:hAnsi="Palatino Linotype"/>
          <w:sz w:val="23"/>
          <w:szCs w:val="23"/>
        </w:rPr>
        <w:t xml:space="preserve"> </w:t>
      </w:r>
      <w:r w:rsidR="00FC13A9" w:rsidRPr="00FC13A9">
        <w:rPr>
          <w:rFonts w:ascii="Palatino Linotype" w:hAnsi="Palatino Linotype"/>
          <w:b/>
          <w:sz w:val="23"/>
          <w:szCs w:val="23"/>
        </w:rPr>
        <w:t>Tribunal Electoral del Estado de México</w:t>
      </w:r>
      <w:r w:rsidR="00EA3CFA" w:rsidRPr="00770BB1">
        <w:rPr>
          <w:rFonts w:ascii="Palatino Linotype" w:hAnsi="Palatino Linotype"/>
          <w:sz w:val="23"/>
          <w:szCs w:val="23"/>
        </w:rPr>
        <w:t>,</w:t>
      </w:r>
      <w:r w:rsidR="00FC13A9">
        <w:rPr>
          <w:rFonts w:ascii="Palatino Linotype" w:hAnsi="Palatino Linotype"/>
          <w:sz w:val="23"/>
          <w:szCs w:val="23"/>
        </w:rPr>
        <w:t xml:space="preserve"> </w:t>
      </w:r>
      <w:r w:rsidR="00FC13A9" w:rsidRPr="00FC13A9">
        <w:rPr>
          <w:rFonts w:ascii="Palatino Linotype" w:eastAsia="Palatino Linotype" w:hAnsi="Palatino Linotype" w:cs="Palatino Linotype"/>
          <w:sz w:val="23"/>
          <w:szCs w:val="23"/>
          <w:lang w:val="es-ES" w:eastAsia="es-ES"/>
        </w:rPr>
        <w:t>los documento</w:t>
      </w:r>
      <w:r w:rsidR="00FC13A9">
        <w:rPr>
          <w:rFonts w:ascii="Palatino Linotype" w:eastAsia="Palatino Linotype" w:hAnsi="Palatino Linotype" w:cs="Palatino Linotype"/>
          <w:sz w:val="23"/>
          <w:szCs w:val="23"/>
          <w:lang w:val="es-ES" w:eastAsia="es-ES"/>
        </w:rPr>
        <w:t>s</w:t>
      </w:r>
      <w:r w:rsidR="00FC13A9" w:rsidRPr="00FC13A9">
        <w:rPr>
          <w:rFonts w:ascii="Palatino Linotype" w:eastAsia="Palatino Linotype" w:hAnsi="Palatino Linotype" w:cs="Palatino Linotype"/>
          <w:sz w:val="23"/>
          <w:szCs w:val="23"/>
          <w:lang w:val="es-ES" w:eastAsia="es-ES"/>
        </w:rPr>
        <w:t xml:space="preserve"> que acrediten </w:t>
      </w:r>
      <w:r w:rsidR="00FC13A9" w:rsidRPr="00FC13A9">
        <w:rPr>
          <w:rFonts w:ascii="Palatino Linotype" w:eastAsia="Palatino Linotype" w:hAnsi="Palatino Linotype" w:cs="Palatino Linotype"/>
          <w:b/>
          <w:bCs/>
          <w:sz w:val="23"/>
          <w:szCs w:val="23"/>
          <w:u w:val="single"/>
          <w:lang w:val="es-ES" w:eastAsia="es-ES"/>
        </w:rPr>
        <w:t>la experiencia en auditoria y responsabilidades administrativas de la Contralora y del Subcontralor del TEEM</w:t>
      </w:r>
      <w:r w:rsidR="00FC13A9" w:rsidRPr="00FC13A9">
        <w:rPr>
          <w:rFonts w:ascii="Palatino Linotype" w:eastAsia="Palatino Linotype" w:hAnsi="Palatino Linotype" w:cs="Palatino Linotype"/>
          <w:sz w:val="23"/>
          <w:szCs w:val="23"/>
          <w:lang w:val="es-ES" w:eastAsia="es-ES"/>
        </w:rPr>
        <w:t xml:space="preserve">, así como su certificación de ambos para desempeñar los cargos referidos, asimismo los nombres de los servidores que integran la contraloría y </w:t>
      </w:r>
      <w:r w:rsidR="00FC13A9" w:rsidRPr="00FC13A9">
        <w:rPr>
          <w:rFonts w:ascii="Palatino Linotype" w:eastAsia="Palatino Linotype" w:hAnsi="Palatino Linotype" w:cs="Palatino Linotype"/>
          <w:b/>
          <w:bCs/>
          <w:sz w:val="23"/>
          <w:szCs w:val="23"/>
          <w:u w:val="single"/>
          <w:lang w:val="es-ES" w:eastAsia="es-ES"/>
        </w:rPr>
        <w:t>sus documentos que acrediten su grado académico</w:t>
      </w:r>
      <w:r w:rsidR="00FC13A9" w:rsidRPr="00FC13A9">
        <w:rPr>
          <w:rFonts w:ascii="Palatino Linotype" w:eastAsia="Palatino Linotype" w:hAnsi="Palatino Linotype" w:cs="Palatino Linotype"/>
          <w:sz w:val="23"/>
          <w:szCs w:val="23"/>
          <w:lang w:val="es-ES" w:eastAsia="es-ES"/>
        </w:rPr>
        <w:t xml:space="preserve">; y los motivos o causas del porque algunos de estos no se encuentran físicamente en el área </w:t>
      </w:r>
      <w:r w:rsidR="00FC13A9" w:rsidRPr="00FC13A9">
        <w:rPr>
          <w:rFonts w:ascii="Palatino Linotype" w:eastAsia="Palatino Linotype" w:hAnsi="Palatino Linotype" w:cs="Palatino Linotype"/>
          <w:sz w:val="23"/>
          <w:szCs w:val="23"/>
          <w:lang w:val="es-ES" w:eastAsia="es-ES"/>
        </w:rPr>
        <w:lastRenderedPageBreak/>
        <w:t>destinada para contraloría sino que se encuentran en otros espacios físicos que no le corresponden a la contraloría</w:t>
      </w:r>
      <w:r w:rsidR="00FC13A9">
        <w:rPr>
          <w:rFonts w:ascii="Palatino Linotype" w:eastAsia="Palatino Linotype" w:hAnsi="Palatino Linotype" w:cs="Palatino Linotype"/>
          <w:sz w:val="23"/>
          <w:szCs w:val="23"/>
          <w:lang w:val="es-ES" w:eastAsia="es-ES"/>
        </w:rPr>
        <w:t>.</w:t>
      </w:r>
    </w:p>
    <w:p w14:paraId="17E35CA1" w14:textId="77777777" w:rsidR="009C2540" w:rsidRPr="00B835E7" w:rsidRDefault="009C2540" w:rsidP="009C2540">
      <w:pPr>
        <w:spacing w:after="0" w:line="360" w:lineRule="auto"/>
        <w:jc w:val="both"/>
        <w:rPr>
          <w:rFonts w:ascii="Palatino Linotype" w:hAnsi="Palatino Linotype"/>
          <w:sz w:val="23"/>
          <w:szCs w:val="23"/>
        </w:rPr>
      </w:pPr>
    </w:p>
    <w:p w14:paraId="41FE2FE1" w14:textId="14D00E82" w:rsidR="00245EA9" w:rsidRPr="00245EA9" w:rsidRDefault="00846F0C" w:rsidP="00245EA9">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A62EE1" w:rsidRPr="00A62EE1">
        <w:rPr>
          <w:rFonts w:ascii="Palatino Linotype" w:hAnsi="Palatino Linotype"/>
          <w:bCs/>
          <w:sz w:val="23"/>
          <w:szCs w:val="23"/>
          <w:lang w:val="es-ES"/>
        </w:rPr>
        <w:t>,</w:t>
      </w:r>
      <w:r w:rsidR="00A62EE1">
        <w:rPr>
          <w:rFonts w:ascii="Palatino Linotype" w:hAnsi="Palatino Linotype"/>
          <w:bCs/>
          <w:sz w:val="23"/>
          <w:szCs w:val="23"/>
          <w:lang w:val="es-ES"/>
        </w:rPr>
        <w:t xml:space="preserve"> </w:t>
      </w:r>
      <w:r w:rsidR="00FC13A9">
        <w:rPr>
          <w:rFonts w:ascii="Palatino Linotype" w:hAnsi="Palatino Linotype"/>
          <w:bCs/>
          <w:sz w:val="23"/>
          <w:szCs w:val="23"/>
          <w:lang w:val="es-ES"/>
        </w:rPr>
        <w:t xml:space="preserve">a través de </w:t>
      </w:r>
      <w:r w:rsidR="009D2F48">
        <w:rPr>
          <w:rFonts w:ascii="Palatino Linotype" w:hAnsi="Palatino Linotype"/>
          <w:bCs/>
          <w:sz w:val="23"/>
          <w:szCs w:val="23"/>
          <w:lang w:val="es-ES"/>
        </w:rPr>
        <w:t xml:space="preserve">la </w:t>
      </w:r>
      <w:r w:rsidR="009D2F48" w:rsidRPr="009D2F48">
        <w:rPr>
          <w:rFonts w:ascii="Palatino Linotype" w:hAnsi="Palatino Linotype"/>
          <w:bCs/>
          <w:sz w:val="23"/>
          <w:szCs w:val="23"/>
          <w:lang w:val="es-ES"/>
        </w:rPr>
        <w:t>servidora pública habilitada de la Dirección de Administración del Tribunal Electoral del Estado de México</w:t>
      </w:r>
      <w:r w:rsidR="009D2F48">
        <w:rPr>
          <w:rFonts w:ascii="Palatino Linotype" w:hAnsi="Palatino Linotype"/>
          <w:bCs/>
          <w:sz w:val="23"/>
          <w:szCs w:val="23"/>
          <w:lang w:val="es-ES"/>
        </w:rPr>
        <w:t xml:space="preserve">, remitió el </w:t>
      </w:r>
      <w:r w:rsidR="00245EA9" w:rsidRPr="00245EA9">
        <w:rPr>
          <w:rFonts w:ascii="Palatino Linotype" w:hAnsi="Palatino Linotype"/>
          <w:bCs/>
          <w:sz w:val="23"/>
          <w:szCs w:val="23"/>
          <w:lang w:val="es-ES"/>
        </w:rPr>
        <w:t>CV de la Contralora y el Subcontralor el cual da cuenta de su experiencia profesional y académica, asimismo, refiere que respecto de la certificación, derivado de una búsqueda exhaustiva no se encontró documento alguno relacionado con la solicitud al no existir obligación para generar o poseer la misma, respecto a los nombres de los servidores públicos que integran la contraloría, se envió el listado de personas servidoras públicas, en cuanto a los documentos que acreditan el grado académico, se enviaron los documentos probatorios.</w:t>
      </w:r>
    </w:p>
    <w:p w14:paraId="4F7F948B" w14:textId="7A4B5D76" w:rsidR="00245EA9" w:rsidRPr="00245EA9" w:rsidRDefault="00245EA9" w:rsidP="00245EA9">
      <w:pPr>
        <w:spacing w:after="0" w:line="360" w:lineRule="auto"/>
        <w:ind w:right="-3"/>
        <w:jc w:val="both"/>
        <w:rPr>
          <w:rFonts w:ascii="Palatino Linotype" w:hAnsi="Palatino Linotype"/>
          <w:bCs/>
          <w:sz w:val="23"/>
          <w:szCs w:val="23"/>
          <w:lang w:val="es-ES"/>
        </w:rPr>
      </w:pPr>
      <w:r w:rsidRPr="00245EA9">
        <w:rPr>
          <w:rFonts w:ascii="Palatino Linotype" w:hAnsi="Palatino Linotype"/>
          <w:bCs/>
          <w:sz w:val="23"/>
          <w:szCs w:val="23"/>
          <w:lang w:val="es-ES"/>
        </w:rPr>
        <w:t>-</w:t>
      </w:r>
      <w:r>
        <w:rPr>
          <w:rFonts w:ascii="Palatino Linotype" w:hAnsi="Palatino Linotype"/>
          <w:bCs/>
          <w:sz w:val="23"/>
          <w:szCs w:val="23"/>
          <w:lang w:val="es-ES"/>
        </w:rPr>
        <w:t xml:space="preserve"> </w:t>
      </w:r>
      <w:r w:rsidRPr="00245EA9">
        <w:rPr>
          <w:rFonts w:ascii="Palatino Linotype" w:hAnsi="Palatino Linotype"/>
          <w:bCs/>
          <w:sz w:val="23"/>
          <w:szCs w:val="23"/>
          <w:lang w:val="es-ES"/>
        </w:rPr>
        <w:t>Currículum Vitae de la Titular de la Contraloría.</w:t>
      </w:r>
    </w:p>
    <w:p w14:paraId="6C726F1C" w14:textId="0EE47DA3" w:rsidR="00245EA9" w:rsidRPr="00245EA9" w:rsidRDefault="00245EA9" w:rsidP="00245EA9">
      <w:pPr>
        <w:spacing w:after="0" w:line="360" w:lineRule="auto"/>
        <w:ind w:right="-3"/>
        <w:jc w:val="both"/>
        <w:rPr>
          <w:rFonts w:ascii="Palatino Linotype" w:hAnsi="Palatino Linotype"/>
          <w:b/>
          <w:sz w:val="23"/>
          <w:szCs w:val="23"/>
          <w:u w:val="single"/>
          <w:lang w:val="es-ES"/>
        </w:rPr>
      </w:pPr>
      <w:r w:rsidRPr="00245EA9">
        <w:rPr>
          <w:rFonts w:ascii="Palatino Linotype" w:hAnsi="Palatino Linotype"/>
          <w:bCs/>
          <w:sz w:val="23"/>
          <w:szCs w:val="23"/>
          <w:lang w:val="es-ES"/>
        </w:rPr>
        <w:t>-</w:t>
      </w:r>
      <w:r>
        <w:rPr>
          <w:rFonts w:ascii="Palatino Linotype" w:hAnsi="Palatino Linotype"/>
          <w:bCs/>
          <w:sz w:val="23"/>
          <w:szCs w:val="23"/>
          <w:lang w:val="es-ES"/>
        </w:rPr>
        <w:t xml:space="preserve"> </w:t>
      </w:r>
      <w:r w:rsidRPr="00245EA9">
        <w:rPr>
          <w:rFonts w:ascii="Palatino Linotype" w:hAnsi="Palatino Linotype"/>
          <w:b/>
          <w:sz w:val="23"/>
          <w:szCs w:val="23"/>
          <w:u w:val="single"/>
          <w:lang w:val="es-ES"/>
        </w:rPr>
        <w:t>Decreto 291 el cual señala que los aspirantes al cargo de la Contraloría cuentan con los requisitos y experiencia necesaria para ocupar el cargo.</w:t>
      </w:r>
    </w:p>
    <w:p w14:paraId="7D1D8479" w14:textId="200D31B9" w:rsidR="00245EA9" w:rsidRPr="00245EA9" w:rsidRDefault="00245EA9" w:rsidP="00245EA9">
      <w:pPr>
        <w:spacing w:after="0" w:line="360" w:lineRule="auto"/>
        <w:ind w:right="-3"/>
        <w:jc w:val="both"/>
        <w:rPr>
          <w:rFonts w:ascii="Palatino Linotype" w:hAnsi="Palatino Linotype"/>
          <w:bCs/>
          <w:sz w:val="23"/>
          <w:szCs w:val="23"/>
          <w:lang w:val="es-ES"/>
        </w:rPr>
      </w:pPr>
      <w:r w:rsidRPr="00245EA9">
        <w:rPr>
          <w:rFonts w:ascii="Palatino Linotype" w:hAnsi="Palatino Linotype"/>
          <w:bCs/>
          <w:sz w:val="23"/>
          <w:szCs w:val="23"/>
          <w:lang w:val="es-ES"/>
        </w:rPr>
        <w:t>-</w:t>
      </w:r>
      <w:r>
        <w:rPr>
          <w:rFonts w:ascii="Palatino Linotype" w:hAnsi="Palatino Linotype"/>
          <w:bCs/>
          <w:sz w:val="23"/>
          <w:szCs w:val="23"/>
          <w:lang w:val="es-ES"/>
        </w:rPr>
        <w:t xml:space="preserve"> </w:t>
      </w:r>
      <w:r w:rsidRPr="00245EA9">
        <w:rPr>
          <w:rFonts w:ascii="Palatino Linotype" w:hAnsi="Palatino Linotype"/>
          <w:bCs/>
          <w:sz w:val="23"/>
          <w:szCs w:val="23"/>
          <w:lang w:val="es-ES"/>
        </w:rPr>
        <w:t>Oficio de designación como Contralora Interna a Nancy Pérez Garduño.</w:t>
      </w:r>
    </w:p>
    <w:p w14:paraId="5AF7E3BA" w14:textId="731B5591" w:rsidR="00245EA9" w:rsidRDefault="00245EA9" w:rsidP="00245EA9">
      <w:pPr>
        <w:spacing w:after="0" w:line="360" w:lineRule="auto"/>
        <w:ind w:right="-3"/>
        <w:jc w:val="both"/>
        <w:rPr>
          <w:rFonts w:ascii="Palatino Linotype" w:hAnsi="Palatino Linotype"/>
          <w:bCs/>
          <w:sz w:val="23"/>
          <w:szCs w:val="23"/>
          <w:lang w:val="es-ES"/>
        </w:rPr>
      </w:pPr>
      <w:r w:rsidRPr="00245EA9">
        <w:rPr>
          <w:rFonts w:ascii="Palatino Linotype" w:hAnsi="Palatino Linotype"/>
          <w:bCs/>
          <w:sz w:val="23"/>
          <w:szCs w:val="23"/>
          <w:lang w:val="es-ES"/>
        </w:rPr>
        <w:t>-</w:t>
      </w:r>
      <w:r>
        <w:rPr>
          <w:rFonts w:ascii="Palatino Linotype" w:hAnsi="Palatino Linotype"/>
          <w:bCs/>
          <w:sz w:val="23"/>
          <w:szCs w:val="23"/>
          <w:lang w:val="es-ES"/>
        </w:rPr>
        <w:t xml:space="preserve"> </w:t>
      </w:r>
      <w:r w:rsidRPr="00245EA9">
        <w:rPr>
          <w:rFonts w:ascii="Palatino Linotype" w:hAnsi="Palatino Linotype"/>
          <w:bCs/>
          <w:sz w:val="23"/>
          <w:szCs w:val="23"/>
          <w:lang w:val="es-ES"/>
        </w:rPr>
        <w:t>Currículum Vitae del Subcontralor.</w:t>
      </w:r>
    </w:p>
    <w:p w14:paraId="391AE6A5" w14:textId="77777777" w:rsidR="009C2540" w:rsidRPr="008546EB" w:rsidRDefault="009C2540" w:rsidP="00E52718">
      <w:pPr>
        <w:spacing w:after="0" w:line="360" w:lineRule="auto"/>
        <w:ind w:right="-3"/>
        <w:jc w:val="both"/>
        <w:rPr>
          <w:rFonts w:ascii="Palatino Linotype" w:hAnsi="Palatino Linotype"/>
          <w:bCs/>
          <w:sz w:val="23"/>
          <w:szCs w:val="23"/>
          <w:lang w:val="es-ES"/>
        </w:rPr>
      </w:pPr>
    </w:p>
    <w:p w14:paraId="3A24A056" w14:textId="0E677A6E" w:rsidR="00591F8D" w:rsidRDefault="00846F0C" w:rsidP="00935258">
      <w:pPr>
        <w:spacing w:after="0" w:line="360" w:lineRule="auto"/>
        <w:ind w:right="-3"/>
        <w:jc w:val="both"/>
        <w:rPr>
          <w:rFonts w:ascii="Palatino Linotype" w:hAnsi="Palatino Linotype"/>
          <w:sz w:val="23"/>
          <w:szCs w:val="23"/>
        </w:rPr>
      </w:pPr>
      <w:r>
        <w:rPr>
          <w:rFonts w:ascii="Palatino Linotype" w:hAnsi="Palatino Linotype"/>
          <w:sz w:val="23"/>
          <w:szCs w:val="23"/>
        </w:rPr>
        <w:t xml:space="preserve">Derivado de lo anterior, </w:t>
      </w:r>
      <w:r w:rsidR="00770BB1">
        <w:rPr>
          <w:rFonts w:ascii="Palatino Linotype" w:hAnsi="Palatino Linotype"/>
          <w:sz w:val="23"/>
          <w:szCs w:val="23"/>
        </w:rPr>
        <w:t>la</w:t>
      </w:r>
      <w:r w:rsidR="00235E50">
        <w:rPr>
          <w:rFonts w:ascii="Palatino Linotype" w:hAnsi="Palatino Linotype"/>
          <w:sz w:val="23"/>
          <w:szCs w:val="23"/>
        </w:rPr>
        <w:t xml:space="preserve"> Comisionad</w:t>
      </w:r>
      <w:r w:rsidR="00770BB1">
        <w:rPr>
          <w:rFonts w:ascii="Palatino Linotype" w:hAnsi="Palatino Linotype"/>
          <w:sz w:val="23"/>
          <w:szCs w:val="23"/>
        </w:rPr>
        <w:t>a</w:t>
      </w:r>
      <w:r>
        <w:rPr>
          <w:rFonts w:ascii="Palatino Linotype" w:hAnsi="Palatino Linotype"/>
          <w:sz w:val="23"/>
          <w:szCs w:val="23"/>
        </w:rPr>
        <w:t xml:space="preserve"> Ponente resolvió </w:t>
      </w:r>
      <w:r w:rsidR="00A503FC">
        <w:rPr>
          <w:rFonts w:ascii="Palatino Linotype" w:hAnsi="Palatino Linotype"/>
          <w:b/>
          <w:sz w:val="23"/>
          <w:szCs w:val="23"/>
        </w:rPr>
        <w:t>Modific</w:t>
      </w:r>
      <w:r w:rsidR="00990621">
        <w:rPr>
          <w:rFonts w:ascii="Palatino Linotype" w:hAnsi="Palatino Linotype"/>
          <w:b/>
          <w:sz w:val="23"/>
          <w:szCs w:val="23"/>
        </w:rPr>
        <w:t>ar</w:t>
      </w:r>
      <w:r w:rsidR="00EA3CFA">
        <w:rPr>
          <w:rFonts w:ascii="Palatino Linotype" w:hAnsi="Palatino Linotype"/>
          <w:b/>
          <w:sz w:val="23"/>
          <w:szCs w:val="23"/>
        </w:rPr>
        <w:t xml:space="preserve"> </w:t>
      </w:r>
      <w:r>
        <w:rPr>
          <w:rFonts w:ascii="Palatino Linotype" w:hAnsi="Palatino Linotype"/>
          <w:sz w:val="23"/>
          <w:szCs w:val="23"/>
        </w:rPr>
        <w:t xml:space="preserve">la respuesta otorgada por parte del </w:t>
      </w:r>
      <w:r w:rsidRPr="00C37B1B">
        <w:rPr>
          <w:rFonts w:ascii="Palatino Linotype" w:hAnsi="Palatino Linotype"/>
          <w:b/>
          <w:bCs/>
          <w:sz w:val="23"/>
          <w:szCs w:val="23"/>
        </w:rPr>
        <w:t>Sujeto Obligado</w:t>
      </w:r>
      <w:r>
        <w:rPr>
          <w:rFonts w:ascii="Palatino Linotype" w:hAnsi="Palatino Linotype"/>
          <w:sz w:val="23"/>
          <w:szCs w:val="23"/>
        </w:rPr>
        <w:t>, como a continuación se describe:</w:t>
      </w:r>
    </w:p>
    <w:p w14:paraId="22E31886" w14:textId="77777777" w:rsidR="00935258" w:rsidRPr="00935258" w:rsidRDefault="00935258" w:rsidP="00935258">
      <w:pPr>
        <w:spacing w:after="0" w:line="360" w:lineRule="auto"/>
        <w:ind w:right="-3"/>
        <w:jc w:val="both"/>
        <w:rPr>
          <w:rFonts w:ascii="Palatino Linotype" w:hAnsi="Palatino Linotype"/>
          <w:bCs/>
          <w:sz w:val="23"/>
          <w:szCs w:val="23"/>
          <w:lang w:val="es-ES"/>
        </w:rPr>
      </w:pPr>
    </w:p>
    <w:p w14:paraId="46D24225" w14:textId="0B405E3C" w:rsidR="00245EA9" w:rsidRDefault="0019061A" w:rsidP="00245EA9">
      <w:pPr>
        <w:pStyle w:val="Citas"/>
        <w:spacing w:before="0" w:after="0" w:line="240" w:lineRule="auto"/>
        <w:ind w:left="426" w:right="423"/>
        <w:rPr>
          <w:bCs/>
          <w:iCs/>
          <w:color w:val="000000"/>
          <w:lang w:val="es-ES"/>
        </w:rPr>
      </w:pPr>
      <w:r w:rsidRPr="00591F8D">
        <w:lastRenderedPageBreak/>
        <w:t>“</w:t>
      </w:r>
      <w:r w:rsidR="00245EA9" w:rsidRPr="00245EA9">
        <w:rPr>
          <w:b/>
          <w:bCs/>
          <w:iCs/>
          <w:color w:val="000000"/>
          <w:lang w:val="es-ES"/>
        </w:rPr>
        <w:t xml:space="preserve">Segundo. </w:t>
      </w:r>
      <w:r w:rsidR="00245EA9" w:rsidRPr="00245EA9">
        <w:rPr>
          <w:bCs/>
          <w:iCs/>
          <w:color w:val="000000"/>
          <w:lang w:val="es-ES"/>
        </w:rPr>
        <w:t>Se</w:t>
      </w:r>
      <w:r w:rsidR="00245EA9" w:rsidRPr="00245EA9">
        <w:rPr>
          <w:b/>
          <w:bCs/>
          <w:iCs/>
          <w:color w:val="000000"/>
          <w:lang w:val="es-ES"/>
        </w:rPr>
        <w:t xml:space="preserve"> ORDENA </w:t>
      </w:r>
      <w:r w:rsidR="00245EA9" w:rsidRPr="00245EA9">
        <w:rPr>
          <w:bCs/>
          <w:iCs/>
          <w:color w:val="000000"/>
          <w:lang w:val="es-ES"/>
        </w:rPr>
        <w:t xml:space="preserve">al </w:t>
      </w:r>
      <w:r w:rsidR="00245EA9" w:rsidRPr="00245EA9">
        <w:rPr>
          <w:b/>
          <w:bCs/>
          <w:iCs/>
          <w:color w:val="000000"/>
          <w:lang w:val="es-ES"/>
        </w:rPr>
        <w:t>SUJETO OBLIGADO</w:t>
      </w:r>
      <w:r w:rsidR="00245EA9" w:rsidRPr="00245EA9">
        <w:rPr>
          <w:bCs/>
          <w:iCs/>
          <w:color w:val="000000"/>
          <w:lang w:val="es-ES"/>
        </w:rPr>
        <w:t xml:space="preserve"> a que,</w:t>
      </w:r>
      <w:r w:rsidR="00245EA9" w:rsidRPr="00245EA9">
        <w:rPr>
          <w:b/>
          <w:bCs/>
          <w:iCs/>
          <w:color w:val="000000"/>
          <w:lang w:val="es-ES"/>
        </w:rPr>
        <w:t xml:space="preserve"> </w:t>
      </w:r>
      <w:r w:rsidR="00245EA9" w:rsidRPr="00245EA9">
        <w:rPr>
          <w:bCs/>
          <w:iCs/>
          <w:color w:val="000000"/>
          <w:lang w:val="es-ES"/>
        </w:rPr>
        <w:t xml:space="preserve">en términos del Considerando Cuarto y Quinto, haga entrega, vía Sistema de Acceso a la Información Mexiquense, de ser el caso, en versión pública, de lo siguiente: </w:t>
      </w:r>
    </w:p>
    <w:p w14:paraId="70C1CCFE" w14:textId="77777777" w:rsidR="00245EA9" w:rsidRPr="00245EA9" w:rsidRDefault="00245EA9" w:rsidP="00245EA9">
      <w:pPr>
        <w:pStyle w:val="Citas"/>
        <w:spacing w:before="0" w:after="0" w:line="240" w:lineRule="auto"/>
        <w:ind w:left="426" w:right="423"/>
        <w:rPr>
          <w:bCs/>
          <w:iCs/>
          <w:color w:val="000000"/>
          <w:lang w:val="es-ES"/>
        </w:rPr>
      </w:pPr>
    </w:p>
    <w:p w14:paraId="243A1D2A" w14:textId="77777777" w:rsidR="00245EA9" w:rsidRDefault="00245EA9" w:rsidP="00245EA9">
      <w:pPr>
        <w:pStyle w:val="Citas"/>
        <w:numPr>
          <w:ilvl w:val="0"/>
          <w:numId w:val="36"/>
        </w:numPr>
        <w:spacing w:before="0" w:after="0" w:line="240" w:lineRule="auto"/>
        <w:ind w:left="851" w:right="423"/>
        <w:rPr>
          <w:bCs/>
          <w:iCs/>
          <w:color w:val="000000"/>
          <w:lang w:val="es-ES"/>
        </w:rPr>
      </w:pPr>
      <w:r w:rsidRPr="00245EA9">
        <w:rPr>
          <w:bCs/>
          <w:iCs/>
          <w:color w:val="000000"/>
          <w:lang w:val="es-ES"/>
        </w:rPr>
        <w:t xml:space="preserve">Documento donde conste el nombre de todos los servidores públicos adscritos a la Contraloría en funciones al tres de abril de dos mil veinticuatro y, el documento que acredite su último grado de estudios. </w:t>
      </w:r>
    </w:p>
    <w:p w14:paraId="5D4D5E9F" w14:textId="77777777" w:rsidR="00245EA9" w:rsidRPr="00245EA9" w:rsidRDefault="00245EA9" w:rsidP="00245EA9">
      <w:pPr>
        <w:pStyle w:val="Citas"/>
        <w:spacing w:before="0" w:after="0" w:line="240" w:lineRule="auto"/>
        <w:ind w:right="423"/>
        <w:rPr>
          <w:bCs/>
          <w:iCs/>
          <w:color w:val="000000"/>
          <w:lang w:val="es-ES"/>
        </w:rPr>
      </w:pPr>
    </w:p>
    <w:p w14:paraId="432576EB" w14:textId="7BFA2152" w:rsidR="00245EA9" w:rsidRDefault="00245EA9" w:rsidP="00245EA9">
      <w:pPr>
        <w:pStyle w:val="Citas"/>
        <w:numPr>
          <w:ilvl w:val="0"/>
          <w:numId w:val="36"/>
        </w:numPr>
        <w:spacing w:before="0" w:after="0" w:line="240" w:lineRule="auto"/>
        <w:ind w:left="851" w:right="423"/>
        <w:rPr>
          <w:bCs/>
          <w:iCs/>
          <w:color w:val="000000"/>
          <w:lang w:val="es-ES"/>
        </w:rPr>
      </w:pPr>
      <w:r w:rsidRPr="00245EA9">
        <w:rPr>
          <w:bCs/>
          <w:iCs/>
          <w:color w:val="000000"/>
          <w:lang w:val="es-ES"/>
        </w:rPr>
        <w:t xml:space="preserve">Documentos que acrediten la experiencia profesional del Subcontralor en funciones al tres de abril de dos mil veinticuatro. </w:t>
      </w:r>
    </w:p>
    <w:p w14:paraId="6B242E4C" w14:textId="77777777" w:rsidR="00245EA9" w:rsidRPr="00245EA9" w:rsidRDefault="00245EA9" w:rsidP="00245EA9">
      <w:pPr>
        <w:pStyle w:val="Citas"/>
        <w:spacing w:before="0" w:after="0" w:line="240" w:lineRule="auto"/>
        <w:ind w:left="426" w:right="423"/>
        <w:rPr>
          <w:bCs/>
          <w:iCs/>
          <w:color w:val="000000"/>
          <w:lang w:val="es-ES"/>
        </w:rPr>
      </w:pPr>
    </w:p>
    <w:p w14:paraId="6C3F2ADE" w14:textId="7FF493AD" w:rsidR="00A62EE1" w:rsidRPr="00245EA9" w:rsidRDefault="00245EA9" w:rsidP="00245EA9">
      <w:pPr>
        <w:pStyle w:val="Citas"/>
        <w:spacing w:before="0" w:after="0" w:line="240" w:lineRule="auto"/>
        <w:ind w:left="426" w:right="423"/>
        <w:rPr>
          <w:bCs/>
          <w:iCs/>
          <w:color w:val="000000"/>
          <w:lang w:val="es-ES"/>
        </w:rPr>
      </w:pPr>
      <w:r w:rsidRPr="00245EA9">
        <w:rPr>
          <w:bCs/>
          <w:iCs/>
          <w:color w:val="000000"/>
          <w:lang w:val="es-ES"/>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245EA9">
        <w:rPr>
          <w:b/>
          <w:bCs/>
          <w:iCs/>
          <w:color w:val="000000"/>
          <w:lang w:val="es-ES"/>
        </w:rPr>
        <w:t>,</w:t>
      </w:r>
      <w:r w:rsidRPr="00245EA9">
        <w:rPr>
          <w:bCs/>
          <w:iCs/>
          <w:color w:val="000000"/>
          <w:lang w:val="es-ES"/>
        </w:rPr>
        <w:t xml:space="preserve"> y se ponga a disposición de la parte Recurrente, en términos de los artículos 49, fracción VIII, de la Ley de Transparencia y Acceso a la Información Pública del Estado de México y Municipios.</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51F44728" w14:textId="77777777" w:rsidR="00C37B1B" w:rsidRDefault="00C37B1B" w:rsidP="00C37B1B">
      <w:pPr>
        <w:pStyle w:val="Sinespaciado"/>
        <w:rPr>
          <w:lang w:val="es-ES_tradnl"/>
        </w:rPr>
      </w:pPr>
    </w:p>
    <w:p w14:paraId="4B45C940" w14:textId="77777777" w:rsidR="00245EA9" w:rsidRPr="00245EA9" w:rsidRDefault="00245EA9" w:rsidP="00C37B1B">
      <w:pPr>
        <w:pStyle w:val="Sinespaciado"/>
        <w:rPr>
          <w:sz w:val="18"/>
          <w:szCs w:val="18"/>
          <w:lang w:val="es-ES_tradnl"/>
        </w:rPr>
      </w:pPr>
    </w:p>
    <w:p w14:paraId="5D235913" w14:textId="451B09A7" w:rsidR="00D47F69" w:rsidRDefault="0019061A" w:rsidP="00A62EE1">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w:t>
      </w:r>
      <w:r w:rsidR="00830F92" w:rsidRPr="00830F92">
        <w:rPr>
          <w:rFonts w:ascii="Palatino Linotype" w:hAnsi="Palatino Linotype"/>
          <w:sz w:val="23"/>
          <w:szCs w:val="23"/>
        </w:rPr>
        <w:t>haber colmado la respuesta otorgada a la solicitud de información referida</w:t>
      </w:r>
      <w:r w:rsidR="00830F92">
        <w:rPr>
          <w:rFonts w:ascii="Palatino Linotype" w:hAnsi="Palatino Linotype"/>
          <w:sz w:val="23"/>
          <w:szCs w:val="23"/>
        </w:rPr>
        <w:t xml:space="preserve"> a </w:t>
      </w:r>
      <w:r w:rsidR="00830F92" w:rsidRPr="00830F92">
        <w:rPr>
          <w:rFonts w:ascii="Palatino Linotype" w:hAnsi="Palatino Linotype"/>
          <w:sz w:val="23"/>
          <w:szCs w:val="23"/>
        </w:rPr>
        <w:t xml:space="preserve">los documentos que acrediten la experiencia </w:t>
      </w:r>
      <w:r w:rsidR="00830F92">
        <w:rPr>
          <w:rFonts w:ascii="Palatino Linotype" w:hAnsi="Palatino Linotype"/>
          <w:sz w:val="23"/>
          <w:szCs w:val="23"/>
        </w:rPr>
        <w:t>profesional</w:t>
      </w:r>
      <w:r w:rsidR="00830F92" w:rsidRPr="00830F92">
        <w:rPr>
          <w:rFonts w:ascii="Palatino Linotype" w:hAnsi="Palatino Linotype"/>
          <w:sz w:val="23"/>
          <w:szCs w:val="23"/>
        </w:rPr>
        <w:t xml:space="preserve"> de la Contralora</w:t>
      </w:r>
      <w:r w:rsidR="00830F92">
        <w:rPr>
          <w:rFonts w:ascii="Palatino Linotype" w:hAnsi="Palatino Linotype"/>
          <w:sz w:val="23"/>
          <w:szCs w:val="23"/>
        </w:rPr>
        <w:t xml:space="preserve"> </w:t>
      </w:r>
      <w:r w:rsidR="00830F92" w:rsidRPr="00830F92">
        <w:rPr>
          <w:rFonts w:ascii="Palatino Linotype" w:hAnsi="Palatino Linotype"/>
          <w:sz w:val="23"/>
          <w:szCs w:val="23"/>
        </w:rPr>
        <w:t>General del Tribunal Electoral</w:t>
      </w:r>
      <w:r w:rsidR="00235E50" w:rsidRPr="00235E50">
        <w:rPr>
          <w:rFonts w:ascii="Palatino Linotype" w:hAnsi="Palatino Linotype"/>
          <w:sz w:val="23"/>
          <w:szCs w:val="23"/>
        </w:rPr>
        <w:t>,</w:t>
      </w:r>
      <w:r w:rsidR="00990621">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0407D4AA" w14:textId="77777777" w:rsidR="00830F92" w:rsidRDefault="00830F92" w:rsidP="00A62EE1">
      <w:pPr>
        <w:spacing w:after="0" w:line="360" w:lineRule="auto"/>
        <w:jc w:val="both"/>
        <w:rPr>
          <w:rFonts w:ascii="Palatino Linotype" w:hAnsi="Palatino Linotype"/>
          <w:sz w:val="23"/>
          <w:szCs w:val="23"/>
        </w:rPr>
      </w:pPr>
    </w:p>
    <w:p w14:paraId="66B8F498" w14:textId="20BBB688" w:rsidR="00D47F69" w:rsidRPr="00830F92" w:rsidRDefault="00830F92" w:rsidP="00D47F69">
      <w:pPr>
        <w:spacing w:after="0" w:line="360" w:lineRule="auto"/>
        <w:jc w:val="both"/>
        <w:rPr>
          <w:rFonts w:ascii="Palatino Linotype" w:hAnsi="Palatino Linotype"/>
          <w:sz w:val="23"/>
          <w:szCs w:val="23"/>
        </w:rPr>
      </w:pPr>
      <w:r>
        <w:rPr>
          <w:rFonts w:ascii="Palatino Linotype" w:hAnsi="Palatino Linotype"/>
          <w:sz w:val="23"/>
          <w:szCs w:val="23"/>
        </w:rPr>
        <w:t xml:space="preserve">Si bien es cierto que, </w:t>
      </w:r>
      <w:r w:rsidRPr="00830F92">
        <w:rPr>
          <w:rFonts w:ascii="Palatino Linotype" w:hAnsi="Palatino Linotype"/>
          <w:sz w:val="23"/>
          <w:szCs w:val="23"/>
        </w:rPr>
        <w:t xml:space="preserve">para ostentar el cargo de Contralor del Tribunal Electoral se deben acreditar tres años de experiencia profesional, </w:t>
      </w:r>
      <w:r>
        <w:rPr>
          <w:rFonts w:ascii="Palatino Linotype" w:hAnsi="Palatino Linotype"/>
          <w:sz w:val="23"/>
          <w:szCs w:val="23"/>
        </w:rPr>
        <w:t xml:space="preserve">y </w:t>
      </w:r>
      <w:r w:rsidRPr="00830F92">
        <w:rPr>
          <w:rFonts w:ascii="Palatino Linotype" w:hAnsi="Palatino Linotype"/>
          <w:sz w:val="23"/>
          <w:szCs w:val="23"/>
        </w:rPr>
        <w:t>quien designa a este servidor público es la Legislatura</w:t>
      </w:r>
      <w:r>
        <w:rPr>
          <w:rFonts w:ascii="Palatino Linotype" w:hAnsi="Palatino Linotype"/>
          <w:sz w:val="23"/>
          <w:szCs w:val="23"/>
        </w:rPr>
        <w:t xml:space="preserve">; también lo es que, </w:t>
      </w:r>
      <w:r w:rsidR="00D47F69" w:rsidRPr="00D47F69">
        <w:rPr>
          <w:rFonts w:ascii="Palatino Linotype" w:hAnsi="Palatino Linotype"/>
          <w:b/>
          <w:bCs/>
          <w:sz w:val="23"/>
          <w:szCs w:val="23"/>
          <w:u w:val="single"/>
          <w:lang w:val="es-ES_tradnl"/>
        </w:rPr>
        <w:t>una vez que han tomado el cargo</w:t>
      </w:r>
      <w:r w:rsidR="00F46FE4">
        <w:rPr>
          <w:rFonts w:ascii="Palatino Linotype" w:hAnsi="Palatino Linotype"/>
          <w:b/>
          <w:bCs/>
          <w:sz w:val="23"/>
          <w:szCs w:val="23"/>
          <w:u w:val="single"/>
          <w:lang w:val="es-ES_tradnl"/>
        </w:rPr>
        <w:t xml:space="preserve"> </w:t>
      </w:r>
      <w:r w:rsidR="00D47F69" w:rsidRPr="00D47F69">
        <w:rPr>
          <w:rFonts w:ascii="Palatino Linotype" w:hAnsi="Palatino Linotype"/>
          <w:b/>
          <w:bCs/>
          <w:sz w:val="23"/>
          <w:szCs w:val="23"/>
          <w:u w:val="single"/>
          <w:lang w:val="es-ES_tradnl"/>
        </w:rPr>
        <w:t>ya son considerados como servidores públicos</w:t>
      </w:r>
      <w:r w:rsidR="00D47F69" w:rsidRPr="00D47F69">
        <w:rPr>
          <w:rFonts w:ascii="Palatino Linotype" w:hAnsi="Palatino Linotype"/>
          <w:sz w:val="23"/>
          <w:szCs w:val="23"/>
          <w:lang w:val="es-ES_tradnl"/>
        </w:rPr>
        <w:t xml:space="preserve"> y, en consecuencia, se rigen por las leyes que regulan el servicio público, entre las que se pueden destacar la Ley de Responsabilidades Administrativas del Estado de México y Municipios, la Ley del Trabajo de los Servidores </w:t>
      </w:r>
      <w:r w:rsidR="00D47F69" w:rsidRPr="00D47F69">
        <w:rPr>
          <w:rFonts w:ascii="Palatino Linotype" w:hAnsi="Palatino Linotype"/>
          <w:sz w:val="23"/>
          <w:szCs w:val="23"/>
          <w:lang w:val="es-ES_tradnl"/>
        </w:rPr>
        <w:lastRenderedPageBreak/>
        <w:t>Públicos del Estado y Municipios y, por supuesto, la Ley de Transparencia y Acceso a la Información Pública del Estado de México y Municipios.</w:t>
      </w:r>
    </w:p>
    <w:p w14:paraId="608C66DA" w14:textId="77777777" w:rsidR="00D47F69" w:rsidRPr="00830F92" w:rsidRDefault="00D47F69" w:rsidP="00D47F69">
      <w:pPr>
        <w:spacing w:after="0" w:line="360" w:lineRule="auto"/>
        <w:jc w:val="both"/>
        <w:rPr>
          <w:rFonts w:ascii="Palatino Linotype" w:hAnsi="Palatino Linotype"/>
          <w:b/>
          <w:bCs/>
          <w:sz w:val="23"/>
          <w:szCs w:val="23"/>
        </w:rPr>
      </w:pPr>
    </w:p>
    <w:p w14:paraId="4BE8318E" w14:textId="471463E9"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Cabe resaltar que ninguna de estas leyes o normas de carácter general, hace distinción entre servidores públicos con cargo de elección popular o de cualquier otra naturaleza, por lo tanto, les resultan aplicables a todos los servidores públicos.</w:t>
      </w:r>
    </w:p>
    <w:p w14:paraId="6B18ADFC" w14:textId="77777777" w:rsidR="00B11DF6" w:rsidRPr="00D47F69" w:rsidRDefault="00B11DF6" w:rsidP="00D47F69">
      <w:pPr>
        <w:spacing w:after="0" w:line="360" w:lineRule="auto"/>
        <w:jc w:val="both"/>
        <w:rPr>
          <w:rFonts w:ascii="Palatino Linotype" w:hAnsi="Palatino Linotype"/>
          <w:sz w:val="23"/>
          <w:szCs w:val="23"/>
          <w:lang w:val="es-ES_tradnl"/>
        </w:rPr>
      </w:pPr>
    </w:p>
    <w:p w14:paraId="25C1E19D" w14:textId="77777777" w:rsidR="00D47F69" w:rsidRPr="00D47F69" w:rsidRDefault="00D47F69" w:rsidP="00D47F69">
      <w:pPr>
        <w:spacing w:after="0" w:line="360" w:lineRule="auto"/>
        <w:jc w:val="both"/>
        <w:rPr>
          <w:rFonts w:ascii="Palatino Linotype" w:hAnsi="Palatino Linotype"/>
          <w:sz w:val="23"/>
          <w:szCs w:val="23"/>
        </w:rPr>
      </w:pPr>
      <w:r w:rsidRPr="00D47F69">
        <w:rPr>
          <w:rFonts w:ascii="Palatino Linotype" w:hAnsi="Palatino Linotype"/>
          <w:sz w:val="23"/>
          <w:szCs w:val="23"/>
          <w:lang w:val="es-ES_tradnl"/>
        </w:rPr>
        <w:t>L</w:t>
      </w:r>
      <w:r w:rsidRPr="00D47F69">
        <w:rPr>
          <w:rFonts w:ascii="Palatino Linotype" w:hAnsi="Palatino Linotype"/>
          <w:sz w:val="23"/>
          <w:szCs w:val="23"/>
        </w:rPr>
        <w:t>a fracción XXI, del artículo 92, de la Ley de Transparencia y Acceso a la Información Pública del Estado de México y Municipios, que a la letra indica:</w:t>
      </w:r>
    </w:p>
    <w:p w14:paraId="19F91363" w14:textId="77777777" w:rsidR="00D47F69" w:rsidRPr="00D47F69" w:rsidRDefault="00D47F69" w:rsidP="00D47F69">
      <w:pPr>
        <w:spacing w:after="0" w:line="360" w:lineRule="auto"/>
        <w:jc w:val="both"/>
        <w:rPr>
          <w:rFonts w:ascii="Palatino Linotype" w:hAnsi="Palatino Linotype"/>
          <w:sz w:val="23"/>
          <w:szCs w:val="23"/>
          <w:lang w:val="es-ES_tradnl"/>
        </w:rPr>
      </w:pPr>
    </w:p>
    <w:p w14:paraId="03697E28" w14:textId="77777777" w:rsidR="00D47F69" w:rsidRPr="00E63F29" w:rsidRDefault="00D47F69" w:rsidP="00D47F69">
      <w:pPr>
        <w:spacing w:after="0" w:line="240" w:lineRule="auto"/>
        <w:ind w:left="567" w:right="423"/>
        <w:jc w:val="both"/>
        <w:rPr>
          <w:rFonts w:ascii="Palatino Linotype" w:hAnsi="Palatino Linotype"/>
          <w:i/>
          <w:sz w:val="21"/>
          <w:szCs w:val="21"/>
          <w:lang w:val="es-ES_tradnl"/>
        </w:rPr>
      </w:pPr>
      <w:r w:rsidRPr="00E63F29">
        <w:rPr>
          <w:rFonts w:ascii="Palatino Linotype" w:hAnsi="Palatino Linotype"/>
          <w:i/>
          <w:sz w:val="21"/>
          <w:szCs w:val="21"/>
          <w:lang w:val="es-ES_tradnl"/>
        </w:rPr>
        <w:t>“</w:t>
      </w:r>
      <w:r w:rsidRPr="00E63F29">
        <w:rPr>
          <w:rFonts w:ascii="Palatino Linotype" w:hAnsi="Palatino Linotype"/>
          <w:b/>
          <w:i/>
          <w:sz w:val="21"/>
          <w:szCs w:val="21"/>
          <w:lang w:val="es-ES_tradnl"/>
        </w:rPr>
        <w:t>Artículo 92</w:t>
      </w:r>
      <w:r w:rsidRPr="00E63F29">
        <w:rPr>
          <w:rFonts w:ascii="Palatino Linotype" w:hAnsi="Palatino Linotype"/>
          <w:i/>
          <w:sz w:val="21"/>
          <w:szCs w:val="21"/>
          <w:lang w:val="es-ES_tradnl"/>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119790F" w14:textId="77777777" w:rsidR="00D47F69" w:rsidRPr="00E63F29" w:rsidRDefault="00D47F69" w:rsidP="00D47F69">
      <w:pPr>
        <w:spacing w:after="0" w:line="240" w:lineRule="auto"/>
        <w:ind w:left="567" w:right="423"/>
        <w:jc w:val="both"/>
        <w:rPr>
          <w:rFonts w:ascii="Palatino Linotype" w:hAnsi="Palatino Linotype"/>
          <w:i/>
          <w:sz w:val="21"/>
          <w:szCs w:val="21"/>
          <w:lang w:val="es-ES_tradnl"/>
        </w:rPr>
      </w:pPr>
      <w:r w:rsidRPr="00E63F29">
        <w:rPr>
          <w:rFonts w:ascii="Palatino Linotype" w:hAnsi="Palatino Linotype"/>
          <w:i/>
          <w:sz w:val="21"/>
          <w:szCs w:val="21"/>
          <w:lang w:val="es-ES_tradnl"/>
        </w:rPr>
        <w:t>(…)</w:t>
      </w:r>
    </w:p>
    <w:p w14:paraId="4945F496" w14:textId="77777777" w:rsidR="00D47F69" w:rsidRPr="00E63F29" w:rsidRDefault="00D47F69" w:rsidP="00D47F69">
      <w:pPr>
        <w:spacing w:after="0" w:line="240" w:lineRule="auto"/>
        <w:ind w:left="567" w:right="423"/>
        <w:jc w:val="both"/>
        <w:rPr>
          <w:rFonts w:ascii="Palatino Linotype" w:hAnsi="Palatino Linotype"/>
          <w:i/>
          <w:sz w:val="21"/>
          <w:szCs w:val="21"/>
          <w:lang w:val="es-ES_tradnl"/>
        </w:rPr>
      </w:pPr>
      <w:r w:rsidRPr="00E63F29">
        <w:rPr>
          <w:rFonts w:ascii="Palatino Linotype" w:hAnsi="Palatino Linotype"/>
          <w:b/>
          <w:i/>
          <w:sz w:val="21"/>
          <w:szCs w:val="21"/>
          <w:lang w:val="es-ES_tradnl"/>
        </w:rPr>
        <w:t>XXI.</w:t>
      </w:r>
      <w:r w:rsidRPr="00E63F29">
        <w:rPr>
          <w:rFonts w:ascii="Palatino Linotype" w:hAnsi="Palatino Linotype"/>
          <w:i/>
          <w:sz w:val="21"/>
          <w:szCs w:val="21"/>
          <w:lang w:val="es-ES_tradnl"/>
        </w:rPr>
        <w:t xml:space="preserve"> </w:t>
      </w:r>
      <w:r w:rsidRPr="00E63F29">
        <w:rPr>
          <w:rFonts w:ascii="Palatino Linotype" w:hAnsi="Palatino Linotype"/>
          <w:b/>
          <w:i/>
          <w:sz w:val="21"/>
          <w:szCs w:val="21"/>
          <w:u w:val="single"/>
          <w:lang w:val="es-ES_tradnl"/>
        </w:rPr>
        <w:t>La información curricular, desde el nivel de jefe de departamento o equivalente, hasta el titular del sujeto obligado</w:t>
      </w:r>
      <w:r w:rsidRPr="00E63F29">
        <w:rPr>
          <w:rFonts w:ascii="Palatino Linotype" w:hAnsi="Palatino Linotype"/>
          <w:i/>
          <w:sz w:val="21"/>
          <w:szCs w:val="21"/>
          <w:lang w:val="es-ES_tradnl"/>
        </w:rPr>
        <w:t>, así como, en su caso, las sanciones administrativas de que haya sido objeto;</w:t>
      </w:r>
    </w:p>
    <w:p w14:paraId="1BC50AEB" w14:textId="77777777" w:rsidR="00D47F69" w:rsidRPr="00E63F29" w:rsidRDefault="00D47F69" w:rsidP="00D47F69">
      <w:pPr>
        <w:spacing w:after="0" w:line="240" w:lineRule="auto"/>
        <w:ind w:left="567" w:right="423"/>
        <w:jc w:val="both"/>
        <w:rPr>
          <w:rFonts w:ascii="Palatino Linotype" w:hAnsi="Palatino Linotype"/>
          <w:i/>
          <w:sz w:val="21"/>
          <w:szCs w:val="21"/>
          <w:lang w:val="es-ES_tradnl"/>
        </w:rPr>
      </w:pPr>
      <w:r w:rsidRPr="00E63F29">
        <w:rPr>
          <w:rFonts w:ascii="Palatino Linotype" w:hAnsi="Palatino Linotype"/>
          <w:i/>
          <w:sz w:val="21"/>
          <w:szCs w:val="21"/>
          <w:lang w:val="es-ES_tradnl"/>
        </w:rPr>
        <w:t>(…)” (Sic)</w:t>
      </w:r>
    </w:p>
    <w:p w14:paraId="714091F0" w14:textId="77777777" w:rsidR="00D47F69" w:rsidRPr="00D47F69" w:rsidRDefault="00D47F69" w:rsidP="00D47F69">
      <w:pPr>
        <w:spacing w:after="0" w:line="360" w:lineRule="auto"/>
        <w:jc w:val="both"/>
        <w:rPr>
          <w:rFonts w:ascii="Palatino Linotype" w:hAnsi="Palatino Linotype"/>
          <w:sz w:val="23"/>
          <w:szCs w:val="23"/>
          <w:lang w:val="es-ES_tradnl"/>
        </w:rPr>
      </w:pPr>
    </w:p>
    <w:p w14:paraId="071A78F9" w14:textId="2CD78154"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Por tratarse de una obligación de transparencia común, los sujetos obligados deben poner a disposición del público en su portal de IPOMEX el grado escolar, mismo que se encuentra inmerso en la información curricular de sus servidores públicos, ya que con ello cumple con la finalidad de enaltecer los principios de máxima publicidad, transparencia y certeza; más como se aprecia en el dispositivo legal antes invocado </w:t>
      </w:r>
      <w:r w:rsidRPr="00D47F69">
        <w:rPr>
          <w:rFonts w:ascii="Palatino Linotype" w:hAnsi="Palatino Linotype"/>
          <w:sz w:val="23"/>
          <w:szCs w:val="23"/>
          <w:lang w:val="es-ES_tradnl"/>
        </w:rPr>
        <w:lastRenderedPageBreak/>
        <w:t>solamente están constreñidos a tener la información curricular desde el nivel de jefe de departamento o equivalente; por lo que aunque esta información no es generada por los sujetos obligados, sí la posee y debe obrar en sus archivos.</w:t>
      </w:r>
    </w:p>
    <w:p w14:paraId="75F2CB58" w14:textId="77777777" w:rsidR="00830F92" w:rsidRPr="00D47F69" w:rsidRDefault="00830F92" w:rsidP="00D47F69">
      <w:pPr>
        <w:spacing w:after="0" w:line="360" w:lineRule="auto"/>
        <w:jc w:val="both"/>
        <w:rPr>
          <w:rFonts w:ascii="Palatino Linotype" w:hAnsi="Palatino Linotype"/>
          <w:sz w:val="23"/>
          <w:szCs w:val="23"/>
          <w:lang w:val="es-ES_tradnl"/>
        </w:rPr>
      </w:pPr>
    </w:p>
    <w:p w14:paraId="1D9F915F" w14:textId="77777777"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Aunado a lo anterior, las obligaciones de transparencia comunes tienen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0D98A3BC" w14:textId="77777777" w:rsidR="00D47F69" w:rsidRPr="00D47F69" w:rsidRDefault="00D47F69" w:rsidP="00D47F69">
      <w:pPr>
        <w:spacing w:after="0" w:line="360" w:lineRule="auto"/>
        <w:jc w:val="both"/>
        <w:rPr>
          <w:rFonts w:ascii="Palatino Linotype" w:hAnsi="Palatino Linotype"/>
          <w:sz w:val="23"/>
          <w:szCs w:val="23"/>
          <w:lang w:val="es-ES_tradnl"/>
        </w:rPr>
      </w:pPr>
    </w:p>
    <w:p w14:paraId="33CE1BF2" w14:textId="77777777"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Adicionalmente, con relación a la obligación de transparencia común en cita, se destaca que los </w:t>
      </w:r>
      <w:r w:rsidRPr="00D47F69">
        <w:rPr>
          <w:rFonts w:ascii="Palatino Linotype" w:hAnsi="Palatino Linotype"/>
          <w:bCs/>
          <w:sz w:val="23"/>
          <w:szCs w:val="23"/>
          <w:lang w:val="es-ES_tradnl"/>
        </w:rPr>
        <w:t xml:space="preserve"> </w:t>
      </w:r>
      <w:r w:rsidRPr="00D47F69">
        <w:rPr>
          <w:rFonts w:ascii="Palatino Linotype" w:hAnsi="Palatino Linotype"/>
          <w:sz w:val="23"/>
          <w:szCs w:val="23"/>
          <w:lang w:val="es-ES_tradnl"/>
        </w:rPr>
        <w:t>“</w:t>
      </w:r>
      <w:r w:rsidRPr="00D47F69">
        <w:rPr>
          <w:rFonts w:ascii="Palatino Linotype" w:hAnsi="Palatino Linotype"/>
          <w:b/>
          <w:bCs/>
          <w:i/>
          <w:iCs/>
          <w:sz w:val="23"/>
          <w:szCs w:val="23"/>
          <w:lang w:val="es-ES_tradnl"/>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D47F69">
        <w:rPr>
          <w:rFonts w:ascii="Palatino Linotype" w:hAnsi="Palatino Linotype"/>
          <w:sz w:val="23"/>
          <w:szCs w:val="23"/>
          <w:lang w:val="es-ES_tradnl"/>
        </w:rPr>
        <w:t xml:space="preserve"> engloban como criterios sustantivos de contenido los relativos a:</w:t>
      </w:r>
    </w:p>
    <w:p w14:paraId="699C46C3" w14:textId="77777777" w:rsidR="00D47F69" w:rsidRPr="00D47F69" w:rsidRDefault="00D47F69" w:rsidP="00D47F69">
      <w:pPr>
        <w:spacing w:after="0" w:line="360" w:lineRule="auto"/>
        <w:jc w:val="both"/>
        <w:rPr>
          <w:rFonts w:ascii="Palatino Linotype" w:hAnsi="Palatino Linotype"/>
          <w:sz w:val="23"/>
          <w:szCs w:val="23"/>
          <w:lang w:val="es-ES_tradnl"/>
        </w:rPr>
      </w:pPr>
    </w:p>
    <w:p w14:paraId="0512D2AF" w14:textId="77777777" w:rsidR="00D47F69" w:rsidRPr="00E63F29" w:rsidRDefault="00D47F69" w:rsidP="00D47F69">
      <w:pPr>
        <w:spacing w:after="0" w:line="240" w:lineRule="auto"/>
        <w:ind w:left="567" w:right="706"/>
        <w:jc w:val="both"/>
        <w:rPr>
          <w:rFonts w:ascii="Palatino Linotype" w:hAnsi="Palatino Linotype"/>
          <w:i/>
          <w:sz w:val="21"/>
          <w:szCs w:val="21"/>
        </w:rPr>
      </w:pPr>
      <w:r w:rsidRPr="00E63F29">
        <w:rPr>
          <w:rFonts w:ascii="Palatino Linotype" w:hAnsi="Palatino Linotype"/>
          <w:i/>
          <w:sz w:val="21"/>
          <w:szCs w:val="21"/>
        </w:rPr>
        <w:t xml:space="preserve">“Respecto a la información curricular del (la) servidor(a) público(a) y/o persona que desempeñe un empleo, cargo o comisión en el sujeto obligado se deberá publicar: </w:t>
      </w:r>
    </w:p>
    <w:p w14:paraId="30FC4890" w14:textId="77777777" w:rsidR="00D47F69" w:rsidRPr="00E63F29" w:rsidRDefault="00D47F69" w:rsidP="00D47F69">
      <w:pPr>
        <w:spacing w:after="0" w:line="240" w:lineRule="auto"/>
        <w:ind w:left="567" w:right="706"/>
        <w:jc w:val="both"/>
        <w:rPr>
          <w:rFonts w:ascii="Palatino Linotype" w:hAnsi="Palatino Linotype"/>
          <w:i/>
          <w:sz w:val="21"/>
          <w:szCs w:val="21"/>
        </w:rPr>
      </w:pPr>
    </w:p>
    <w:p w14:paraId="3E2926CA" w14:textId="6B80CAE1" w:rsidR="00D47F69" w:rsidRPr="00E63F29" w:rsidRDefault="00D47F69" w:rsidP="00D47F69">
      <w:pPr>
        <w:spacing w:after="0" w:line="240" w:lineRule="auto"/>
        <w:ind w:left="567" w:right="706"/>
        <w:jc w:val="both"/>
        <w:rPr>
          <w:rFonts w:ascii="Palatino Linotype" w:hAnsi="Palatino Linotype"/>
          <w:b/>
          <w:bCs/>
          <w:i/>
          <w:sz w:val="21"/>
          <w:szCs w:val="21"/>
          <w:u w:val="single"/>
        </w:rPr>
      </w:pPr>
      <w:r w:rsidRPr="00E63F29">
        <w:rPr>
          <w:rFonts w:ascii="Palatino Linotype" w:hAnsi="Palatino Linotype"/>
          <w:b/>
          <w:bCs/>
          <w:i/>
          <w:sz w:val="21"/>
          <w:szCs w:val="21"/>
          <w:u w:val="single"/>
        </w:rPr>
        <w:t>Criterio 7 Escolaridad, nivel máximo de estudios concluido y comprobable (catálogo): Ninguno/Primaria/Secundaria/Bachillerato/Carrera técnica / Licenciatura / Maestría / Doctorado / Posdoctorado / Especialización</w:t>
      </w:r>
    </w:p>
    <w:p w14:paraId="029DE26A" w14:textId="77777777" w:rsidR="00D47F69" w:rsidRPr="00E63F29" w:rsidRDefault="00D47F69" w:rsidP="00D47F69">
      <w:pPr>
        <w:spacing w:after="0" w:line="240" w:lineRule="auto"/>
        <w:ind w:left="567" w:right="706"/>
        <w:jc w:val="both"/>
        <w:rPr>
          <w:rFonts w:ascii="Palatino Linotype" w:hAnsi="Palatino Linotype"/>
          <w:b/>
          <w:bCs/>
          <w:i/>
          <w:sz w:val="21"/>
          <w:szCs w:val="21"/>
          <w:u w:val="single"/>
        </w:rPr>
      </w:pPr>
    </w:p>
    <w:p w14:paraId="6BD89CCE" w14:textId="628932D4" w:rsidR="00D47F69" w:rsidRPr="00E63F29" w:rsidRDefault="00D47F69" w:rsidP="00B11DF6">
      <w:pPr>
        <w:spacing w:after="0" w:line="240" w:lineRule="auto"/>
        <w:ind w:left="567" w:right="706"/>
        <w:jc w:val="both"/>
        <w:rPr>
          <w:rFonts w:ascii="Palatino Linotype" w:hAnsi="Palatino Linotype"/>
          <w:b/>
          <w:bCs/>
          <w:i/>
          <w:sz w:val="21"/>
          <w:szCs w:val="21"/>
          <w:u w:val="single"/>
        </w:rPr>
      </w:pPr>
      <w:r w:rsidRPr="00E63F29">
        <w:rPr>
          <w:rFonts w:ascii="Palatino Linotype" w:hAnsi="Palatino Linotype"/>
          <w:b/>
          <w:bCs/>
          <w:i/>
          <w:sz w:val="21"/>
          <w:szCs w:val="21"/>
          <w:u w:val="single"/>
        </w:rPr>
        <w:lastRenderedPageBreak/>
        <w:t xml:space="preserve">Criterio 8 Carrera genérica, en su </w:t>
      </w:r>
      <w:proofErr w:type="gramStart"/>
      <w:r w:rsidRPr="00E63F29">
        <w:rPr>
          <w:rFonts w:ascii="Palatino Linotype" w:hAnsi="Palatino Linotype"/>
          <w:b/>
          <w:bCs/>
          <w:i/>
          <w:sz w:val="21"/>
          <w:szCs w:val="21"/>
          <w:u w:val="single"/>
        </w:rPr>
        <w:t>caso</w:t>
      </w:r>
      <w:r w:rsidRPr="00E63F29">
        <w:rPr>
          <w:rFonts w:ascii="Palatino Linotype" w:hAnsi="Palatino Linotype"/>
          <w:i/>
          <w:sz w:val="21"/>
          <w:szCs w:val="21"/>
        </w:rPr>
        <w:t>(</w:t>
      </w:r>
      <w:proofErr w:type="gramEnd"/>
      <w:r w:rsidRPr="00E63F29">
        <w:rPr>
          <w:rFonts w:ascii="Palatino Linotype" w:hAnsi="Palatino Linotype"/>
          <w:i/>
          <w:sz w:val="21"/>
          <w:szCs w:val="21"/>
        </w:rPr>
        <w:t xml:space="preserve">…)” </w:t>
      </w:r>
      <w:r w:rsidRPr="00E63F29">
        <w:rPr>
          <w:rFonts w:ascii="Palatino Linotype" w:hAnsi="Palatino Linotype"/>
          <w:b/>
          <w:bCs/>
          <w:i/>
          <w:sz w:val="21"/>
          <w:szCs w:val="21"/>
        </w:rPr>
        <w:t xml:space="preserve">(Sic) </w:t>
      </w:r>
    </w:p>
    <w:p w14:paraId="42FA05A4" w14:textId="77777777" w:rsidR="00D47F69" w:rsidRDefault="00D47F69" w:rsidP="00D47F69">
      <w:pPr>
        <w:spacing w:after="0" w:line="360" w:lineRule="auto"/>
        <w:jc w:val="both"/>
        <w:rPr>
          <w:rFonts w:ascii="Palatino Linotype" w:hAnsi="Palatino Linotype"/>
          <w:sz w:val="23"/>
          <w:szCs w:val="23"/>
        </w:rPr>
      </w:pPr>
    </w:p>
    <w:p w14:paraId="70047ADA" w14:textId="2B53A552" w:rsidR="00D47F69" w:rsidRPr="00D47F69" w:rsidRDefault="00D47F69" w:rsidP="00D47F69">
      <w:pPr>
        <w:spacing w:after="0" w:line="360" w:lineRule="auto"/>
        <w:jc w:val="both"/>
        <w:rPr>
          <w:rFonts w:ascii="Palatino Linotype" w:hAnsi="Palatino Linotype"/>
          <w:b/>
          <w:bCs/>
          <w:sz w:val="23"/>
          <w:szCs w:val="23"/>
          <w:u w:val="single"/>
          <w:lang w:val="es-ES"/>
        </w:rPr>
      </w:pPr>
      <w:r w:rsidRPr="00D47F69">
        <w:rPr>
          <w:rFonts w:ascii="Palatino Linotype" w:hAnsi="Palatino Linotype"/>
          <w:sz w:val="23"/>
          <w:szCs w:val="23"/>
        </w:rPr>
        <w:t>L</w:t>
      </w:r>
      <w:r w:rsidRPr="00D47F69">
        <w:rPr>
          <w:rFonts w:ascii="Palatino Linotype" w:hAnsi="Palatino Linotype"/>
          <w:sz w:val="23"/>
          <w:szCs w:val="23"/>
          <w:lang w:val="es-ES"/>
        </w:rPr>
        <w:t xml:space="preserve">os Lineamientos antes mencionados refieren que la información curricular que se publica como obligación de transparencia común debe referir </w:t>
      </w:r>
      <w:r w:rsidRPr="00D47F69">
        <w:rPr>
          <w:rFonts w:ascii="Palatino Linotype" w:hAnsi="Palatino Linotype"/>
          <w:i/>
          <w:iCs/>
          <w:sz w:val="23"/>
          <w:szCs w:val="23"/>
          <w:lang w:val="es-ES"/>
        </w:rPr>
        <w:t>“</w:t>
      </w:r>
      <w:r w:rsidRPr="00D47F69">
        <w:rPr>
          <w:rFonts w:ascii="Palatino Linotype" w:hAnsi="Palatino Linotype"/>
          <w:b/>
          <w:bCs/>
          <w:i/>
          <w:iCs/>
          <w:sz w:val="23"/>
          <w:szCs w:val="23"/>
          <w:lang w:val="es-ES_tradnl"/>
        </w:rPr>
        <w:t>Escolaridad, nivel máximo de estudios concluido y comprobable…”</w:t>
      </w:r>
      <w:r w:rsidRPr="00D47F69">
        <w:rPr>
          <w:rFonts w:ascii="Palatino Linotype" w:hAnsi="Palatino Linotype"/>
          <w:b/>
          <w:bCs/>
          <w:sz w:val="23"/>
          <w:szCs w:val="23"/>
          <w:lang w:val="es-ES_tradnl"/>
        </w:rPr>
        <w:t xml:space="preserve">  </w:t>
      </w:r>
      <w:r w:rsidRPr="00D47F69">
        <w:rPr>
          <w:rFonts w:ascii="Palatino Linotype" w:hAnsi="Palatino Linotype"/>
          <w:b/>
          <w:bCs/>
          <w:sz w:val="23"/>
          <w:szCs w:val="23"/>
          <w:u w:val="single"/>
          <w:lang w:val="es-ES_tradnl"/>
        </w:rPr>
        <w:t xml:space="preserve">entonces debe obrar en sus archivos el documento que compruebe la escolaridad, nivel máximo de estudios y por tanto </w:t>
      </w:r>
      <w:r w:rsidRPr="00D47F69">
        <w:rPr>
          <w:rFonts w:ascii="Palatino Linotype" w:hAnsi="Palatino Linotype"/>
          <w:b/>
          <w:bCs/>
          <w:sz w:val="23"/>
          <w:szCs w:val="23"/>
          <w:u w:val="single"/>
          <w:lang w:val="es-ES"/>
        </w:rPr>
        <w:t>el Sujeto Obligado deberá proporcionarlo.</w:t>
      </w:r>
    </w:p>
    <w:p w14:paraId="76E9EC50" w14:textId="77777777" w:rsidR="00D47F69" w:rsidRPr="00D47F69" w:rsidRDefault="00D47F69" w:rsidP="00D47F69">
      <w:pPr>
        <w:spacing w:after="0" w:line="360" w:lineRule="auto"/>
        <w:jc w:val="both"/>
        <w:rPr>
          <w:rFonts w:ascii="Palatino Linotype" w:hAnsi="Palatino Linotype"/>
          <w:sz w:val="23"/>
          <w:szCs w:val="23"/>
          <w:lang w:val="es-ES"/>
        </w:rPr>
      </w:pPr>
    </w:p>
    <w:p w14:paraId="4A0760D5" w14:textId="6F9FDD02" w:rsidR="00D47F69" w:rsidRPr="00D47F69" w:rsidRDefault="00D47F69" w:rsidP="00D47F69">
      <w:pPr>
        <w:spacing w:after="0" w:line="360" w:lineRule="auto"/>
        <w:jc w:val="both"/>
        <w:rPr>
          <w:rFonts w:ascii="Palatino Linotype" w:hAnsi="Palatino Linotype"/>
          <w:sz w:val="23"/>
          <w:szCs w:val="23"/>
        </w:rPr>
      </w:pPr>
      <w:r w:rsidRPr="00D47F69">
        <w:rPr>
          <w:rFonts w:ascii="Palatino Linotype" w:hAnsi="Palatino Linotype"/>
          <w:sz w:val="23"/>
          <w:szCs w:val="23"/>
        </w:rPr>
        <w:t xml:space="preserve">Por tanto, se concluye que </w:t>
      </w:r>
      <w:bookmarkStart w:id="0" w:name="_Hlk127304072"/>
      <w:r w:rsidR="00E63F29" w:rsidRPr="00830F92">
        <w:rPr>
          <w:rFonts w:ascii="Palatino Linotype" w:hAnsi="Palatino Linotype"/>
          <w:sz w:val="23"/>
          <w:szCs w:val="23"/>
        </w:rPr>
        <w:t xml:space="preserve">los documentos comprobatorios de la experiencia profesional del </w:t>
      </w:r>
      <w:r w:rsidR="00E63F29">
        <w:rPr>
          <w:rFonts w:ascii="Palatino Linotype" w:hAnsi="Palatino Linotype"/>
          <w:sz w:val="23"/>
          <w:szCs w:val="23"/>
        </w:rPr>
        <w:t>C</w:t>
      </w:r>
      <w:r w:rsidR="00E63F29" w:rsidRPr="00830F92">
        <w:rPr>
          <w:rFonts w:ascii="Palatino Linotype" w:hAnsi="Palatino Linotype"/>
          <w:sz w:val="23"/>
          <w:szCs w:val="23"/>
        </w:rPr>
        <w:t>ontralor</w:t>
      </w:r>
      <w:r w:rsidRPr="00D47F69">
        <w:rPr>
          <w:rFonts w:ascii="Palatino Linotype" w:hAnsi="Palatino Linotype"/>
          <w:sz w:val="23"/>
          <w:szCs w:val="23"/>
        </w:rPr>
        <w:t>, se encuentra</w:t>
      </w:r>
      <w:r w:rsidR="00E63F29">
        <w:rPr>
          <w:rFonts w:ascii="Palatino Linotype" w:hAnsi="Palatino Linotype"/>
          <w:sz w:val="23"/>
          <w:szCs w:val="23"/>
        </w:rPr>
        <w:t>n</w:t>
      </w:r>
      <w:r w:rsidRPr="00D47F69">
        <w:rPr>
          <w:rFonts w:ascii="Palatino Linotype" w:hAnsi="Palatino Linotype"/>
          <w:sz w:val="23"/>
          <w:szCs w:val="23"/>
        </w:rPr>
        <w:t xml:space="preserve"> inmerso</w:t>
      </w:r>
      <w:r w:rsidR="00E63F29">
        <w:rPr>
          <w:rFonts w:ascii="Palatino Linotype" w:hAnsi="Palatino Linotype"/>
          <w:sz w:val="23"/>
          <w:szCs w:val="23"/>
        </w:rPr>
        <w:t>s</w:t>
      </w:r>
      <w:r w:rsidRPr="00D47F69">
        <w:rPr>
          <w:rFonts w:ascii="Palatino Linotype" w:hAnsi="Palatino Linotype"/>
          <w:sz w:val="23"/>
          <w:szCs w:val="23"/>
        </w:rPr>
        <w:t xml:space="preserve"> en la información curricular de los </w:t>
      </w:r>
      <w:bookmarkEnd w:id="0"/>
      <w:r w:rsidRPr="00D47F69">
        <w:rPr>
          <w:rFonts w:ascii="Palatino Linotype" w:hAnsi="Palatino Linotype"/>
          <w:sz w:val="23"/>
          <w:szCs w:val="23"/>
        </w:rPr>
        <w:t>servidores públicos adscritos al</w:t>
      </w:r>
      <w:r>
        <w:rPr>
          <w:rFonts w:ascii="Palatino Linotype" w:hAnsi="Palatino Linotype"/>
          <w:b/>
          <w:bCs/>
          <w:sz w:val="23"/>
          <w:szCs w:val="23"/>
        </w:rPr>
        <w:t xml:space="preserve"> Sujeto Obligado</w:t>
      </w:r>
      <w:r w:rsidRPr="00D47F69">
        <w:rPr>
          <w:rFonts w:ascii="Palatino Linotype" w:hAnsi="Palatino Linotype"/>
          <w:b/>
          <w:bCs/>
          <w:sz w:val="23"/>
          <w:szCs w:val="23"/>
        </w:rPr>
        <w:t xml:space="preserve">, </w:t>
      </w:r>
      <w:r w:rsidRPr="00D47F69">
        <w:rPr>
          <w:rFonts w:ascii="Palatino Linotype" w:hAnsi="Palatino Linotype"/>
          <w:sz w:val="23"/>
          <w:szCs w:val="23"/>
        </w:rPr>
        <w:t>debe hacerse pública en los términos que señala la Ley de la materia, en virtud de que también son considerados como servidores públicos.</w:t>
      </w:r>
    </w:p>
    <w:p w14:paraId="56FE2EBC" w14:textId="77777777" w:rsidR="00D47F69" w:rsidRPr="00D47F69" w:rsidRDefault="00D47F69" w:rsidP="00D47F69">
      <w:pPr>
        <w:spacing w:after="0" w:line="360" w:lineRule="auto"/>
        <w:jc w:val="both"/>
        <w:rPr>
          <w:rFonts w:ascii="Palatino Linotype" w:hAnsi="Palatino Linotype"/>
          <w:b/>
          <w:bCs/>
          <w:sz w:val="23"/>
          <w:szCs w:val="23"/>
        </w:rPr>
      </w:pPr>
    </w:p>
    <w:p w14:paraId="446FDB83" w14:textId="77777777" w:rsidR="00B11DF6"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Atento a lo anterior, se considera que la información curricular, acredita la experiencia académica, de quien ocupe cargos en la administración pública</w:t>
      </w:r>
      <w:r w:rsidR="00F46FE4">
        <w:rPr>
          <w:rFonts w:ascii="Palatino Linotype" w:hAnsi="Palatino Linotype"/>
          <w:sz w:val="23"/>
          <w:szCs w:val="23"/>
          <w:lang w:val="es-ES_tradnl"/>
        </w:rPr>
        <w:t xml:space="preserve"> </w:t>
      </w:r>
      <w:r w:rsidRPr="00D47F69">
        <w:rPr>
          <w:rFonts w:ascii="Palatino Linotype" w:hAnsi="Palatino Linotype"/>
          <w:sz w:val="23"/>
          <w:szCs w:val="23"/>
          <w:lang w:val="es-ES_tradnl"/>
        </w:rPr>
        <w:t xml:space="preserve">y le permitirá al particular conocer con toda certeza y de manera indudable si las personas que se desempeñan en los cargos cuentan con la idoneidad de desempeñarlos y así como la capacidad de desarrollar las actividades y atribuciones que se deriven de este. </w:t>
      </w:r>
    </w:p>
    <w:p w14:paraId="7DC4EE98" w14:textId="77777777" w:rsidR="00B11DF6" w:rsidRDefault="00B11DF6" w:rsidP="00D47F69">
      <w:pPr>
        <w:spacing w:after="0" w:line="360" w:lineRule="auto"/>
        <w:jc w:val="both"/>
        <w:rPr>
          <w:rFonts w:ascii="Palatino Linotype" w:hAnsi="Palatino Linotype"/>
          <w:sz w:val="23"/>
          <w:szCs w:val="23"/>
          <w:lang w:val="es-ES_tradnl"/>
        </w:rPr>
      </w:pPr>
    </w:p>
    <w:p w14:paraId="181ABA20" w14:textId="12450B08"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Elementos indispensables y necesarios para que se encuentre en condiciones plenas de ejercer, de manera informada, su derecho a la libertad de expresión y, en su caso, el control constitucional popular de los actos de gobierno. </w:t>
      </w:r>
    </w:p>
    <w:p w14:paraId="7A400556" w14:textId="77777777" w:rsidR="00D47F69" w:rsidRPr="00D47F69" w:rsidRDefault="00D47F69" w:rsidP="00D47F69">
      <w:pPr>
        <w:spacing w:after="0" w:line="360" w:lineRule="auto"/>
        <w:jc w:val="both"/>
        <w:rPr>
          <w:rFonts w:ascii="Palatino Linotype" w:hAnsi="Palatino Linotype"/>
          <w:sz w:val="23"/>
          <w:szCs w:val="23"/>
          <w:lang w:val="es-ES"/>
        </w:rPr>
      </w:pPr>
    </w:p>
    <w:p w14:paraId="05199E45" w14:textId="77777777" w:rsidR="00D47F69" w:rsidRPr="00D47F69" w:rsidRDefault="00D47F69" w:rsidP="00D47F69">
      <w:pPr>
        <w:spacing w:after="0" w:line="360" w:lineRule="auto"/>
        <w:jc w:val="both"/>
        <w:rPr>
          <w:rFonts w:ascii="Palatino Linotype" w:hAnsi="Palatino Linotype"/>
          <w:sz w:val="23"/>
          <w:szCs w:val="23"/>
          <w:lang w:val="es-ES"/>
        </w:rPr>
      </w:pPr>
      <w:r w:rsidRPr="00D47F69">
        <w:rPr>
          <w:rFonts w:ascii="Palatino Linotype" w:hAnsi="Palatino Linotype"/>
          <w:sz w:val="23"/>
          <w:szCs w:val="23"/>
          <w:lang w:val="es-ES"/>
        </w:rPr>
        <w:t>Ahora bien, el artículo 98, fracción XVII de la Ley del Trabajo de los Servidores Públicos del Estado de México y Municipios</w:t>
      </w:r>
      <w:r w:rsidRPr="00D47F69">
        <w:rPr>
          <w:rFonts w:ascii="Palatino Linotype" w:hAnsi="Palatino Linotype"/>
          <w:b/>
          <w:bCs/>
          <w:sz w:val="23"/>
          <w:szCs w:val="23"/>
          <w:lang w:val="es-ES"/>
        </w:rPr>
        <w:t>,</w:t>
      </w:r>
      <w:r w:rsidRPr="00D47F69">
        <w:rPr>
          <w:rFonts w:ascii="Palatino Linotype" w:hAnsi="Palatino Linotype"/>
          <w:sz w:val="23"/>
          <w:szCs w:val="23"/>
          <w:lang w:val="es-ES"/>
        </w:rPr>
        <w:t xml:space="preserve"> refiere lo siguiente:</w:t>
      </w:r>
    </w:p>
    <w:p w14:paraId="42D97171" w14:textId="77777777" w:rsidR="00D47F69" w:rsidRPr="00D47F69" w:rsidRDefault="00D47F69" w:rsidP="00D47F69">
      <w:pPr>
        <w:spacing w:after="0" w:line="360" w:lineRule="auto"/>
        <w:jc w:val="both"/>
        <w:rPr>
          <w:rFonts w:ascii="Palatino Linotype" w:hAnsi="Palatino Linotype"/>
          <w:sz w:val="23"/>
          <w:szCs w:val="23"/>
          <w:lang w:val="es-ES"/>
        </w:rPr>
      </w:pPr>
    </w:p>
    <w:p w14:paraId="2AE1D49E" w14:textId="77777777" w:rsidR="00D47F69" w:rsidRPr="00E63F29" w:rsidRDefault="00D47F69" w:rsidP="00D47F69">
      <w:pPr>
        <w:spacing w:after="0" w:line="240" w:lineRule="auto"/>
        <w:ind w:left="567" w:right="423"/>
        <w:jc w:val="both"/>
        <w:rPr>
          <w:rFonts w:ascii="Palatino Linotype" w:hAnsi="Palatino Linotype"/>
          <w:b/>
          <w:i/>
          <w:sz w:val="21"/>
          <w:szCs w:val="21"/>
          <w:lang w:val="es-ES"/>
        </w:rPr>
      </w:pPr>
      <w:r w:rsidRPr="00E63F29">
        <w:rPr>
          <w:rFonts w:ascii="Palatino Linotype" w:hAnsi="Palatino Linotype"/>
          <w:b/>
          <w:i/>
          <w:sz w:val="21"/>
          <w:szCs w:val="21"/>
          <w:lang w:val="es-ES"/>
        </w:rPr>
        <w:t>ARTÍCULO 98. Son obligaciones de las instituciones públicas:</w:t>
      </w:r>
    </w:p>
    <w:p w14:paraId="34A67FB3" w14:textId="77777777" w:rsidR="00D47F69" w:rsidRPr="00E63F29" w:rsidRDefault="00D47F69" w:rsidP="00D47F69">
      <w:pPr>
        <w:spacing w:after="0" w:line="240" w:lineRule="auto"/>
        <w:ind w:left="567" w:right="423"/>
        <w:jc w:val="both"/>
        <w:rPr>
          <w:rFonts w:ascii="Palatino Linotype" w:hAnsi="Palatino Linotype"/>
          <w:i/>
          <w:sz w:val="21"/>
          <w:szCs w:val="21"/>
          <w:lang w:val="es-ES"/>
        </w:rPr>
      </w:pPr>
      <w:r w:rsidRPr="00E63F29">
        <w:rPr>
          <w:rFonts w:ascii="Palatino Linotype" w:hAnsi="Palatino Linotype"/>
          <w:i/>
          <w:sz w:val="21"/>
          <w:szCs w:val="21"/>
          <w:lang w:val="es-ES"/>
        </w:rPr>
        <w:t>I al XVI…</w:t>
      </w:r>
    </w:p>
    <w:p w14:paraId="727DC8BF" w14:textId="77777777" w:rsidR="00D47F69" w:rsidRPr="00E63F29" w:rsidRDefault="00D47F69" w:rsidP="00D47F69">
      <w:pPr>
        <w:spacing w:after="0" w:line="240" w:lineRule="auto"/>
        <w:ind w:left="567" w:right="423"/>
        <w:jc w:val="both"/>
        <w:rPr>
          <w:rFonts w:ascii="Palatino Linotype" w:hAnsi="Palatino Linotype"/>
          <w:i/>
          <w:sz w:val="21"/>
          <w:szCs w:val="21"/>
          <w:lang w:val="es-ES"/>
        </w:rPr>
      </w:pPr>
      <w:r w:rsidRPr="00E63F29">
        <w:rPr>
          <w:rFonts w:ascii="Palatino Linotype" w:hAnsi="Palatino Linotype"/>
          <w:i/>
          <w:sz w:val="21"/>
          <w:szCs w:val="21"/>
          <w:lang w:val="es-ES"/>
        </w:rPr>
        <w:t xml:space="preserve">XVII. </w:t>
      </w:r>
      <w:r w:rsidRPr="00E63F29">
        <w:rPr>
          <w:rFonts w:ascii="Palatino Linotype" w:hAnsi="Palatino Linotype"/>
          <w:b/>
          <w:i/>
          <w:sz w:val="21"/>
          <w:szCs w:val="21"/>
          <w:lang w:val="es-ES"/>
        </w:rPr>
        <w:t>Integrar los expedientes de los servidores públicos y</w:t>
      </w:r>
      <w:r w:rsidRPr="00E63F29">
        <w:rPr>
          <w:rFonts w:ascii="Palatino Linotype" w:hAnsi="Palatino Linotype"/>
          <w:i/>
          <w:sz w:val="21"/>
          <w:szCs w:val="21"/>
          <w:lang w:val="es-ES"/>
        </w:rPr>
        <w:t xml:space="preserve"> proporcionar las constancias que éstos soliciten para el trámite de los asuntos de su interés en los términos que señalen los ordenamientos respectivos.</w:t>
      </w:r>
    </w:p>
    <w:p w14:paraId="5E8B359B" w14:textId="77777777" w:rsidR="00D47F69" w:rsidRPr="00E63F29" w:rsidRDefault="00D47F69" w:rsidP="00D47F69">
      <w:pPr>
        <w:spacing w:after="0" w:line="240" w:lineRule="auto"/>
        <w:ind w:left="567" w:right="423"/>
        <w:jc w:val="both"/>
        <w:rPr>
          <w:rFonts w:ascii="Palatino Linotype" w:hAnsi="Palatino Linotype"/>
          <w:i/>
          <w:sz w:val="21"/>
          <w:szCs w:val="21"/>
          <w:lang w:val="es-ES"/>
        </w:rPr>
      </w:pPr>
      <w:r w:rsidRPr="00E63F29">
        <w:rPr>
          <w:rFonts w:ascii="Palatino Linotype" w:hAnsi="Palatino Linotype"/>
          <w:i/>
          <w:sz w:val="21"/>
          <w:szCs w:val="21"/>
          <w:lang w:val="es-ES"/>
        </w:rPr>
        <w:t>XVIII al XXI…</w:t>
      </w:r>
    </w:p>
    <w:p w14:paraId="1D945CA5" w14:textId="77777777" w:rsidR="00D47F69" w:rsidRPr="00D47F69" w:rsidRDefault="00D47F69" w:rsidP="0002785F">
      <w:pPr>
        <w:spacing w:after="0" w:line="240" w:lineRule="auto"/>
        <w:ind w:left="567" w:right="423"/>
        <w:jc w:val="right"/>
        <w:rPr>
          <w:rFonts w:ascii="Palatino Linotype" w:hAnsi="Palatino Linotype"/>
          <w:i/>
          <w:iCs/>
          <w:lang w:val="es-ES_tradnl"/>
        </w:rPr>
      </w:pPr>
      <w:r w:rsidRPr="00D47F69">
        <w:rPr>
          <w:rFonts w:ascii="Palatino Linotype" w:hAnsi="Palatino Linotype"/>
          <w:i/>
          <w:iCs/>
          <w:sz w:val="18"/>
          <w:szCs w:val="18"/>
          <w:lang w:val="es-ES_tradnl"/>
        </w:rPr>
        <w:t>(Énfasis añadido)</w:t>
      </w:r>
    </w:p>
    <w:p w14:paraId="5FB2D78B" w14:textId="77777777" w:rsidR="00D47F69" w:rsidRPr="00D47F69" w:rsidRDefault="00D47F69" w:rsidP="00D47F69">
      <w:pPr>
        <w:spacing w:after="0" w:line="360" w:lineRule="auto"/>
        <w:jc w:val="both"/>
        <w:rPr>
          <w:rFonts w:ascii="Palatino Linotype" w:hAnsi="Palatino Linotype"/>
          <w:sz w:val="23"/>
          <w:szCs w:val="23"/>
          <w:lang w:val="es-ES"/>
        </w:rPr>
      </w:pPr>
    </w:p>
    <w:p w14:paraId="6B03D2C6" w14:textId="1A35C5D9" w:rsidR="00D47F69" w:rsidRPr="00D47F69" w:rsidRDefault="00D47F69" w:rsidP="00D47F69">
      <w:pPr>
        <w:spacing w:after="0" w:line="360" w:lineRule="auto"/>
        <w:jc w:val="both"/>
        <w:rPr>
          <w:rFonts w:ascii="Palatino Linotype" w:hAnsi="Palatino Linotype"/>
          <w:sz w:val="23"/>
          <w:szCs w:val="23"/>
          <w:lang w:val="es-ES"/>
        </w:rPr>
      </w:pPr>
      <w:r w:rsidRPr="00D47F69">
        <w:rPr>
          <w:rFonts w:ascii="Palatino Linotype" w:hAnsi="Palatino Linotype"/>
          <w:sz w:val="23"/>
          <w:szCs w:val="23"/>
          <w:lang w:val="es-ES"/>
        </w:rPr>
        <w:t xml:space="preserve">Así pues, se advierte que las instituciones públicas tienen la obligación normativa de integrar un expediente de cada servidor público, ya que estas constancias pueden ser usadas en procedimientos judiciales; asimismo, que, dentro de la estructura orgánica del </w:t>
      </w:r>
      <w:r w:rsidRPr="005B37A2">
        <w:rPr>
          <w:rFonts w:ascii="Palatino Linotype" w:hAnsi="Palatino Linotype"/>
          <w:b/>
          <w:bCs/>
          <w:sz w:val="23"/>
          <w:szCs w:val="23"/>
          <w:lang w:val="es-ES"/>
        </w:rPr>
        <w:t>Sujeto Obligado</w:t>
      </w:r>
      <w:r w:rsidRPr="00D47F69">
        <w:rPr>
          <w:rFonts w:ascii="Palatino Linotype" w:hAnsi="Palatino Linotype"/>
          <w:sz w:val="23"/>
          <w:szCs w:val="23"/>
          <w:lang w:val="es-ES"/>
        </w:rPr>
        <w:t>, se cuenta con una Dirección de Administración</w:t>
      </w:r>
      <w:r w:rsidR="00B11DF6">
        <w:rPr>
          <w:rFonts w:ascii="Palatino Linotype" w:hAnsi="Palatino Linotype"/>
          <w:sz w:val="23"/>
          <w:szCs w:val="23"/>
          <w:lang w:val="es-ES"/>
        </w:rPr>
        <w:t xml:space="preserve"> o Coordinación Administrativa</w:t>
      </w:r>
      <w:r w:rsidRPr="00D47F69">
        <w:rPr>
          <w:rFonts w:ascii="Palatino Linotype" w:hAnsi="Palatino Linotype"/>
          <w:sz w:val="23"/>
          <w:szCs w:val="23"/>
          <w:lang w:val="es-ES"/>
        </w:rPr>
        <w:t xml:space="preserve"> que debe contar con la información de las relaciones laborales entre la institución pública y los servidores públicos.</w:t>
      </w:r>
    </w:p>
    <w:p w14:paraId="0CB9E99F" w14:textId="77777777" w:rsidR="00D47F69" w:rsidRPr="00D47F69" w:rsidRDefault="00D47F69" w:rsidP="00D47F69">
      <w:pPr>
        <w:spacing w:after="0" w:line="360" w:lineRule="auto"/>
        <w:jc w:val="both"/>
        <w:rPr>
          <w:rFonts w:ascii="Palatino Linotype" w:hAnsi="Palatino Linotype"/>
          <w:sz w:val="23"/>
          <w:szCs w:val="23"/>
          <w:lang w:val="es-ES_tradnl"/>
        </w:rPr>
      </w:pPr>
    </w:p>
    <w:p w14:paraId="19985B8F" w14:textId="62EE7A47"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Así, se tiene que la Ley del Trabajo de los Servidores Públicos del Estado de México referida establece en su artículo 98 fracción XVII</w:t>
      </w:r>
      <w:r w:rsidR="00E63F29">
        <w:rPr>
          <w:rFonts w:ascii="Palatino Linotype" w:hAnsi="Palatino Linotype"/>
          <w:sz w:val="23"/>
          <w:szCs w:val="23"/>
          <w:lang w:val="es-ES_tradnl"/>
        </w:rPr>
        <w:t>,</w:t>
      </w:r>
      <w:r w:rsidRPr="00D47F69">
        <w:rPr>
          <w:rFonts w:ascii="Palatino Linotype" w:hAnsi="Palatino Linotype"/>
          <w:sz w:val="23"/>
          <w:szCs w:val="23"/>
          <w:lang w:val="es-ES_tradnl"/>
        </w:rPr>
        <w:t xml:space="preserve">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w:t>
      </w:r>
      <w:r w:rsidRPr="00D47F69">
        <w:rPr>
          <w:rFonts w:ascii="Palatino Linotype" w:hAnsi="Palatino Linotype"/>
          <w:sz w:val="23"/>
          <w:szCs w:val="23"/>
          <w:lang w:val="es-ES_tradnl"/>
        </w:rPr>
        <w:lastRenderedPageBreak/>
        <w:t>en su caso, las sanciones administrativas de que haya sido objeto se trata de una obligación de transparencia común, esto es, información que por su naturaleza es pública y que los sujetos obligados  deben poner a disposición del público de manera permanente y por tanto deberán mantenerla actualizada, en los respectivos medios electrónicos, de acuerdo con sus facultades, atribuciones, funciones u objeto social.</w:t>
      </w:r>
    </w:p>
    <w:p w14:paraId="1BF3E555" w14:textId="77777777" w:rsidR="00B11DF6" w:rsidRPr="00D47F69" w:rsidRDefault="00B11DF6" w:rsidP="00D47F69">
      <w:pPr>
        <w:spacing w:after="0" w:line="360" w:lineRule="auto"/>
        <w:jc w:val="both"/>
        <w:rPr>
          <w:rFonts w:ascii="Palatino Linotype" w:hAnsi="Palatino Linotype"/>
          <w:sz w:val="23"/>
          <w:szCs w:val="23"/>
          <w:lang w:val="es-ES_tradnl"/>
        </w:rPr>
      </w:pPr>
    </w:p>
    <w:p w14:paraId="2D574867" w14:textId="6EF3C378"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Cabe resaltar que ninguna de estas dos leyes hace distinción entre servidores públicos con cargo de elección popular o de cualquier otra naturaleza, por lo que de una interpretación a lo dispuesto por las leyes referidas se desprende que </w:t>
      </w:r>
      <w:r w:rsidR="0038260F">
        <w:rPr>
          <w:rFonts w:ascii="Palatino Linotype" w:hAnsi="Palatino Linotype"/>
          <w:sz w:val="23"/>
          <w:szCs w:val="23"/>
          <w:lang w:val="es-ES_tradnl"/>
        </w:rPr>
        <w:t>las dependencias</w:t>
      </w:r>
      <w:r w:rsidRPr="00D47F69">
        <w:rPr>
          <w:rFonts w:ascii="Palatino Linotype" w:hAnsi="Palatino Linotype"/>
          <w:sz w:val="23"/>
          <w:szCs w:val="23"/>
          <w:lang w:val="es-ES_tradnl"/>
        </w:rPr>
        <w:t xml:space="preserve">, como sujetos obligados, se encuentran constreñidos a hacer pública la información curricular del titular del </w:t>
      </w:r>
      <w:r w:rsidR="0002785F" w:rsidRPr="00D47F69">
        <w:rPr>
          <w:rFonts w:ascii="Palatino Linotype" w:hAnsi="Palatino Linotype"/>
          <w:b/>
          <w:bCs/>
          <w:sz w:val="23"/>
          <w:szCs w:val="23"/>
          <w:lang w:val="es-ES_tradnl"/>
        </w:rPr>
        <w:t>Sujeto Obligado</w:t>
      </w:r>
      <w:r w:rsidR="005B37A2">
        <w:rPr>
          <w:rFonts w:ascii="Palatino Linotype" w:hAnsi="Palatino Linotype"/>
          <w:sz w:val="23"/>
          <w:szCs w:val="23"/>
          <w:lang w:val="es-ES_tradnl"/>
        </w:rPr>
        <w:t xml:space="preserve"> </w:t>
      </w:r>
      <w:r w:rsidRPr="00D47F69">
        <w:rPr>
          <w:rFonts w:ascii="Palatino Linotype" w:hAnsi="Palatino Linotype"/>
          <w:sz w:val="23"/>
          <w:szCs w:val="23"/>
          <w:lang w:val="es-ES_tradnl"/>
        </w:rPr>
        <w:t>hasta jefe de departamento</w:t>
      </w:r>
      <w:r w:rsidR="0038260F">
        <w:rPr>
          <w:rFonts w:ascii="Palatino Linotype" w:hAnsi="Palatino Linotype"/>
          <w:sz w:val="23"/>
          <w:szCs w:val="23"/>
          <w:lang w:val="es-ES_tradnl"/>
        </w:rPr>
        <w:t xml:space="preserve"> </w:t>
      </w:r>
      <w:r w:rsidRPr="00D47F69">
        <w:rPr>
          <w:rFonts w:ascii="Palatino Linotype" w:hAnsi="Palatino Linotype"/>
          <w:sz w:val="23"/>
          <w:szCs w:val="23"/>
          <w:lang w:val="es-ES_tradnl"/>
        </w:rPr>
        <w:t>y contar con el documento comprobatorio de la escolaridad o último grado o nivel de estudios que señalen en dicha información curricular, así como contar con un expediente de todos los servidores públicos.</w:t>
      </w:r>
    </w:p>
    <w:p w14:paraId="08816FE9" w14:textId="77777777" w:rsidR="00D47F69" w:rsidRPr="00D47F69" w:rsidRDefault="00D47F69" w:rsidP="00D47F69">
      <w:pPr>
        <w:spacing w:after="0" w:line="360" w:lineRule="auto"/>
        <w:jc w:val="both"/>
        <w:rPr>
          <w:rFonts w:ascii="Palatino Linotype" w:hAnsi="Palatino Linotype"/>
          <w:sz w:val="23"/>
          <w:szCs w:val="23"/>
          <w:lang w:val="es-ES_tradnl"/>
        </w:rPr>
      </w:pPr>
    </w:p>
    <w:p w14:paraId="01DB328C" w14:textId="4DE36D6E" w:rsidR="00EA3CFA" w:rsidRDefault="00D47F69" w:rsidP="001232FA">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En conclusión, no existe causal por la que el </w:t>
      </w:r>
      <w:r w:rsidRPr="0038260F">
        <w:rPr>
          <w:rFonts w:ascii="Palatino Linotype" w:hAnsi="Palatino Linotype"/>
          <w:b/>
          <w:bCs/>
          <w:sz w:val="23"/>
          <w:szCs w:val="23"/>
          <w:lang w:val="es-ES_tradnl"/>
        </w:rPr>
        <w:t>Sujeto Obligado</w:t>
      </w:r>
      <w:r w:rsidRPr="00D47F69">
        <w:rPr>
          <w:rFonts w:ascii="Palatino Linotype" w:hAnsi="Palatino Linotype"/>
          <w:sz w:val="23"/>
          <w:szCs w:val="23"/>
          <w:lang w:val="es-ES_tradnl"/>
        </w:rPr>
        <w:t xml:space="preserve"> pueda excusar o negar la información solicitada, ya que la naturaleza de dicha información y de acuerdo con los principios rectores de la administración pública, es pública y accesible a cualquier persona.</w:t>
      </w:r>
    </w:p>
    <w:p w14:paraId="2422B137" w14:textId="77777777" w:rsidR="0002785F" w:rsidRDefault="0002785F" w:rsidP="001232FA">
      <w:pPr>
        <w:spacing w:after="0" w:line="360" w:lineRule="auto"/>
        <w:jc w:val="both"/>
        <w:rPr>
          <w:rFonts w:ascii="Palatino Linotype" w:hAnsi="Palatino Linotype"/>
          <w:sz w:val="23"/>
          <w:szCs w:val="23"/>
          <w:lang w:val="es-ES_tradnl"/>
        </w:rPr>
      </w:pPr>
    </w:p>
    <w:p w14:paraId="2FE89240" w14:textId="26C2A3AC" w:rsidR="0002785F" w:rsidRDefault="0002785F" w:rsidP="0038260F">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3"/>
          <w:szCs w:val="23"/>
          <w:lang w:val="es-ES" w:eastAsia="es-MX"/>
        </w:rPr>
      </w:pPr>
      <w:r w:rsidRPr="0002785F">
        <w:rPr>
          <w:rFonts w:ascii="Palatino Linotype" w:eastAsia="Palatino Linotype" w:hAnsi="Palatino Linotype" w:cs="Palatino Linotype"/>
          <w:color w:val="000000"/>
          <w:sz w:val="23"/>
          <w:szCs w:val="23"/>
          <w:lang w:val="es-ES" w:eastAsia="es-MX"/>
        </w:rPr>
        <w:t>Con base en lo anteriormente expuesto, a consideración de quien suscribe, en la resolución emitida</w:t>
      </w:r>
      <w:r w:rsidR="005B37A2">
        <w:rPr>
          <w:rFonts w:ascii="Palatino Linotype" w:eastAsia="Palatino Linotype" w:hAnsi="Palatino Linotype" w:cs="Palatino Linotype"/>
          <w:color w:val="000000"/>
          <w:sz w:val="23"/>
          <w:szCs w:val="23"/>
          <w:lang w:val="es-ES" w:eastAsia="es-MX"/>
        </w:rPr>
        <w:t xml:space="preserve"> </w:t>
      </w:r>
      <w:r w:rsidR="005B37A2" w:rsidRPr="005B37A2">
        <w:rPr>
          <w:rFonts w:ascii="Palatino Linotype" w:eastAsia="Palatino Linotype" w:hAnsi="Palatino Linotype" w:cs="Palatino Linotype"/>
          <w:color w:val="000000"/>
          <w:sz w:val="23"/>
          <w:szCs w:val="23"/>
          <w:lang w:val="es-ES" w:eastAsia="es-MX"/>
        </w:rPr>
        <w:t>que</w:t>
      </w:r>
      <w:r w:rsidR="005B37A2">
        <w:rPr>
          <w:rFonts w:ascii="Palatino Linotype" w:eastAsia="Palatino Linotype" w:hAnsi="Palatino Linotype" w:cs="Palatino Linotype"/>
          <w:color w:val="000000"/>
          <w:sz w:val="23"/>
          <w:szCs w:val="23"/>
          <w:lang w:val="es-ES" w:eastAsia="es-MX"/>
        </w:rPr>
        <w:t>,</w:t>
      </w:r>
      <w:r w:rsidR="005B37A2" w:rsidRPr="005B37A2">
        <w:rPr>
          <w:rFonts w:ascii="Palatino Linotype" w:eastAsia="Palatino Linotype" w:hAnsi="Palatino Linotype" w:cs="Palatino Linotype"/>
          <w:color w:val="000000"/>
          <w:sz w:val="23"/>
          <w:szCs w:val="23"/>
          <w:lang w:val="es-ES" w:eastAsia="es-MX"/>
        </w:rPr>
        <w:t xml:space="preserve"> los documentos comprobatorios de la experiencia profesional del </w:t>
      </w:r>
      <w:r w:rsidR="005B37A2">
        <w:rPr>
          <w:rFonts w:ascii="Palatino Linotype" w:eastAsia="Palatino Linotype" w:hAnsi="Palatino Linotype" w:cs="Palatino Linotype"/>
          <w:color w:val="000000"/>
          <w:sz w:val="23"/>
          <w:szCs w:val="23"/>
          <w:lang w:val="es-ES" w:eastAsia="es-MX"/>
        </w:rPr>
        <w:lastRenderedPageBreak/>
        <w:t>C</w:t>
      </w:r>
      <w:r w:rsidR="005B37A2" w:rsidRPr="005B37A2">
        <w:rPr>
          <w:rFonts w:ascii="Palatino Linotype" w:eastAsia="Palatino Linotype" w:hAnsi="Palatino Linotype" w:cs="Palatino Linotype"/>
          <w:color w:val="000000"/>
          <w:sz w:val="23"/>
          <w:szCs w:val="23"/>
          <w:lang w:val="es-ES" w:eastAsia="es-MX"/>
        </w:rPr>
        <w:t>ontralor</w:t>
      </w:r>
      <w:r w:rsidR="005B37A2">
        <w:rPr>
          <w:rFonts w:ascii="Palatino Linotype" w:eastAsia="Palatino Linotype" w:hAnsi="Palatino Linotype" w:cs="Palatino Linotype"/>
          <w:color w:val="000000"/>
          <w:sz w:val="23"/>
          <w:szCs w:val="23"/>
          <w:lang w:val="es-ES" w:eastAsia="es-MX"/>
        </w:rPr>
        <w:t>,</w:t>
      </w:r>
      <w:r w:rsidR="005B37A2" w:rsidRPr="005B37A2">
        <w:rPr>
          <w:rFonts w:ascii="Palatino Linotype" w:eastAsia="Palatino Linotype" w:hAnsi="Palatino Linotype" w:cs="Palatino Linotype"/>
          <w:color w:val="000000"/>
          <w:sz w:val="23"/>
          <w:szCs w:val="23"/>
          <w:lang w:val="es-ES" w:eastAsia="es-MX"/>
        </w:rPr>
        <w:t xml:space="preserve"> deben obrar en su expediente laboral que posee el </w:t>
      </w:r>
      <w:r w:rsidR="005B37A2" w:rsidRPr="005B37A2">
        <w:rPr>
          <w:rFonts w:ascii="Palatino Linotype" w:eastAsia="Palatino Linotype" w:hAnsi="Palatino Linotype" w:cs="Palatino Linotype"/>
          <w:b/>
          <w:bCs/>
          <w:color w:val="000000"/>
          <w:sz w:val="23"/>
          <w:szCs w:val="23"/>
          <w:lang w:val="es-ES" w:eastAsia="es-MX"/>
        </w:rPr>
        <w:t>Sujeto Obligado</w:t>
      </w:r>
      <w:r w:rsidR="0038260F" w:rsidRPr="0038260F">
        <w:rPr>
          <w:rFonts w:ascii="Palatino Linotype" w:eastAsia="Palatino Linotype" w:hAnsi="Palatino Linotype" w:cs="Palatino Linotype"/>
          <w:color w:val="000000"/>
          <w:sz w:val="23"/>
          <w:szCs w:val="23"/>
          <w:lang w:val="es-ES" w:eastAsia="es-MX"/>
        </w:rPr>
        <w:t>, debido a que es información que forma parte de su información curricular, la cual constituye parte de sus obligaciones de transparencia común.</w:t>
      </w:r>
    </w:p>
    <w:p w14:paraId="2272C3ED" w14:textId="77777777" w:rsidR="0038260F" w:rsidRPr="0038260F" w:rsidRDefault="0038260F" w:rsidP="0038260F">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3"/>
          <w:szCs w:val="23"/>
          <w:lang w:val="es-ES" w:eastAsia="es-MX"/>
        </w:rPr>
      </w:pPr>
    </w:p>
    <w:p w14:paraId="4F6C9FF2" w14:textId="0324CC31" w:rsidR="005B37A2"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Luego entonces, se arriba a la premisa de que </w:t>
      </w:r>
      <w:r w:rsidR="005B37A2">
        <w:rPr>
          <w:rFonts w:ascii="Palatino Linotype" w:hAnsi="Palatino Linotype"/>
          <w:sz w:val="23"/>
          <w:szCs w:val="23"/>
        </w:rPr>
        <w:t xml:space="preserve">no se debió colmar </w:t>
      </w:r>
      <w:r w:rsidR="005B37A2" w:rsidRPr="005B37A2">
        <w:rPr>
          <w:rFonts w:ascii="Palatino Linotype" w:hAnsi="Palatino Linotype"/>
          <w:sz w:val="23"/>
          <w:szCs w:val="23"/>
        </w:rPr>
        <w:t>el pronunciamiento simple referid</w:t>
      </w:r>
      <w:r w:rsidR="005B37A2">
        <w:rPr>
          <w:rFonts w:ascii="Palatino Linotype" w:hAnsi="Palatino Linotype"/>
          <w:sz w:val="23"/>
          <w:szCs w:val="23"/>
        </w:rPr>
        <w:t>o</w:t>
      </w:r>
      <w:r w:rsidR="005B37A2" w:rsidRPr="005B37A2">
        <w:rPr>
          <w:rFonts w:ascii="Palatino Linotype" w:hAnsi="Palatino Linotype"/>
          <w:sz w:val="23"/>
          <w:szCs w:val="23"/>
        </w:rPr>
        <w:t xml:space="preserve"> en la solicitud de información, en la que, el </w:t>
      </w:r>
      <w:r w:rsidR="005B37A2" w:rsidRPr="005B37A2">
        <w:rPr>
          <w:rFonts w:ascii="Palatino Linotype" w:hAnsi="Palatino Linotype"/>
          <w:b/>
          <w:bCs/>
          <w:sz w:val="23"/>
          <w:szCs w:val="23"/>
        </w:rPr>
        <w:t>Sujeto Obligado</w:t>
      </w:r>
      <w:r w:rsidR="005B37A2" w:rsidRPr="005B37A2">
        <w:rPr>
          <w:rFonts w:ascii="Palatino Linotype" w:hAnsi="Palatino Linotype"/>
          <w:sz w:val="23"/>
          <w:szCs w:val="23"/>
        </w:rPr>
        <w:t>, a través del Director de Administración</w:t>
      </w:r>
      <w:r w:rsidR="005B37A2">
        <w:rPr>
          <w:rFonts w:ascii="Palatino Linotype" w:hAnsi="Palatino Linotype"/>
          <w:sz w:val="23"/>
          <w:szCs w:val="23"/>
        </w:rPr>
        <w:t>,</w:t>
      </w:r>
      <w:r w:rsidR="005B37A2" w:rsidRPr="005B37A2">
        <w:rPr>
          <w:rFonts w:ascii="Palatino Linotype" w:hAnsi="Palatino Linotype"/>
          <w:sz w:val="23"/>
          <w:szCs w:val="23"/>
        </w:rPr>
        <w:t xml:space="preserve"> específicamente por cuanto hace a</w:t>
      </w:r>
      <w:r w:rsidR="005B37A2">
        <w:rPr>
          <w:rFonts w:ascii="Palatino Linotype" w:hAnsi="Palatino Linotype"/>
          <w:sz w:val="23"/>
          <w:szCs w:val="23"/>
        </w:rPr>
        <w:t xml:space="preserve"> los</w:t>
      </w:r>
      <w:r w:rsidR="005B37A2" w:rsidRPr="005B37A2">
        <w:rPr>
          <w:rFonts w:ascii="Palatino Linotype" w:hAnsi="Palatino Linotype"/>
          <w:sz w:val="23"/>
          <w:szCs w:val="23"/>
        </w:rPr>
        <w:t xml:space="preserve"> documentos comprobatorios de la experiencia profesional del </w:t>
      </w:r>
      <w:r w:rsidR="005B37A2">
        <w:rPr>
          <w:rFonts w:ascii="Palatino Linotype" w:hAnsi="Palatino Linotype"/>
          <w:sz w:val="23"/>
          <w:szCs w:val="23"/>
        </w:rPr>
        <w:t>C</w:t>
      </w:r>
      <w:r w:rsidR="005B37A2" w:rsidRPr="005B37A2">
        <w:rPr>
          <w:rFonts w:ascii="Palatino Linotype" w:hAnsi="Palatino Linotype"/>
          <w:sz w:val="23"/>
          <w:szCs w:val="23"/>
        </w:rPr>
        <w:t>ontralor</w:t>
      </w:r>
      <w:r w:rsidR="005B37A2">
        <w:rPr>
          <w:rFonts w:ascii="Palatino Linotype" w:hAnsi="Palatino Linotype"/>
          <w:sz w:val="23"/>
          <w:szCs w:val="23"/>
        </w:rPr>
        <w:t xml:space="preserve">, </w:t>
      </w:r>
      <w:r w:rsidR="005B37A2" w:rsidRPr="005B37A2">
        <w:rPr>
          <w:rFonts w:ascii="Palatino Linotype" w:hAnsi="Palatino Linotype"/>
          <w:sz w:val="23"/>
          <w:szCs w:val="23"/>
        </w:rPr>
        <w:t>quien designa a este servidor público es la Legislatura</w:t>
      </w:r>
      <w:r w:rsidR="0076378C">
        <w:rPr>
          <w:rFonts w:ascii="Palatino Linotype" w:hAnsi="Palatino Linotype"/>
          <w:sz w:val="23"/>
          <w:szCs w:val="23"/>
        </w:rPr>
        <w:t>;</w:t>
      </w:r>
      <w:r w:rsidR="005B37A2" w:rsidRPr="005B37A2">
        <w:rPr>
          <w:rFonts w:ascii="Palatino Linotype" w:hAnsi="Palatino Linotype"/>
          <w:sz w:val="23"/>
          <w:szCs w:val="23"/>
        </w:rPr>
        <w:t xml:space="preserve"> por lo que</w:t>
      </w:r>
      <w:r w:rsidR="0076378C">
        <w:rPr>
          <w:rFonts w:ascii="Palatino Linotype" w:hAnsi="Palatino Linotype"/>
          <w:sz w:val="23"/>
          <w:szCs w:val="23"/>
        </w:rPr>
        <w:t>,</w:t>
      </w:r>
      <w:r w:rsidR="005B37A2" w:rsidRPr="005B37A2">
        <w:rPr>
          <w:rFonts w:ascii="Palatino Linotype" w:hAnsi="Palatino Linotype"/>
          <w:sz w:val="23"/>
          <w:szCs w:val="23"/>
        </w:rPr>
        <w:t xml:space="preserve"> se colige que los documentos comprobatorios de su experiencia profesional pueden obrar en Sujeto Obligado distinto al Tribunal Electoral del Estado de México</w:t>
      </w:r>
      <w:r w:rsidR="005B37A2">
        <w:rPr>
          <w:rFonts w:ascii="Palatino Linotype" w:hAnsi="Palatino Linotype"/>
          <w:sz w:val="23"/>
          <w:szCs w:val="23"/>
        </w:rPr>
        <w:t xml:space="preserve">, </w:t>
      </w:r>
      <w:r w:rsidRPr="001232FA">
        <w:rPr>
          <w:rFonts w:ascii="Palatino Linotype" w:hAnsi="Palatino Linotype"/>
          <w:sz w:val="23"/>
          <w:szCs w:val="23"/>
        </w:rPr>
        <w:t>lo cual a toda luz no propicia a la observancia de los principios de legalidad o ce</w:t>
      </w:r>
      <w:r>
        <w:rPr>
          <w:rFonts w:ascii="Palatino Linotype" w:hAnsi="Palatino Linotype"/>
          <w:sz w:val="23"/>
          <w:szCs w:val="23"/>
        </w:rPr>
        <w:t xml:space="preserve">rteza imperantes en la materia. </w:t>
      </w:r>
    </w:p>
    <w:p w14:paraId="77CF7D31" w14:textId="77777777" w:rsidR="005B37A2" w:rsidRDefault="005B37A2" w:rsidP="001232FA">
      <w:pPr>
        <w:spacing w:after="0" w:line="360" w:lineRule="auto"/>
        <w:jc w:val="both"/>
        <w:rPr>
          <w:rFonts w:ascii="Palatino Linotype" w:hAnsi="Palatino Linotype"/>
          <w:sz w:val="23"/>
          <w:szCs w:val="23"/>
        </w:rPr>
      </w:pPr>
    </w:p>
    <w:p w14:paraId="5FB87A60" w14:textId="1540F3A3" w:rsidR="001232FA" w:rsidRPr="005B37A2"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1BAC51EA" w14:textId="77777777" w:rsidR="009E4111" w:rsidRPr="009E4111" w:rsidRDefault="009E4111" w:rsidP="001232FA">
      <w:pPr>
        <w:spacing w:after="0" w:line="360" w:lineRule="auto"/>
        <w:jc w:val="both"/>
        <w:rPr>
          <w:rFonts w:ascii="Palatino Linotype" w:hAnsi="Palatino Linotype"/>
          <w:bCs/>
          <w:i/>
          <w:sz w:val="23"/>
          <w:szCs w:val="23"/>
        </w:rPr>
      </w:pPr>
    </w:p>
    <w:p w14:paraId="433B9F80"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Conforme a lo anteriormente expuesto, es en ese sentido como he de emitir el presente </w:t>
      </w:r>
      <w:r w:rsidRPr="001232FA">
        <w:rPr>
          <w:rFonts w:ascii="Palatino Linotype" w:hAnsi="Palatino Linotype"/>
          <w:b/>
          <w:sz w:val="23"/>
          <w:szCs w:val="23"/>
        </w:rPr>
        <w:t>VOTO PARTICULAR</w:t>
      </w:r>
      <w:r w:rsidRPr="001232FA">
        <w:rPr>
          <w:rFonts w:ascii="Palatino Linotype" w:hAnsi="Palatino Linotype"/>
          <w:sz w:val="23"/>
          <w:szCs w:val="23"/>
        </w:rPr>
        <w:t xml:space="preserve">. </w:t>
      </w:r>
    </w:p>
    <w:p w14:paraId="7F588C3C" w14:textId="77777777" w:rsidR="001232FA" w:rsidRPr="008546EB" w:rsidRDefault="001232FA" w:rsidP="00A62EE1">
      <w:pPr>
        <w:spacing w:after="0" w:line="360" w:lineRule="auto"/>
        <w:jc w:val="both"/>
        <w:rPr>
          <w:rFonts w:ascii="Palatino Linotype" w:hAnsi="Palatino Linotype"/>
          <w:sz w:val="23"/>
          <w:szCs w:val="23"/>
        </w:rPr>
      </w:pPr>
    </w:p>
    <w:p w14:paraId="756D8867" w14:textId="77777777" w:rsidR="001464CB" w:rsidRPr="008546EB" w:rsidRDefault="001464CB" w:rsidP="0019061A">
      <w:pPr>
        <w:spacing w:after="0" w:line="360" w:lineRule="auto"/>
        <w:jc w:val="both"/>
        <w:rPr>
          <w:rFonts w:ascii="Palatino Linotype" w:hAnsi="Palatino Linotype"/>
          <w:sz w:val="23"/>
          <w:szCs w:val="23"/>
        </w:rPr>
      </w:pP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21019B">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A98B5" w14:textId="77777777" w:rsidR="00B5033A" w:rsidRDefault="00B5033A" w:rsidP="004C1443">
      <w:pPr>
        <w:spacing w:after="0" w:line="240" w:lineRule="auto"/>
      </w:pPr>
      <w:r>
        <w:separator/>
      </w:r>
    </w:p>
  </w:endnote>
  <w:endnote w:type="continuationSeparator" w:id="0">
    <w:p w14:paraId="1BA8ECAD" w14:textId="77777777" w:rsidR="00B5033A" w:rsidRDefault="00B5033A"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B11DF6">
              <w:rPr>
                <w:b/>
                <w:bCs/>
                <w:noProof/>
              </w:rPr>
              <w:t>10</w:t>
            </w:r>
            <w:r>
              <w:rPr>
                <w:b/>
                <w:bCs/>
              </w:rPr>
              <w:fldChar w:fldCharType="end"/>
            </w:r>
            <w:r>
              <w:t xml:space="preserve"> de </w:t>
            </w:r>
            <w:r>
              <w:rPr>
                <w:b/>
                <w:bCs/>
              </w:rPr>
              <w:fldChar w:fldCharType="begin"/>
            </w:r>
            <w:r>
              <w:rPr>
                <w:b/>
                <w:bCs/>
              </w:rPr>
              <w:instrText>NUMPAGES</w:instrText>
            </w:r>
            <w:r>
              <w:rPr>
                <w:b/>
                <w:bCs/>
              </w:rPr>
              <w:fldChar w:fldCharType="separate"/>
            </w:r>
            <w:r w:rsidR="00B11DF6">
              <w:rPr>
                <w:b/>
                <w:bCs/>
                <w:noProof/>
              </w:rPr>
              <w:t>11</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B100D" w14:textId="77777777" w:rsidR="00B5033A" w:rsidRDefault="00B5033A" w:rsidP="004C1443">
      <w:pPr>
        <w:spacing w:after="0" w:line="240" w:lineRule="auto"/>
      </w:pPr>
      <w:r>
        <w:separator/>
      </w:r>
    </w:p>
  </w:footnote>
  <w:footnote w:type="continuationSeparator" w:id="0">
    <w:p w14:paraId="71EC62DB" w14:textId="77777777" w:rsidR="00B5033A" w:rsidRDefault="00B5033A"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5E432644"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w:t>
    </w:r>
    <w:r w:rsidR="00C76308">
      <w:rPr>
        <w:rFonts w:ascii="Palatino Linotype" w:hAnsi="Palatino Linotype" w:cs="Arial"/>
        <w:b/>
        <w:bCs/>
        <w:sz w:val="22"/>
        <w:szCs w:val="22"/>
        <w:lang w:eastAsia="es-MX"/>
      </w:rPr>
      <w:t>226</w:t>
    </w:r>
    <w:r w:rsidR="00770BB1">
      <w:rPr>
        <w:rFonts w:ascii="Palatino Linotype" w:hAnsi="Palatino Linotype" w:cs="Arial"/>
        <w:b/>
        <w:bCs/>
        <w:sz w:val="22"/>
        <w:szCs w:val="22"/>
        <w:lang w:eastAsia="es-MX"/>
      </w:rPr>
      <w:t>9</w:t>
    </w:r>
    <w:r w:rsidR="001348A8" w:rsidRPr="001348A8">
      <w:rPr>
        <w:rFonts w:ascii="Palatino Linotype" w:hAnsi="Palatino Linotype" w:cs="Arial"/>
        <w:b/>
        <w:bCs/>
        <w:sz w:val="22"/>
        <w:szCs w:val="22"/>
        <w:lang w:eastAsia="es-MX"/>
      </w:rPr>
      <w:t>/INFOEM/IP/RR/202</w:t>
    </w:r>
    <w:r w:rsidR="008F7EC9">
      <w:rPr>
        <w:rFonts w:ascii="Palatino Linotype" w:hAnsi="Palatino Linotype" w:cs="Arial"/>
        <w:b/>
        <w:bCs/>
        <w:sz w:val="22"/>
        <w:szCs w:val="22"/>
        <w:lang w:eastAsia="es-MX"/>
      </w:rPr>
      <w:t>4</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85477E"/>
    <w:multiLevelType w:val="hybridMultilevel"/>
    <w:tmpl w:val="5142B690"/>
    <w:lvl w:ilvl="0" w:tplc="627A667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55CCF"/>
    <w:multiLevelType w:val="multilevel"/>
    <w:tmpl w:val="762E6266"/>
    <w:lvl w:ilvl="0">
      <w:start w:val="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1"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D05FCA"/>
    <w:multiLevelType w:val="multilevel"/>
    <w:tmpl w:val="311411B8"/>
    <w:lvl w:ilvl="0">
      <w:start w:val="1"/>
      <w:numFmt w:val="lowerLetter"/>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8465CA"/>
    <w:multiLevelType w:val="multilevel"/>
    <w:tmpl w:val="69A8B3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278759045">
    <w:abstractNumId w:val="17"/>
  </w:num>
  <w:num w:numId="2" w16cid:durableId="1541160974">
    <w:abstractNumId w:val="1"/>
  </w:num>
  <w:num w:numId="3" w16cid:durableId="654141335">
    <w:abstractNumId w:val="29"/>
  </w:num>
  <w:num w:numId="4" w16cid:durableId="1301033022">
    <w:abstractNumId w:val="21"/>
  </w:num>
  <w:num w:numId="5" w16cid:durableId="2141069713">
    <w:abstractNumId w:val="26"/>
  </w:num>
  <w:num w:numId="6" w16cid:durableId="1294100559">
    <w:abstractNumId w:val="31"/>
  </w:num>
  <w:num w:numId="7" w16cid:durableId="1998268191">
    <w:abstractNumId w:val="12"/>
  </w:num>
  <w:num w:numId="8" w16cid:durableId="758451853">
    <w:abstractNumId w:val="3"/>
  </w:num>
  <w:num w:numId="9" w16cid:durableId="261884300">
    <w:abstractNumId w:val="14"/>
  </w:num>
  <w:num w:numId="10" w16cid:durableId="1092703208">
    <w:abstractNumId w:val="4"/>
  </w:num>
  <w:num w:numId="11" w16cid:durableId="1485194680">
    <w:abstractNumId w:val="35"/>
  </w:num>
  <w:num w:numId="12" w16cid:durableId="1325359583">
    <w:abstractNumId w:val="15"/>
  </w:num>
  <w:num w:numId="13" w16cid:durableId="1916936078">
    <w:abstractNumId w:val="6"/>
  </w:num>
  <w:num w:numId="14" w16cid:durableId="1130048138">
    <w:abstractNumId w:val="34"/>
  </w:num>
  <w:num w:numId="15" w16cid:durableId="234055192">
    <w:abstractNumId w:val="19"/>
  </w:num>
  <w:num w:numId="16" w16cid:durableId="535697164">
    <w:abstractNumId w:val="13"/>
  </w:num>
  <w:num w:numId="17" w16cid:durableId="1449659526">
    <w:abstractNumId w:val="16"/>
  </w:num>
  <w:num w:numId="18" w16cid:durableId="1945841391">
    <w:abstractNumId w:val="10"/>
  </w:num>
  <w:num w:numId="19" w16cid:durableId="2062553709">
    <w:abstractNumId w:val="32"/>
  </w:num>
  <w:num w:numId="20" w16cid:durableId="2016687646">
    <w:abstractNumId w:val="18"/>
  </w:num>
  <w:num w:numId="21" w16cid:durableId="966472089">
    <w:abstractNumId w:val="5"/>
  </w:num>
  <w:num w:numId="22" w16cid:durableId="300310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8436167">
    <w:abstractNumId w:val="0"/>
  </w:num>
  <w:num w:numId="24" w16cid:durableId="746541011">
    <w:abstractNumId w:val="33"/>
  </w:num>
  <w:num w:numId="25" w16cid:durableId="333654935">
    <w:abstractNumId w:val="27"/>
  </w:num>
  <w:num w:numId="26" w16cid:durableId="421725555">
    <w:abstractNumId w:val="22"/>
  </w:num>
  <w:num w:numId="27" w16cid:durableId="576212754">
    <w:abstractNumId w:val="24"/>
  </w:num>
  <w:num w:numId="28" w16cid:durableId="1261717965">
    <w:abstractNumId w:val="30"/>
  </w:num>
  <w:num w:numId="29" w16cid:durableId="594902774">
    <w:abstractNumId w:val="7"/>
  </w:num>
  <w:num w:numId="30" w16cid:durableId="610212309">
    <w:abstractNumId w:val="25"/>
  </w:num>
  <w:num w:numId="31" w16cid:durableId="1039085391">
    <w:abstractNumId w:val="23"/>
  </w:num>
  <w:num w:numId="32" w16cid:durableId="271744101">
    <w:abstractNumId w:val="28"/>
  </w:num>
  <w:num w:numId="33" w16cid:durableId="731733828">
    <w:abstractNumId w:val="2"/>
  </w:num>
  <w:num w:numId="34" w16cid:durableId="1455296316">
    <w:abstractNumId w:val="9"/>
  </w:num>
  <w:num w:numId="35" w16cid:durableId="1774016435">
    <w:abstractNumId w:val="8"/>
  </w:num>
  <w:num w:numId="36" w16cid:durableId="1872036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4C3B"/>
    <w:rsid w:val="000069E9"/>
    <w:rsid w:val="0002785F"/>
    <w:rsid w:val="000353B6"/>
    <w:rsid w:val="00043B20"/>
    <w:rsid w:val="0005399B"/>
    <w:rsid w:val="000840E5"/>
    <w:rsid w:val="0009787F"/>
    <w:rsid w:val="000C3815"/>
    <w:rsid w:val="000D21E7"/>
    <w:rsid w:val="000D26DF"/>
    <w:rsid w:val="000E0143"/>
    <w:rsid w:val="000E1ABA"/>
    <w:rsid w:val="000E517C"/>
    <w:rsid w:val="000F14DA"/>
    <w:rsid w:val="000F1B77"/>
    <w:rsid w:val="000F49C4"/>
    <w:rsid w:val="00104F5C"/>
    <w:rsid w:val="001055A6"/>
    <w:rsid w:val="00105765"/>
    <w:rsid w:val="001232FA"/>
    <w:rsid w:val="001348A8"/>
    <w:rsid w:val="00137BCF"/>
    <w:rsid w:val="00145FED"/>
    <w:rsid w:val="001464CB"/>
    <w:rsid w:val="00147286"/>
    <w:rsid w:val="00147353"/>
    <w:rsid w:val="001822DD"/>
    <w:rsid w:val="00186357"/>
    <w:rsid w:val="00187004"/>
    <w:rsid w:val="0019061A"/>
    <w:rsid w:val="001908F7"/>
    <w:rsid w:val="0019696B"/>
    <w:rsid w:val="001B3D19"/>
    <w:rsid w:val="001B4BC7"/>
    <w:rsid w:val="0021019B"/>
    <w:rsid w:val="00211741"/>
    <w:rsid w:val="002351CE"/>
    <w:rsid w:val="00235E50"/>
    <w:rsid w:val="002374B9"/>
    <w:rsid w:val="00240D8D"/>
    <w:rsid w:val="00243EF0"/>
    <w:rsid w:val="00245EA9"/>
    <w:rsid w:val="00252976"/>
    <w:rsid w:val="00256512"/>
    <w:rsid w:val="00264201"/>
    <w:rsid w:val="002660DA"/>
    <w:rsid w:val="002674B9"/>
    <w:rsid w:val="002A12CF"/>
    <w:rsid w:val="002A39CA"/>
    <w:rsid w:val="002B39D3"/>
    <w:rsid w:val="002C14F9"/>
    <w:rsid w:val="002E2C0D"/>
    <w:rsid w:val="00302C71"/>
    <w:rsid w:val="00307916"/>
    <w:rsid w:val="0031079C"/>
    <w:rsid w:val="003262E7"/>
    <w:rsid w:val="0032728C"/>
    <w:rsid w:val="00330955"/>
    <w:rsid w:val="00335851"/>
    <w:rsid w:val="00336332"/>
    <w:rsid w:val="00341093"/>
    <w:rsid w:val="0038260F"/>
    <w:rsid w:val="003847F7"/>
    <w:rsid w:val="00384C8B"/>
    <w:rsid w:val="00396F4A"/>
    <w:rsid w:val="003B7D5E"/>
    <w:rsid w:val="003D0674"/>
    <w:rsid w:val="003D76A7"/>
    <w:rsid w:val="003F213C"/>
    <w:rsid w:val="003F52D7"/>
    <w:rsid w:val="00403FFD"/>
    <w:rsid w:val="004200DB"/>
    <w:rsid w:val="00421F7E"/>
    <w:rsid w:val="004269DC"/>
    <w:rsid w:val="004351EB"/>
    <w:rsid w:val="00437D21"/>
    <w:rsid w:val="004402F7"/>
    <w:rsid w:val="0044337D"/>
    <w:rsid w:val="004446DD"/>
    <w:rsid w:val="00456F17"/>
    <w:rsid w:val="00463A29"/>
    <w:rsid w:val="00476A4E"/>
    <w:rsid w:val="00491A04"/>
    <w:rsid w:val="00494F48"/>
    <w:rsid w:val="00497187"/>
    <w:rsid w:val="004A384B"/>
    <w:rsid w:val="004B585F"/>
    <w:rsid w:val="004C1443"/>
    <w:rsid w:val="004C5122"/>
    <w:rsid w:val="004D3A6E"/>
    <w:rsid w:val="004D5C09"/>
    <w:rsid w:val="004E6EFF"/>
    <w:rsid w:val="004F50E3"/>
    <w:rsid w:val="004F5AE8"/>
    <w:rsid w:val="005251CB"/>
    <w:rsid w:val="00526C8E"/>
    <w:rsid w:val="00530131"/>
    <w:rsid w:val="00546280"/>
    <w:rsid w:val="00547586"/>
    <w:rsid w:val="005534B4"/>
    <w:rsid w:val="005733EB"/>
    <w:rsid w:val="0058084B"/>
    <w:rsid w:val="00591F8D"/>
    <w:rsid w:val="00592E63"/>
    <w:rsid w:val="005A4CF6"/>
    <w:rsid w:val="005B37A2"/>
    <w:rsid w:val="005D0EB7"/>
    <w:rsid w:val="005D279E"/>
    <w:rsid w:val="005E01A2"/>
    <w:rsid w:val="005E2445"/>
    <w:rsid w:val="005E313C"/>
    <w:rsid w:val="005E760F"/>
    <w:rsid w:val="006023F6"/>
    <w:rsid w:val="006069F7"/>
    <w:rsid w:val="00606CCB"/>
    <w:rsid w:val="00607983"/>
    <w:rsid w:val="00613A04"/>
    <w:rsid w:val="006275C6"/>
    <w:rsid w:val="006342FD"/>
    <w:rsid w:val="00667D1F"/>
    <w:rsid w:val="006A51FD"/>
    <w:rsid w:val="006A78C7"/>
    <w:rsid w:val="006D3740"/>
    <w:rsid w:val="006D627E"/>
    <w:rsid w:val="006E4C00"/>
    <w:rsid w:val="006F544E"/>
    <w:rsid w:val="006F7F79"/>
    <w:rsid w:val="00707558"/>
    <w:rsid w:val="0071133A"/>
    <w:rsid w:val="0071304D"/>
    <w:rsid w:val="007466E7"/>
    <w:rsid w:val="007518F5"/>
    <w:rsid w:val="007552BF"/>
    <w:rsid w:val="0076378C"/>
    <w:rsid w:val="00770BB1"/>
    <w:rsid w:val="0077712D"/>
    <w:rsid w:val="00785FF0"/>
    <w:rsid w:val="00787CFE"/>
    <w:rsid w:val="007B5209"/>
    <w:rsid w:val="007B733E"/>
    <w:rsid w:val="007C0DCC"/>
    <w:rsid w:val="007C0F18"/>
    <w:rsid w:val="007C4507"/>
    <w:rsid w:val="008037AF"/>
    <w:rsid w:val="008178C6"/>
    <w:rsid w:val="00830F92"/>
    <w:rsid w:val="00846F0C"/>
    <w:rsid w:val="00847B09"/>
    <w:rsid w:val="00852785"/>
    <w:rsid w:val="008546EB"/>
    <w:rsid w:val="008554E0"/>
    <w:rsid w:val="00860B45"/>
    <w:rsid w:val="00866E23"/>
    <w:rsid w:val="00872828"/>
    <w:rsid w:val="00874DD2"/>
    <w:rsid w:val="00875FA7"/>
    <w:rsid w:val="008768A7"/>
    <w:rsid w:val="0088608D"/>
    <w:rsid w:val="008C04DB"/>
    <w:rsid w:val="008D6140"/>
    <w:rsid w:val="008E005D"/>
    <w:rsid w:val="008E47B8"/>
    <w:rsid w:val="008F6B22"/>
    <w:rsid w:val="008F7EC9"/>
    <w:rsid w:val="00900682"/>
    <w:rsid w:val="00911F00"/>
    <w:rsid w:val="00915E74"/>
    <w:rsid w:val="00924459"/>
    <w:rsid w:val="00935258"/>
    <w:rsid w:val="00963470"/>
    <w:rsid w:val="00967270"/>
    <w:rsid w:val="00990546"/>
    <w:rsid w:val="00990621"/>
    <w:rsid w:val="0099768F"/>
    <w:rsid w:val="009A72D3"/>
    <w:rsid w:val="009B0A29"/>
    <w:rsid w:val="009B46D0"/>
    <w:rsid w:val="009C2540"/>
    <w:rsid w:val="009C651B"/>
    <w:rsid w:val="009D2F48"/>
    <w:rsid w:val="009E4111"/>
    <w:rsid w:val="009E6EF2"/>
    <w:rsid w:val="00A10C19"/>
    <w:rsid w:val="00A16488"/>
    <w:rsid w:val="00A41FAD"/>
    <w:rsid w:val="00A430F5"/>
    <w:rsid w:val="00A503FC"/>
    <w:rsid w:val="00A62EE1"/>
    <w:rsid w:val="00A85CFE"/>
    <w:rsid w:val="00A9353F"/>
    <w:rsid w:val="00AA04A2"/>
    <w:rsid w:val="00AC1F7C"/>
    <w:rsid w:val="00AF71C1"/>
    <w:rsid w:val="00B11DF6"/>
    <w:rsid w:val="00B40E2E"/>
    <w:rsid w:val="00B41E23"/>
    <w:rsid w:val="00B5033A"/>
    <w:rsid w:val="00B6198B"/>
    <w:rsid w:val="00B71EFC"/>
    <w:rsid w:val="00B77C19"/>
    <w:rsid w:val="00B835E7"/>
    <w:rsid w:val="00B845E4"/>
    <w:rsid w:val="00B91483"/>
    <w:rsid w:val="00BB76F9"/>
    <w:rsid w:val="00BE4F0C"/>
    <w:rsid w:val="00C24AA5"/>
    <w:rsid w:val="00C37B1B"/>
    <w:rsid w:val="00C42420"/>
    <w:rsid w:val="00C4620E"/>
    <w:rsid w:val="00C61583"/>
    <w:rsid w:val="00C65E0C"/>
    <w:rsid w:val="00C76308"/>
    <w:rsid w:val="00C96E88"/>
    <w:rsid w:val="00CE6B6A"/>
    <w:rsid w:val="00CF11A8"/>
    <w:rsid w:val="00D014A2"/>
    <w:rsid w:val="00D040F5"/>
    <w:rsid w:val="00D23555"/>
    <w:rsid w:val="00D26D4E"/>
    <w:rsid w:val="00D3608C"/>
    <w:rsid w:val="00D4116A"/>
    <w:rsid w:val="00D47F69"/>
    <w:rsid w:val="00D57282"/>
    <w:rsid w:val="00D65428"/>
    <w:rsid w:val="00D675E4"/>
    <w:rsid w:val="00D875B1"/>
    <w:rsid w:val="00D953EF"/>
    <w:rsid w:val="00DB0A5B"/>
    <w:rsid w:val="00DB6F26"/>
    <w:rsid w:val="00DC57C3"/>
    <w:rsid w:val="00DC5F78"/>
    <w:rsid w:val="00DD13E2"/>
    <w:rsid w:val="00DD5657"/>
    <w:rsid w:val="00E047E0"/>
    <w:rsid w:val="00E34CA6"/>
    <w:rsid w:val="00E52718"/>
    <w:rsid w:val="00E554DC"/>
    <w:rsid w:val="00E6367E"/>
    <w:rsid w:val="00E63F29"/>
    <w:rsid w:val="00E80535"/>
    <w:rsid w:val="00E91010"/>
    <w:rsid w:val="00E92686"/>
    <w:rsid w:val="00EA3CFA"/>
    <w:rsid w:val="00EA61C1"/>
    <w:rsid w:val="00EC70B3"/>
    <w:rsid w:val="00ED0FE3"/>
    <w:rsid w:val="00EE051D"/>
    <w:rsid w:val="00F07361"/>
    <w:rsid w:val="00F133A3"/>
    <w:rsid w:val="00F14E55"/>
    <w:rsid w:val="00F20432"/>
    <w:rsid w:val="00F20438"/>
    <w:rsid w:val="00F2106C"/>
    <w:rsid w:val="00F3098B"/>
    <w:rsid w:val="00F43A6F"/>
    <w:rsid w:val="00F46FE4"/>
    <w:rsid w:val="00F57C84"/>
    <w:rsid w:val="00F66EDF"/>
    <w:rsid w:val="00F7131D"/>
    <w:rsid w:val="00F86EDD"/>
    <w:rsid w:val="00F94619"/>
    <w:rsid w:val="00FC13A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21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485F-6864-418E-867E-F024D580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2044</Words>
  <Characters>11243</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4</cp:revision>
  <cp:lastPrinted>2024-09-30T17:23:00Z</cp:lastPrinted>
  <dcterms:created xsi:type="dcterms:W3CDTF">2024-09-27T16:38:00Z</dcterms:created>
  <dcterms:modified xsi:type="dcterms:W3CDTF">2024-09-30T17:23:00Z</dcterms:modified>
</cp:coreProperties>
</file>