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0E5A25F7"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2B39D3">
        <w:rPr>
          <w:rFonts w:ascii="Palatino Linotype" w:hAnsi="Palatino Linotype"/>
          <w:b/>
          <w:sz w:val="23"/>
          <w:szCs w:val="23"/>
        </w:rPr>
        <w:t xml:space="preserve">TRIGÉSIMA </w:t>
      </w:r>
      <w:r w:rsidR="00770BB1">
        <w:rPr>
          <w:rFonts w:ascii="Palatino Linotype" w:hAnsi="Palatino Linotype"/>
          <w:b/>
          <w:sz w:val="23"/>
          <w:szCs w:val="23"/>
        </w:rPr>
        <w:t>CUART</w:t>
      </w:r>
      <w:r w:rsidR="002B39D3">
        <w:rPr>
          <w:rFonts w:ascii="Palatino Linotype" w:hAnsi="Palatino Linotype"/>
          <w:b/>
          <w:sz w:val="23"/>
          <w:szCs w:val="23"/>
        </w:rPr>
        <w:t>A</w:t>
      </w:r>
      <w:r w:rsidR="0019061A" w:rsidRPr="008546EB">
        <w:rPr>
          <w:rFonts w:ascii="Palatino Linotype" w:hAnsi="Palatino Linotype"/>
          <w:b/>
          <w:sz w:val="23"/>
          <w:szCs w:val="23"/>
        </w:rPr>
        <w:t xml:space="preserve"> SESIÓN ORDINARIA DEL PLENO DE FECHA </w:t>
      </w:r>
      <w:r w:rsidR="00770BB1">
        <w:rPr>
          <w:rFonts w:ascii="Palatino Linotype" w:hAnsi="Palatino Linotype"/>
          <w:b/>
          <w:sz w:val="23"/>
          <w:szCs w:val="23"/>
        </w:rPr>
        <w:t>VEINTICINCO</w:t>
      </w:r>
      <w:r w:rsidR="002B39D3">
        <w:rPr>
          <w:rFonts w:ascii="Palatino Linotype" w:hAnsi="Palatino Linotype"/>
          <w:b/>
          <w:sz w:val="23"/>
          <w:szCs w:val="23"/>
        </w:rPr>
        <w:t xml:space="preserve"> DE SEPTIEMBRE</w:t>
      </w:r>
      <w:r w:rsidR="008E005D" w:rsidRPr="008546EB">
        <w:rPr>
          <w:rFonts w:ascii="Palatino Linotype" w:hAnsi="Palatino Linotype"/>
          <w:b/>
          <w:sz w:val="23"/>
          <w:szCs w:val="23"/>
        </w:rPr>
        <w:t xml:space="preserve"> DE </w:t>
      </w:r>
      <w:r w:rsidR="0019061A" w:rsidRPr="008546EB">
        <w:rPr>
          <w:rFonts w:ascii="Palatino Linotype" w:hAnsi="Palatino Linotype"/>
          <w:b/>
          <w:sz w:val="23"/>
          <w:szCs w:val="23"/>
        </w:rPr>
        <w:t>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0353B6">
        <w:rPr>
          <w:rFonts w:ascii="Palatino Linotype" w:hAnsi="Palatino Linotype"/>
          <w:b/>
          <w:sz w:val="23"/>
          <w:szCs w:val="23"/>
        </w:rPr>
        <w:t>0</w:t>
      </w:r>
      <w:r w:rsidR="00770BB1">
        <w:rPr>
          <w:rFonts w:ascii="Palatino Linotype" w:hAnsi="Palatino Linotype"/>
          <w:b/>
          <w:sz w:val="23"/>
          <w:szCs w:val="23"/>
        </w:rPr>
        <w:t>3699</w:t>
      </w:r>
      <w:r w:rsidR="00E047E0" w:rsidRPr="00E047E0">
        <w:rPr>
          <w:rFonts w:ascii="Palatino Linotype" w:hAnsi="Palatino Linotype"/>
          <w:b/>
          <w:sz w:val="23"/>
          <w:szCs w:val="23"/>
        </w:rPr>
        <w:t>/INFOEM/IP/RR/202</w:t>
      </w:r>
      <w:r w:rsidR="00A503FC">
        <w:rPr>
          <w:rFonts w:ascii="Palatino Linotype" w:hAnsi="Palatino Linotype"/>
          <w:b/>
          <w:sz w:val="23"/>
          <w:szCs w:val="23"/>
        </w:rPr>
        <w:t>4</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0DB9B502" w14:textId="29AC08CF" w:rsidR="0019061A" w:rsidRDefault="002A12CF"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 xml:space="preserve">Con fundamento en lo dispuesto por el artículo 14 fracción XI,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Pr>
          <w:rFonts w:ascii="Palatino Linotype" w:hAnsi="Palatino Linotype"/>
          <w:b/>
          <w:sz w:val="23"/>
          <w:szCs w:val="23"/>
        </w:rPr>
        <w:t>0</w:t>
      </w:r>
      <w:r w:rsidR="00770BB1">
        <w:rPr>
          <w:rFonts w:ascii="Palatino Linotype" w:hAnsi="Palatino Linotype"/>
          <w:b/>
          <w:sz w:val="23"/>
          <w:szCs w:val="23"/>
        </w:rPr>
        <w:t>3699</w:t>
      </w:r>
      <w:r w:rsidRPr="00E047E0">
        <w:rPr>
          <w:rFonts w:ascii="Palatino Linotype" w:hAnsi="Palatino Linotype"/>
          <w:b/>
          <w:sz w:val="23"/>
          <w:szCs w:val="23"/>
        </w:rPr>
        <w:t>/INFOEM/IP/RR/202</w:t>
      </w:r>
      <w:r>
        <w:rPr>
          <w:rFonts w:ascii="Palatino Linotype" w:hAnsi="Palatino Linotype"/>
          <w:b/>
          <w:sz w:val="23"/>
          <w:szCs w:val="23"/>
        </w:rPr>
        <w:t>3</w:t>
      </w:r>
      <w:r w:rsidRPr="008546EB">
        <w:rPr>
          <w:rFonts w:ascii="Palatino Linotype" w:hAnsi="Palatino Linotype"/>
          <w:sz w:val="23"/>
          <w:szCs w:val="23"/>
        </w:rPr>
        <w:t xml:space="preserve">, pronunciada por el Pleno de este Instituto ante el proyecto presentado por </w:t>
      </w:r>
      <w:r>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Pr>
          <w:rFonts w:ascii="Palatino Linotype" w:hAnsi="Palatino Linotype"/>
          <w:b/>
          <w:sz w:val="23"/>
          <w:szCs w:val="23"/>
        </w:rPr>
        <w:t>a</w:t>
      </w:r>
      <w:r w:rsidRPr="008546EB">
        <w:rPr>
          <w:rFonts w:ascii="Palatino Linotype" w:hAnsi="Palatino Linotype"/>
          <w:b/>
          <w:sz w:val="23"/>
          <w:szCs w:val="23"/>
        </w:rPr>
        <w:t xml:space="preserve"> </w:t>
      </w:r>
      <w:r>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1B2CE27F" w14:textId="77777777" w:rsidR="002A12CF" w:rsidRPr="008546EB" w:rsidRDefault="002A12CF" w:rsidP="0019061A">
      <w:pPr>
        <w:spacing w:after="0" w:line="360" w:lineRule="auto"/>
        <w:contextualSpacing/>
        <w:jc w:val="both"/>
        <w:rPr>
          <w:rFonts w:ascii="Palatino Linotype" w:hAnsi="Palatino Linotype"/>
          <w:sz w:val="23"/>
          <w:szCs w:val="23"/>
        </w:rPr>
      </w:pPr>
    </w:p>
    <w:p w14:paraId="0E6A0FBA" w14:textId="548F0A06" w:rsidR="00770BB1" w:rsidRPr="00770BB1" w:rsidRDefault="00846F0C" w:rsidP="00770BB1">
      <w:pPr>
        <w:spacing w:after="0" w:line="360" w:lineRule="auto"/>
        <w:jc w:val="both"/>
        <w:rPr>
          <w:rFonts w:ascii="Palatino Linotype" w:hAnsi="Palatino Linotype"/>
          <w:sz w:val="23"/>
          <w:szCs w:val="23"/>
        </w:rPr>
      </w:pPr>
      <w:r w:rsidRPr="00770BB1">
        <w:rPr>
          <w:rFonts w:ascii="Palatino Linotype" w:hAnsi="Palatino Linotype"/>
          <w:sz w:val="23"/>
          <w:szCs w:val="23"/>
        </w:rPr>
        <w:t>En primer término</w:t>
      </w:r>
      <w:r w:rsidR="00B835E7" w:rsidRPr="00770BB1">
        <w:rPr>
          <w:rFonts w:ascii="Palatino Linotype" w:hAnsi="Palatino Linotype"/>
          <w:sz w:val="23"/>
          <w:szCs w:val="23"/>
        </w:rPr>
        <w:t>,</w:t>
      </w:r>
      <w:r w:rsidR="0019061A" w:rsidRPr="00770BB1">
        <w:rPr>
          <w:rFonts w:ascii="Palatino Linotype" w:hAnsi="Palatino Linotype"/>
          <w:sz w:val="23"/>
          <w:szCs w:val="23"/>
        </w:rPr>
        <w:t xml:space="preserve"> el ahora recurrente, requirió </w:t>
      </w:r>
      <w:r w:rsidR="00B835E7" w:rsidRPr="00770BB1">
        <w:rPr>
          <w:rFonts w:ascii="Palatino Linotype" w:hAnsi="Palatino Linotype"/>
          <w:sz w:val="23"/>
          <w:szCs w:val="23"/>
        </w:rPr>
        <w:t>a</w:t>
      </w:r>
      <w:r w:rsidR="00C37B1B" w:rsidRPr="00770BB1">
        <w:rPr>
          <w:rFonts w:ascii="Palatino Linotype" w:hAnsi="Palatino Linotype"/>
          <w:sz w:val="23"/>
          <w:szCs w:val="23"/>
        </w:rPr>
        <w:t xml:space="preserve"> la</w:t>
      </w:r>
      <w:r w:rsidR="00EA3CFA" w:rsidRPr="00770BB1">
        <w:rPr>
          <w:rFonts w:ascii="Palatino Linotype" w:hAnsi="Palatino Linotype"/>
          <w:sz w:val="23"/>
          <w:szCs w:val="23"/>
        </w:rPr>
        <w:t xml:space="preserve"> </w:t>
      </w:r>
      <w:r w:rsidR="00770BB1" w:rsidRPr="00770BB1">
        <w:rPr>
          <w:rFonts w:ascii="Palatino Linotype" w:hAnsi="Palatino Linotype"/>
          <w:b/>
          <w:sz w:val="23"/>
          <w:szCs w:val="23"/>
        </w:rPr>
        <w:t>Secretaría de la Contraloría</w:t>
      </w:r>
      <w:r w:rsidR="00EA3CFA" w:rsidRPr="00770BB1">
        <w:rPr>
          <w:rFonts w:ascii="Palatino Linotype" w:hAnsi="Palatino Linotype"/>
          <w:sz w:val="23"/>
          <w:szCs w:val="23"/>
        </w:rPr>
        <w:t xml:space="preserve">, </w:t>
      </w:r>
      <w:r w:rsidR="00770BB1" w:rsidRPr="00770BB1">
        <w:rPr>
          <w:rFonts w:ascii="Palatino Linotype" w:hAnsi="Palatino Linotype"/>
          <w:sz w:val="23"/>
          <w:szCs w:val="23"/>
        </w:rPr>
        <w:t xml:space="preserve">requirió </w:t>
      </w:r>
      <w:r w:rsidR="00770BB1" w:rsidRPr="00770BB1">
        <w:rPr>
          <w:rFonts w:ascii="Palatino Linotype" w:eastAsia="Palatino Linotype" w:hAnsi="Palatino Linotype" w:cs="Palatino Linotype"/>
          <w:sz w:val="23"/>
          <w:szCs w:val="23"/>
          <w:lang w:val="es-ES" w:eastAsia="es-ES"/>
        </w:rPr>
        <w:t xml:space="preserve">lo siguiente: </w:t>
      </w:r>
    </w:p>
    <w:p w14:paraId="15E9FBA2" w14:textId="77777777" w:rsidR="00770BB1" w:rsidRPr="00770BB1" w:rsidRDefault="00770BB1" w:rsidP="00770BB1">
      <w:pPr>
        <w:spacing w:after="0" w:line="360" w:lineRule="auto"/>
        <w:jc w:val="both"/>
        <w:rPr>
          <w:rFonts w:ascii="Palatino Linotype" w:eastAsia="Palatino Linotype" w:hAnsi="Palatino Linotype" w:cs="Palatino Linotype"/>
          <w:sz w:val="23"/>
          <w:szCs w:val="23"/>
          <w:lang w:val="es-ES" w:eastAsia="es-ES"/>
        </w:rPr>
      </w:pPr>
    </w:p>
    <w:p w14:paraId="4C673E02" w14:textId="77777777" w:rsidR="00770BB1" w:rsidRPr="00770BB1" w:rsidRDefault="00770BB1" w:rsidP="00770BB1">
      <w:pPr>
        <w:spacing w:after="0" w:line="360" w:lineRule="auto"/>
        <w:jc w:val="both"/>
        <w:rPr>
          <w:rFonts w:ascii="Palatino Linotype" w:eastAsia="Palatino Linotype" w:hAnsi="Palatino Linotype" w:cs="Palatino Linotype"/>
          <w:sz w:val="23"/>
          <w:szCs w:val="23"/>
          <w:lang w:val="es-ES" w:eastAsia="es-ES"/>
        </w:rPr>
      </w:pPr>
      <w:r w:rsidRPr="00770BB1">
        <w:rPr>
          <w:rFonts w:ascii="Palatino Linotype" w:eastAsia="Palatino Linotype" w:hAnsi="Palatino Linotype" w:cs="Palatino Linotype"/>
          <w:sz w:val="23"/>
          <w:szCs w:val="23"/>
          <w:lang w:val="es-ES" w:eastAsia="es-ES"/>
        </w:rPr>
        <w:t xml:space="preserve">a) La certificación de competencia que debe tener el Titular de la Unidad de Transparencia. </w:t>
      </w:r>
    </w:p>
    <w:p w14:paraId="2FC2A97F" w14:textId="77777777" w:rsidR="00770BB1" w:rsidRPr="00770BB1" w:rsidRDefault="00770BB1" w:rsidP="00770BB1">
      <w:pPr>
        <w:spacing w:after="0" w:line="360" w:lineRule="auto"/>
        <w:jc w:val="both"/>
        <w:rPr>
          <w:rFonts w:ascii="Palatino Linotype" w:eastAsia="Palatino Linotype" w:hAnsi="Palatino Linotype" w:cs="Palatino Linotype"/>
          <w:sz w:val="23"/>
          <w:szCs w:val="23"/>
          <w:lang w:val="es-ES" w:eastAsia="es-ES"/>
        </w:rPr>
      </w:pPr>
      <w:r w:rsidRPr="00770BB1">
        <w:rPr>
          <w:rFonts w:ascii="Palatino Linotype" w:eastAsia="Palatino Linotype" w:hAnsi="Palatino Linotype" w:cs="Palatino Linotype"/>
          <w:sz w:val="23"/>
          <w:szCs w:val="23"/>
          <w:lang w:val="es-ES" w:eastAsia="es-ES"/>
        </w:rPr>
        <w:lastRenderedPageBreak/>
        <w:t xml:space="preserve">b) Documentos oficiales procesados que acrediten el sueldo neto, grado de estudios y Currículum Vitae del Titular de la Unidad de Transparencia. </w:t>
      </w:r>
    </w:p>
    <w:p w14:paraId="17E35CA1" w14:textId="77777777" w:rsidR="009C2540" w:rsidRPr="00B835E7" w:rsidRDefault="009C2540" w:rsidP="009C2540">
      <w:pPr>
        <w:spacing w:after="0" w:line="360" w:lineRule="auto"/>
        <w:jc w:val="both"/>
        <w:rPr>
          <w:rFonts w:ascii="Palatino Linotype" w:hAnsi="Palatino Linotype"/>
          <w:sz w:val="23"/>
          <w:szCs w:val="23"/>
        </w:rPr>
      </w:pPr>
    </w:p>
    <w:p w14:paraId="6D5311CF" w14:textId="77777777" w:rsidR="00770BB1" w:rsidRDefault="00846F0C" w:rsidP="00770BB1">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A62EE1" w:rsidRPr="00A62EE1">
        <w:rPr>
          <w:rFonts w:ascii="Palatino Linotype" w:hAnsi="Palatino Linotype"/>
          <w:bCs/>
          <w:sz w:val="23"/>
          <w:szCs w:val="23"/>
          <w:lang w:val="es-ES"/>
        </w:rPr>
        <w:t>,</w:t>
      </w:r>
      <w:r w:rsidR="00A62EE1">
        <w:rPr>
          <w:rFonts w:ascii="Palatino Linotype" w:hAnsi="Palatino Linotype"/>
          <w:bCs/>
          <w:sz w:val="23"/>
          <w:szCs w:val="23"/>
          <w:lang w:val="es-ES"/>
        </w:rPr>
        <w:t xml:space="preserve"> </w:t>
      </w:r>
      <w:r w:rsidR="00770BB1">
        <w:rPr>
          <w:rFonts w:ascii="Palatino Linotype" w:hAnsi="Palatino Linotype"/>
          <w:bCs/>
          <w:sz w:val="23"/>
          <w:szCs w:val="23"/>
          <w:lang w:val="es-ES"/>
        </w:rPr>
        <w:t xml:space="preserve">remitió el </w:t>
      </w:r>
      <w:r w:rsidR="00770BB1" w:rsidRPr="00770BB1">
        <w:rPr>
          <w:rFonts w:ascii="Palatino Linotype" w:hAnsi="Palatino Linotype"/>
          <w:bCs/>
          <w:sz w:val="23"/>
          <w:szCs w:val="23"/>
          <w:lang w:val="es-ES"/>
        </w:rPr>
        <w:t>Acta del Comité de Transparencia mediante la cual se aprobó la versión pública de la información requerida.</w:t>
      </w:r>
      <w:r w:rsidR="00770BB1">
        <w:rPr>
          <w:rFonts w:ascii="Palatino Linotype" w:hAnsi="Palatino Linotype"/>
          <w:bCs/>
          <w:sz w:val="23"/>
          <w:szCs w:val="23"/>
          <w:lang w:val="es-ES"/>
        </w:rPr>
        <w:t xml:space="preserve"> </w:t>
      </w:r>
      <w:r w:rsidR="00770BB1" w:rsidRPr="00770BB1">
        <w:rPr>
          <w:rFonts w:ascii="Palatino Linotype" w:hAnsi="Palatino Linotype"/>
          <w:bCs/>
          <w:sz w:val="23"/>
          <w:szCs w:val="23"/>
          <w:lang w:val="es-ES"/>
        </w:rPr>
        <w:t>Oficio de fecha treinta de mayo de dos mil veinticuatro, signado por el Coordinador Administrativo de la Secretaría de la Contraloría, mediante el cual informa que se envía l</w:t>
      </w:r>
      <w:r w:rsidR="00770BB1">
        <w:rPr>
          <w:rFonts w:ascii="Palatino Linotype" w:hAnsi="Palatino Linotype"/>
          <w:bCs/>
          <w:sz w:val="23"/>
          <w:szCs w:val="23"/>
          <w:lang w:val="es-ES"/>
        </w:rPr>
        <w:t xml:space="preserve">a información en sobre cerrado. </w:t>
      </w:r>
      <w:r w:rsidR="00770BB1" w:rsidRPr="00770BB1">
        <w:rPr>
          <w:rFonts w:ascii="Palatino Linotype" w:hAnsi="Palatino Linotype"/>
          <w:bCs/>
          <w:sz w:val="23"/>
          <w:szCs w:val="23"/>
          <w:lang w:val="es-ES"/>
        </w:rPr>
        <w:t>Oficio de fecha treinta de mayo de dos mil veinticuatro, signado por el Coordinador Administrativo mediante el cual informa que, se remi</w:t>
      </w:r>
      <w:r w:rsidR="00770BB1">
        <w:rPr>
          <w:rFonts w:ascii="Palatino Linotype" w:hAnsi="Palatino Linotype"/>
          <w:bCs/>
          <w:sz w:val="23"/>
          <w:szCs w:val="23"/>
          <w:lang w:val="es-ES"/>
        </w:rPr>
        <w:t xml:space="preserve">te el FUMP y ficha curricular. </w:t>
      </w:r>
      <w:r w:rsidR="00770BB1" w:rsidRPr="00770BB1">
        <w:rPr>
          <w:rFonts w:ascii="Palatino Linotype" w:hAnsi="Palatino Linotype"/>
          <w:bCs/>
          <w:sz w:val="23"/>
          <w:szCs w:val="23"/>
          <w:lang w:val="es-ES"/>
        </w:rPr>
        <w:t>Formato Único de Movimientos de Personal del Titular</w:t>
      </w:r>
      <w:r w:rsidR="00770BB1">
        <w:rPr>
          <w:rFonts w:ascii="Palatino Linotype" w:hAnsi="Palatino Linotype"/>
          <w:bCs/>
          <w:sz w:val="23"/>
          <w:szCs w:val="23"/>
          <w:lang w:val="es-ES"/>
        </w:rPr>
        <w:t xml:space="preserve"> de la Unidad de Transparencia. </w:t>
      </w:r>
      <w:r w:rsidR="00770BB1" w:rsidRPr="00770BB1">
        <w:rPr>
          <w:rFonts w:ascii="Palatino Linotype" w:hAnsi="Palatino Linotype"/>
          <w:bCs/>
          <w:sz w:val="23"/>
          <w:szCs w:val="23"/>
          <w:lang w:val="es-ES"/>
        </w:rPr>
        <w:t xml:space="preserve">Documento donde consta la información curricular del Titular </w:t>
      </w:r>
      <w:r w:rsidR="00770BB1">
        <w:rPr>
          <w:rFonts w:ascii="Palatino Linotype" w:hAnsi="Palatino Linotype"/>
          <w:bCs/>
          <w:sz w:val="23"/>
          <w:szCs w:val="23"/>
          <w:lang w:val="es-ES"/>
        </w:rPr>
        <w:t xml:space="preserve">de la Unidad de Transparencia. </w:t>
      </w:r>
    </w:p>
    <w:p w14:paraId="5858F0B9" w14:textId="77777777" w:rsidR="00770BB1" w:rsidRDefault="00770BB1" w:rsidP="00770BB1">
      <w:pPr>
        <w:spacing w:after="0" w:line="360" w:lineRule="auto"/>
        <w:ind w:right="-3"/>
        <w:jc w:val="both"/>
        <w:rPr>
          <w:rFonts w:ascii="Palatino Linotype" w:hAnsi="Palatino Linotype"/>
          <w:bCs/>
          <w:sz w:val="23"/>
          <w:szCs w:val="23"/>
          <w:lang w:val="es-ES"/>
        </w:rPr>
      </w:pPr>
    </w:p>
    <w:p w14:paraId="6717CC8F" w14:textId="77777777" w:rsidR="00770BB1" w:rsidRDefault="00770BB1" w:rsidP="00770BB1">
      <w:pPr>
        <w:spacing w:after="0" w:line="360" w:lineRule="auto"/>
        <w:ind w:right="-3"/>
        <w:jc w:val="both"/>
        <w:rPr>
          <w:rFonts w:ascii="Palatino Linotype" w:hAnsi="Palatino Linotype"/>
          <w:bCs/>
          <w:sz w:val="23"/>
          <w:szCs w:val="23"/>
          <w:lang w:val="es-ES"/>
        </w:rPr>
      </w:pPr>
      <w:r w:rsidRPr="00770BB1">
        <w:rPr>
          <w:rFonts w:ascii="Palatino Linotype" w:hAnsi="Palatino Linotype"/>
          <w:bCs/>
          <w:sz w:val="23"/>
          <w:szCs w:val="23"/>
          <w:lang w:val="es-ES"/>
        </w:rPr>
        <w:t xml:space="preserve">Acta número </w:t>
      </w:r>
      <w:r w:rsidRPr="00770BB1">
        <w:rPr>
          <w:rFonts w:ascii="Palatino Linotype" w:hAnsi="Palatino Linotype"/>
          <w:b/>
          <w:bCs/>
          <w:sz w:val="23"/>
          <w:szCs w:val="23"/>
          <w:lang w:val="es-ES"/>
        </w:rPr>
        <w:t>ACT/SECOGEM/EXT/COM/10/2024/TERCERO</w:t>
      </w:r>
      <w:r w:rsidRPr="00770BB1">
        <w:rPr>
          <w:rFonts w:ascii="Palatino Linotype" w:hAnsi="Palatino Linotype"/>
          <w:bCs/>
          <w:sz w:val="23"/>
          <w:szCs w:val="23"/>
          <w:lang w:val="es-ES"/>
        </w:rPr>
        <w:t xml:space="preserve"> mediante el cual precisa que se turnó la solicitud de información al Coordinador Administrativo, quien precisó que se remitía el FUMP en versión pública y ficha curricular, por otro lado, precisó que, respecto de la certificación de competencia que debe tener el titular de la unidad de transparencia precisó que, el Lic. Oscar Filiberto Galicia Estrada se encuentra en espera de que este Organismo Garante publique la convocatoria correspondiente para certificar a los titulares de las Unidades de Transparencia. </w:t>
      </w:r>
    </w:p>
    <w:p w14:paraId="3109E0A7" w14:textId="495F1569" w:rsidR="00770BB1" w:rsidRDefault="00770BB1" w:rsidP="00770BB1">
      <w:pPr>
        <w:spacing w:after="0" w:line="360" w:lineRule="auto"/>
        <w:ind w:right="-3"/>
        <w:jc w:val="both"/>
        <w:rPr>
          <w:rFonts w:ascii="Palatino Linotype" w:hAnsi="Palatino Linotype"/>
          <w:bCs/>
          <w:sz w:val="23"/>
          <w:szCs w:val="23"/>
          <w:lang w:val="es-ES"/>
        </w:rPr>
      </w:pPr>
      <w:r w:rsidRPr="00770BB1">
        <w:rPr>
          <w:rFonts w:ascii="Palatino Linotype" w:hAnsi="Palatino Linotype"/>
          <w:bCs/>
          <w:sz w:val="23"/>
          <w:szCs w:val="23"/>
          <w:lang w:val="es-ES"/>
        </w:rPr>
        <w:lastRenderedPageBreak/>
        <w:t xml:space="preserve">Del mismo modo, informó que en cuanto el Organismo Garante lance la convocatoria para certificar a los titulares de las Unidades de Transparencia, se iniciará el procedimiento correspondiente para obtener la certificación. </w:t>
      </w:r>
    </w:p>
    <w:p w14:paraId="5FC53496" w14:textId="77777777" w:rsidR="00770BB1" w:rsidRPr="00770BB1" w:rsidRDefault="00770BB1" w:rsidP="00770BB1">
      <w:pPr>
        <w:spacing w:after="0" w:line="360" w:lineRule="auto"/>
        <w:ind w:right="-3"/>
        <w:jc w:val="both"/>
        <w:rPr>
          <w:rFonts w:ascii="Palatino Linotype" w:hAnsi="Palatino Linotype"/>
          <w:bCs/>
          <w:sz w:val="23"/>
          <w:szCs w:val="23"/>
          <w:lang w:val="es-ES"/>
        </w:rPr>
      </w:pPr>
    </w:p>
    <w:p w14:paraId="32D0948B" w14:textId="18164A12" w:rsidR="00770BB1" w:rsidRDefault="00770BB1" w:rsidP="00770BB1">
      <w:pPr>
        <w:spacing w:after="0" w:line="360" w:lineRule="auto"/>
        <w:ind w:right="-3"/>
        <w:jc w:val="both"/>
        <w:rPr>
          <w:rFonts w:ascii="Palatino Linotype" w:hAnsi="Palatino Linotype"/>
          <w:bCs/>
          <w:sz w:val="23"/>
          <w:szCs w:val="23"/>
          <w:lang w:val="es-ES"/>
        </w:rPr>
      </w:pPr>
      <w:r w:rsidRPr="00770BB1">
        <w:rPr>
          <w:rFonts w:ascii="Palatino Linotype" w:hAnsi="Palatino Linotype"/>
          <w:bCs/>
          <w:sz w:val="23"/>
          <w:szCs w:val="23"/>
          <w:lang w:val="es-ES"/>
        </w:rPr>
        <w:t>En lo que respecta al g</w:t>
      </w:r>
      <w:r>
        <w:rPr>
          <w:rFonts w:ascii="Palatino Linotype" w:hAnsi="Palatino Linotype"/>
          <w:bCs/>
          <w:sz w:val="23"/>
          <w:szCs w:val="23"/>
          <w:lang w:val="es-ES"/>
        </w:rPr>
        <w:t>rado de estudios y currículum,</w:t>
      </w:r>
      <w:r w:rsidRPr="00770BB1">
        <w:rPr>
          <w:rFonts w:ascii="Palatino Linotype" w:hAnsi="Palatino Linotype"/>
          <w:bCs/>
          <w:sz w:val="23"/>
          <w:szCs w:val="23"/>
          <w:lang w:val="es-ES"/>
        </w:rPr>
        <w:t xml:space="preserve"> adjuntó la ficha curricular y en relación al grado de estudios en la ficha y el FUMP se puede apreciar que cuenta con la Licenciatura en </w:t>
      </w:r>
      <w:r>
        <w:rPr>
          <w:rFonts w:ascii="Palatino Linotype" w:hAnsi="Palatino Linotype"/>
          <w:bCs/>
          <w:sz w:val="23"/>
          <w:szCs w:val="23"/>
          <w:lang w:val="es-ES"/>
        </w:rPr>
        <w:t xml:space="preserve">Derecho. </w:t>
      </w:r>
      <w:r w:rsidRPr="00770BB1">
        <w:rPr>
          <w:rFonts w:ascii="Palatino Linotype" w:hAnsi="Palatino Linotype"/>
          <w:bCs/>
          <w:sz w:val="23"/>
          <w:szCs w:val="23"/>
          <w:lang w:val="es-ES"/>
        </w:rPr>
        <w:t xml:space="preserve">Oficio de fecha trece de junio de dos mil veinticuatro, signado por el Titular de </w:t>
      </w:r>
      <w:proofErr w:type="spellStart"/>
      <w:r w:rsidRPr="00770BB1">
        <w:rPr>
          <w:rFonts w:ascii="Palatino Linotype" w:hAnsi="Palatino Linotype"/>
          <w:bCs/>
          <w:sz w:val="23"/>
          <w:szCs w:val="23"/>
          <w:lang w:val="es-ES"/>
        </w:rPr>
        <w:t>a</w:t>
      </w:r>
      <w:proofErr w:type="spellEnd"/>
      <w:r w:rsidRPr="00770BB1">
        <w:rPr>
          <w:rFonts w:ascii="Palatino Linotype" w:hAnsi="Palatino Linotype"/>
          <w:bCs/>
          <w:sz w:val="23"/>
          <w:szCs w:val="23"/>
          <w:lang w:val="es-ES"/>
        </w:rPr>
        <w:t xml:space="preserve"> Unidad de Transparencia, mediante el cual informa que se envía el </w:t>
      </w:r>
      <w:r w:rsidRPr="00770BB1">
        <w:rPr>
          <w:rFonts w:ascii="Palatino Linotype" w:hAnsi="Palatino Linotype"/>
          <w:b/>
          <w:bCs/>
          <w:sz w:val="23"/>
          <w:szCs w:val="23"/>
          <w:lang w:val="es-ES"/>
        </w:rPr>
        <w:t>ACT/SECOGEM/EXT/COM/10/2024/TERCERO</w:t>
      </w:r>
      <w:r w:rsidRPr="00770BB1">
        <w:rPr>
          <w:rFonts w:ascii="Palatino Linotype" w:hAnsi="Palatino Linotype"/>
          <w:bCs/>
          <w:sz w:val="23"/>
          <w:szCs w:val="23"/>
          <w:lang w:val="es-ES"/>
        </w:rPr>
        <w:t>.</w:t>
      </w:r>
    </w:p>
    <w:p w14:paraId="391AE6A5" w14:textId="77777777" w:rsidR="009C2540" w:rsidRPr="008546EB" w:rsidRDefault="009C2540" w:rsidP="00E52718">
      <w:pPr>
        <w:spacing w:after="0" w:line="360" w:lineRule="auto"/>
        <w:ind w:right="-3"/>
        <w:jc w:val="both"/>
        <w:rPr>
          <w:rFonts w:ascii="Palatino Linotype" w:hAnsi="Palatino Linotype"/>
          <w:bCs/>
          <w:sz w:val="23"/>
          <w:szCs w:val="23"/>
          <w:lang w:val="es-ES"/>
        </w:rPr>
      </w:pPr>
    </w:p>
    <w:p w14:paraId="3A24A056" w14:textId="0E677A6E" w:rsidR="00591F8D" w:rsidRDefault="00846F0C" w:rsidP="00935258">
      <w:pPr>
        <w:spacing w:after="0" w:line="360" w:lineRule="auto"/>
        <w:ind w:right="-3"/>
        <w:jc w:val="both"/>
        <w:rPr>
          <w:rFonts w:ascii="Palatino Linotype" w:hAnsi="Palatino Linotype"/>
          <w:sz w:val="23"/>
          <w:szCs w:val="23"/>
        </w:rPr>
      </w:pPr>
      <w:r>
        <w:rPr>
          <w:rFonts w:ascii="Palatino Linotype" w:hAnsi="Palatino Linotype"/>
          <w:sz w:val="23"/>
          <w:szCs w:val="23"/>
        </w:rPr>
        <w:t xml:space="preserve">Derivado de lo anterior, </w:t>
      </w:r>
      <w:r w:rsidR="00770BB1">
        <w:rPr>
          <w:rFonts w:ascii="Palatino Linotype" w:hAnsi="Palatino Linotype"/>
          <w:sz w:val="23"/>
          <w:szCs w:val="23"/>
        </w:rPr>
        <w:t>la</w:t>
      </w:r>
      <w:r w:rsidR="00235E50">
        <w:rPr>
          <w:rFonts w:ascii="Palatino Linotype" w:hAnsi="Palatino Linotype"/>
          <w:sz w:val="23"/>
          <w:szCs w:val="23"/>
        </w:rPr>
        <w:t xml:space="preserve"> Comisionad</w:t>
      </w:r>
      <w:r w:rsidR="00770BB1">
        <w:rPr>
          <w:rFonts w:ascii="Palatino Linotype" w:hAnsi="Palatino Linotype"/>
          <w:sz w:val="23"/>
          <w:szCs w:val="23"/>
        </w:rPr>
        <w:t>a</w:t>
      </w:r>
      <w:r>
        <w:rPr>
          <w:rFonts w:ascii="Palatino Linotype" w:hAnsi="Palatino Linotype"/>
          <w:sz w:val="23"/>
          <w:szCs w:val="23"/>
        </w:rPr>
        <w:t xml:space="preserve"> Ponente resolvió </w:t>
      </w:r>
      <w:r w:rsidR="00A503FC">
        <w:rPr>
          <w:rFonts w:ascii="Palatino Linotype" w:hAnsi="Palatino Linotype"/>
          <w:b/>
          <w:sz w:val="23"/>
          <w:szCs w:val="23"/>
        </w:rPr>
        <w:t>Modific</w:t>
      </w:r>
      <w:r w:rsidR="00990621">
        <w:rPr>
          <w:rFonts w:ascii="Palatino Linotype" w:hAnsi="Palatino Linotype"/>
          <w:b/>
          <w:sz w:val="23"/>
          <w:szCs w:val="23"/>
        </w:rPr>
        <w:t>ar</w:t>
      </w:r>
      <w:r w:rsidR="00EA3CFA">
        <w:rPr>
          <w:rFonts w:ascii="Palatino Linotype" w:hAnsi="Palatino Linotype"/>
          <w:b/>
          <w:sz w:val="23"/>
          <w:szCs w:val="23"/>
        </w:rPr>
        <w:t xml:space="preserve"> </w:t>
      </w:r>
      <w:r>
        <w:rPr>
          <w:rFonts w:ascii="Palatino Linotype" w:hAnsi="Palatino Linotype"/>
          <w:sz w:val="23"/>
          <w:szCs w:val="23"/>
        </w:rPr>
        <w:t xml:space="preserve">la respuesta otorgada por parte del </w:t>
      </w:r>
      <w:r w:rsidRPr="00C37B1B">
        <w:rPr>
          <w:rFonts w:ascii="Palatino Linotype" w:hAnsi="Palatino Linotype"/>
          <w:b/>
          <w:bCs/>
          <w:sz w:val="23"/>
          <w:szCs w:val="23"/>
        </w:rPr>
        <w:t>Sujeto Obligado</w:t>
      </w:r>
      <w:r>
        <w:rPr>
          <w:rFonts w:ascii="Palatino Linotype" w:hAnsi="Palatino Linotype"/>
          <w:sz w:val="23"/>
          <w:szCs w:val="23"/>
        </w:rPr>
        <w:t>, como a continuación se describe:</w:t>
      </w:r>
    </w:p>
    <w:p w14:paraId="22E31886" w14:textId="77777777" w:rsidR="00935258" w:rsidRPr="00935258" w:rsidRDefault="00935258" w:rsidP="00935258">
      <w:pPr>
        <w:spacing w:after="0" w:line="360" w:lineRule="auto"/>
        <w:ind w:right="-3"/>
        <w:jc w:val="both"/>
        <w:rPr>
          <w:rFonts w:ascii="Palatino Linotype" w:hAnsi="Palatino Linotype"/>
          <w:bCs/>
          <w:sz w:val="23"/>
          <w:szCs w:val="23"/>
          <w:lang w:val="es-ES"/>
        </w:rPr>
      </w:pPr>
    </w:p>
    <w:p w14:paraId="0EC75D2B" w14:textId="37C45EAB" w:rsidR="00770BB1" w:rsidRPr="00770BB1" w:rsidRDefault="0019061A" w:rsidP="00770BB1">
      <w:pPr>
        <w:pStyle w:val="Citas"/>
        <w:spacing w:after="0" w:line="240" w:lineRule="auto"/>
        <w:ind w:left="567" w:right="423"/>
        <w:rPr>
          <w:lang w:val="es-ES"/>
        </w:rPr>
      </w:pPr>
      <w:r w:rsidRPr="00591F8D">
        <w:t>“</w:t>
      </w:r>
      <w:r w:rsidR="00770BB1" w:rsidRPr="00770BB1">
        <w:rPr>
          <w:b/>
          <w:lang w:val="es-ES"/>
        </w:rPr>
        <w:t xml:space="preserve">Segundo. </w:t>
      </w:r>
      <w:r w:rsidR="00770BB1" w:rsidRPr="00770BB1">
        <w:rPr>
          <w:lang w:val="es-ES"/>
        </w:rPr>
        <w:t>Se</w:t>
      </w:r>
      <w:r w:rsidR="00770BB1" w:rsidRPr="00770BB1">
        <w:rPr>
          <w:b/>
          <w:lang w:val="es-ES"/>
        </w:rPr>
        <w:t xml:space="preserve"> ORDENA </w:t>
      </w:r>
      <w:r w:rsidR="00770BB1" w:rsidRPr="00770BB1">
        <w:rPr>
          <w:lang w:val="es-ES"/>
        </w:rPr>
        <w:t xml:space="preserve">al </w:t>
      </w:r>
      <w:r w:rsidR="00770BB1" w:rsidRPr="00770BB1">
        <w:rPr>
          <w:b/>
          <w:lang w:val="es-ES"/>
        </w:rPr>
        <w:t>SUJETO OBLIGADO</w:t>
      </w:r>
      <w:r w:rsidR="00770BB1" w:rsidRPr="00770BB1">
        <w:rPr>
          <w:lang w:val="es-ES"/>
        </w:rPr>
        <w:t xml:space="preserve"> a que,</w:t>
      </w:r>
      <w:r w:rsidR="00770BB1" w:rsidRPr="00770BB1">
        <w:rPr>
          <w:b/>
          <w:lang w:val="es-ES"/>
        </w:rPr>
        <w:t xml:space="preserve"> </w:t>
      </w:r>
      <w:r w:rsidR="00770BB1" w:rsidRPr="00770BB1">
        <w:rPr>
          <w:lang w:val="es-ES"/>
        </w:rPr>
        <w:t xml:space="preserve">en términos del Considerando Cuarto y Quinto, haga entrega, vía Sistema de Acceso a la Información Mexiquense, de ser el caso, en versión pública, de lo siguiente: </w:t>
      </w:r>
    </w:p>
    <w:p w14:paraId="769FBC25" w14:textId="0370AA01" w:rsidR="00770BB1" w:rsidRPr="00770BB1" w:rsidRDefault="00770BB1" w:rsidP="00770BB1">
      <w:pPr>
        <w:pStyle w:val="Citas"/>
        <w:spacing w:line="240" w:lineRule="auto"/>
        <w:ind w:right="423"/>
        <w:rPr>
          <w:b/>
          <w:lang w:val="es-ES"/>
        </w:rPr>
      </w:pPr>
      <w:r w:rsidRPr="00770BB1">
        <w:rPr>
          <w:b/>
          <w:lang w:val="es-ES"/>
        </w:rPr>
        <w:t xml:space="preserve">Del Titular de la Unidad de Transparencia en funciones al veinticuatro de mayo de dos mil veinticuatro: </w:t>
      </w:r>
    </w:p>
    <w:p w14:paraId="6901DE89" w14:textId="77777777" w:rsidR="00770BB1" w:rsidRPr="00770BB1" w:rsidRDefault="00770BB1" w:rsidP="00770BB1">
      <w:pPr>
        <w:pStyle w:val="Citas"/>
        <w:spacing w:line="240" w:lineRule="auto"/>
        <w:ind w:right="423"/>
        <w:rPr>
          <w:lang w:val="es-ES"/>
        </w:rPr>
      </w:pPr>
      <w:r w:rsidRPr="00770BB1">
        <w:rPr>
          <w:lang w:val="es-ES"/>
        </w:rPr>
        <w:t xml:space="preserve">a) Acuerdo que emita el Comité de Transparencia mediante el que se declare formalmente la inexistencia de la Certificación EC 1057 “Garantizar el Derecho de Acceso a la Información Pública”, en términos de los artículos 19, 49, fracciones II y XIII, 169 y 170 de la Ley de Transparencia y Acceso a la Información Pública del Estado de México y Municipios. </w:t>
      </w:r>
    </w:p>
    <w:p w14:paraId="07C31ACB" w14:textId="77777777" w:rsidR="00770BB1" w:rsidRPr="00770BB1" w:rsidRDefault="00770BB1" w:rsidP="00770BB1">
      <w:pPr>
        <w:pStyle w:val="Citas"/>
        <w:spacing w:line="240" w:lineRule="auto"/>
        <w:ind w:right="423"/>
        <w:rPr>
          <w:lang w:val="es-ES"/>
        </w:rPr>
      </w:pPr>
      <w:r w:rsidRPr="00770BB1">
        <w:rPr>
          <w:lang w:val="es-ES"/>
        </w:rPr>
        <w:t xml:space="preserve">b) Documento donde conste el sueldo neto mensual y quincenal. </w:t>
      </w:r>
    </w:p>
    <w:p w14:paraId="6A61965E" w14:textId="1436A0B6" w:rsidR="00770BB1" w:rsidRPr="00770BB1" w:rsidRDefault="00770BB1" w:rsidP="00770BB1">
      <w:pPr>
        <w:pStyle w:val="Citas"/>
        <w:spacing w:line="240" w:lineRule="auto"/>
        <w:ind w:right="423"/>
        <w:rPr>
          <w:lang w:val="es-ES"/>
        </w:rPr>
      </w:pPr>
      <w:r w:rsidRPr="00770BB1">
        <w:rPr>
          <w:lang w:val="es-ES"/>
        </w:rPr>
        <w:lastRenderedPageBreak/>
        <w:t xml:space="preserve">c) Documento oficial comprobatorio de su último grado de estudios. </w:t>
      </w:r>
    </w:p>
    <w:p w14:paraId="70F4A784" w14:textId="0EC03060" w:rsidR="00770BB1" w:rsidRPr="00770BB1" w:rsidRDefault="00770BB1" w:rsidP="00770BB1">
      <w:pPr>
        <w:pStyle w:val="Citas"/>
        <w:spacing w:line="240" w:lineRule="auto"/>
        <w:ind w:right="423"/>
        <w:rPr>
          <w:lang w:val="es-ES"/>
        </w:rPr>
      </w:pPr>
      <w:r w:rsidRPr="00770BB1">
        <w:rPr>
          <w:lang w:val="es-ES"/>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770BB1">
        <w:rPr>
          <w:b/>
          <w:lang w:val="es-ES"/>
        </w:rPr>
        <w:t>,</w:t>
      </w:r>
      <w:r w:rsidRPr="00770BB1">
        <w:rPr>
          <w:lang w:val="es-ES"/>
        </w:rPr>
        <w:t xml:space="preserve"> y se ponga a disposición de la parte Recurrente, en términos de los artículos 49, fracción VIII,  de la Ley de Transparencia y Acceso a la Información Pública del Estado de México y Municipios.</w:t>
      </w:r>
    </w:p>
    <w:p w14:paraId="6C3F2ADE" w14:textId="7E0C8692" w:rsidR="00A62EE1" w:rsidRPr="00770BB1" w:rsidRDefault="00770BB1" w:rsidP="00770BB1">
      <w:pPr>
        <w:pStyle w:val="Citas"/>
        <w:spacing w:line="240" w:lineRule="auto"/>
        <w:ind w:right="423"/>
        <w:rPr>
          <w:lang w:val="es-ES"/>
        </w:rPr>
      </w:pPr>
      <w:r w:rsidRPr="00770BB1">
        <w:rPr>
          <w:lang w:val="es-ES"/>
        </w:rPr>
        <w:t xml:space="preserve">Para el caso de que la información que se ordena entregar en el inciso c) no obre en los archivos del Sujeto Obligado, por no haberse poseído o administrado, este deberá hacerlo del conocimiento del Particular en términos del artículo 19, párrafo segundo, de la Ley de Transparencia y Acceso a la Información Pública del Estado de México y Municipios, para tenerse por colmado dicho requerimiento. </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51F44728" w14:textId="77777777" w:rsidR="00C37B1B" w:rsidRPr="00C37B1B" w:rsidRDefault="00C37B1B" w:rsidP="00C37B1B">
      <w:pPr>
        <w:pStyle w:val="Sinespaciado"/>
        <w:rPr>
          <w:lang w:val="es-ES_tradnl"/>
        </w:rPr>
      </w:pPr>
    </w:p>
    <w:p w14:paraId="5D235913" w14:textId="4BC1F674" w:rsidR="00D47F69" w:rsidRDefault="0019061A" w:rsidP="00A62EE1">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w:t>
      </w:r>
      <w:r w:rsidR="001232FA">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w:t>
      </w:r>
      <w:r w:rsidR="008C04DB">
        <w:rPr>
          <w:rFonts w:ascii="Palatino Linotype" w:hAnsi="Palatino Linotype"/>
          <w:sz w:val="23"/>
          <w:szCs w:val="23"/>
        </w:rPr>
        <w:t>a</w:t>
      </w:r>
      <w:r w:rsidR="00235E50">
        <w:rPr>
          <w:rFonts w:ascii="Palatino Linotype" w:hAnsi="Palatino Linotype"/>
          <w:sz w:val="23"/>
          <w:szCs w:val="23"/>
        </w:rPr>
        <w:t>l</w:t>
      </w:r>
      <w:r w:rsidR="00990621">
        <w:rPr>
          <w:rFonts w:ascii="Palatino Linotype" w:hAnsi="Palatino Linotype"/>
          <w:sz w:val="23"/>
          <w:szCs w:val="23"/>
        </w:rPr>
        <w:t xml:space="preserve"> </w:t>
      </w:r>
      <w:r w:rsidR="00F20438">
        <w:rPr>
          <w:rFonts w:ascii="Palatino Linotype" w:hAnsi="Palatino Linotype"/>
          <w:sz w:val="23"/>
          <w:szCs w:val="23"/>
        </w:rPr>
        <w:t>d</w:t>
      </w:r>
      <w:r w:rsidR="00F20438" w:rsidRPr="00F20438">
        <w:rPr>
          <w:rFonts w:ascii="Palatino Linotype" w:hAnsi="Palatino Linotype"/>
          <w:sz w:val="23"/>
          <w:szCs w:val="23"/>
        </w:rPr>
        <w:t xml:space="preserve">ocumento </w:t>
      </w:r>
      <w:r w:rsidR="00770BB1" w:rsidRPr="00770BB1">
        <w:rPr>
          <w:rFonts w:ascii="Palatino Linotype" w:hAnsi="Palatino Linotype"/>
          <w:sz w:val="23"/>
          <w:szCs w:val="23"/>
        </w:rPr>
        <w:t>oficial comprobatorio de</w:t>
      </w:r>
      <w:r w:rsidR="00770BB1">
        <w:rPr>
          <w:rFonts w:ascii="Palatino Linotype" w:hAnsi="Palatino Linotype"/>
          <w:sz w:val="23"/>
          <w:szCs w:val="23"/>
        </w:rPr>
        <w:t>l</w:t>
      </w:r>
      <w:r w:rsidR="00770BB1" w:rsidRPr="00770BB1">
        <w:rPr>
          <w:rFonts w:ascii="Palatino Linotype" w:hAnsi="Palatino Linotype"/>
          <w:sz w:val="23"/>
          <w:szCs w:val="23"/>
        </w:rPr>
        <w:t xml:space="preserve"> último grado de estudios</w:t>
      </w:r>
      <w:r w:rsidR="00B11DF6">
        <w:rPr>
          <w:rFonts w:ascii="Palatino Linotype" w:hAnsi="Palatino Linotype"/>
          <w:sz w:val="23"/>
          <w:szCs w:val="23"/>
        </w:rPr>
        <w:t xml:space="preserve"> d</w:t>
      </w:r>
      <w:r w:rsidR="00B11DF6" w:rsidRPr="00B11DF6">
        <w:rPr>
          <w:rFonts w:ascii="Palatino Linotype" w:hAnsi="Palatino Linotype"/>
          <w:sz w:val="23"/>
          <w:szCs w:val="23"/>
        </w:rPr>
        <w:t>el Titular de la Unidad de Transparencia en funciones al veinticuatro de mayo de dos mil veinticuatro</w:t>
      </w:r>
      <w:r w:rsidR="00235E50" w:rsidRPr="00235E50">
        <w:rPr>
          <w:rFonts w:ascii="Palatino Linotype" w:hAnsi="Palatino Linotype"/>
          <w:sz w:val="23"/>
          <w:szCs w:val="23"/>
        </w:rPr>
        <w:t>,</w:t>
      </w:r>
      <w:r w:rsidR="00990621">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20B0605" w14:textId="77777777" w:rsidR="00D47F69" w:rsidRDefault="00D47F69" w:rsidP="00A62EE1">
      <w:pPr>
        <w:spacing w:after="0" w:line="360" w:lineRule="auto"/>
        <w:jc w:val="both"/>
        <w:rPr>
          <w:rFonts w:ascii="Palatino Linotype" w:hAnsi="Palatino Linotype"/>
          <w:sz w:val="23"/>
          <w:szCs w:val="23"/>
        </w:rPr>
      </w:pPr>
    </w:p>
    <w:p w14:paraId="66B8F498" w14:textId="3F8CEBF0"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Bajo este contexto, </w:t>
      </w:r>
      <w:r w:rsidRPr="00D47F69">
        <w:rPr>
          <w:rFonts w:ascii="Palatino Linotype" w:hAnsi="Palatino Linotype"/>
          <w:b/>
          <w:bCs/>
          <w:sz w:val="23"/>
          <w:szCs w:val="23"/>
          <w:u w:val="single"/>
          <w:lang w:val="es-ES_tradnl"/>
        </w:rPr>
        <w:t>una vez que han tomado el cargo</w:t>
      </w:r>
      <w:r w:rsidR="00F46FE4">
        <w:rPr>
          <w:rFonts w:ascii="Palatino Linotype" w:hAnsi="Palatino Linotype"/>
          <w:b/>
          <w:bCs/>
          <w:sz w:val="23"/>
          <w:szCs w:val="23"/>
          <w:u w:val="single"/>
          <w:lang w:val="es-ES_tradnl"/>
        </w:rPr>
        <w:t xml:space="preserve"> </w:t>
      </w:r>
      <w:r w:rsidRPr="00D47F69">
        <w:rPr>
          <w:rFonts w:ascii="Palatino Linotype" w:hAnsi="Palatino Linotype"/>
          <w:b/>
          <w:bCs/>
          <w:sz w:val="23"/>
          <w:szCs w:val="23"/>
          <w:u w:val="single"/>
          <w:lang w:val="es-ES_tradnl"/>
        </w:rPr>
        <w:t>ya son considerados como servidores públicos</w:t>
      </w:r>
      <w:r w:rsidRPr="00D47F69">
        <w:rPr>
          <w:rFonts w:ascii="Palatino Linotype" w:hAnsi="Palatino Linotype"/>
          <w:sz w:val="23"/>
          <w:szCs w:val="23"/>
          <w:lang w:val="es-ES_tradnl"/>
        </w:rPr>
        <w:t xml:space="preserve">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608C66DA" w14:textId="77777777" w:rsidR="00D47F69" w:rsidRPr="00D47F69" w:rsidRDefault="00D47F69" w:rsidP="00D47F69">
      <w:pPr>
        <w:spacing w:after="0" w:line="360" w:lineRule="auto"/>
        <w:jc w:val="both"/>
        <w:rPr>
          <w:rFonts w:ascii="Palatino Linotype" w:hAnsi="Palatino Linotype"/>
          <w:b/>
          <w:bCs/>
          <w:sz w:val="23"/>
          <w:szCs w:val="23"/>
          <w:lang w:val="es-ES_tradnl"/>
        </w:rPr>
      </w:pPr>
    </w:p>
    <w:p w14:paraId="4BE8318E" w14:textId="471463E9"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lastRenderedPageBreak/>
        <w:t>Cabe resaltar que ninguna de estas leyes o normas de carácter general, hace distinción entre servidores públicos con cargo de elección popular o de cualquier otra naturaleza, por lo tanto, les resultan aplicables a todos los servidores públicos.</w:t>
      </w:r>
    </w:p>
    <w:p w14:paraId="6B18ADFC" w14:textId="77777777" w:rsidR="00B11DF6" w:rsidRPr="00D47F69" w:rsidRDefault="00B11DF6" w:rsidP="00D47F69">
      <w:pPr>
        <w:spacing w:after="0" w:line="360" w:lineRule="auto"/>
        <w:jc w:val="both"/>
        <w:rPr>
          <w:rFonts w:ascii="Palatino Linotype" w:hAnsi="Palatino Linotype"/>
          <w:sz w:val="23"/>
          <w:szCs w:val="23"/>
          <w:lang w:val="es-ES_tradnl"/>
        </w:rPr>
      </w:pPr>
    </w:p>
    <w:p w14:paraId="25C1E19D" w14:textId="77777777" w:rsidR="00D47F69" w:rsidRPr="00D47F69" w:rsidRDefault="00D47F69" w:rsidP="00D47F69">
      <w:pPr>
        <w:spacing w:after="0" w:line="360" w:lineRule="auto"/>
        <w:jc w:val="both"/>
        <w:rPr>
          <w:rFonts w:ascii="Palatino Linotype" w:hAnsi="Palatino Linotype"/>
          <w:sz w:val="23"/>
          <w:szCs w:val="23"/>
        </w:rPr>
      </w:pPr>
      <w:r w:rsidRPr="00D47F69">
        <w:rPr>
          <w:rFonts w:ascii="Palatino Linotype" w:hAnsi="Palatino Linotype"/>
          <w:sz w:val="23"/>
          <w:szCs w:val="23"/>
          <w:lang w:val="es-ES_tradnl"/>
        </w:rPr>
        <w:t>L</w:t>
      </w:r>
      <w:r w:rsidRPr="00D47F69">
        <w:rPr>
          <w:rFonts w:ascii="Palatino Linotype" w:hAnsi="Palatino Linotype"/>
          <w:sz w:val="23"/>
          <w:szCs w:val="23"/>
        </w:rPr>
        <w:t>a fracción XXI, del artículo 92, de la Ley de Transparencia y Acceso a la Información Pública del Estado de México y Municipios, que a la letra indica:</w:t>
      </w:r>
    </w:p>
    <w:p w14:paraId="19F91363" w14:textId="77777777" w:rsidR="00D47F69" w:rsidRPr="00D47F69" w:rsidRDefault="00D47F69" w:rsidP="00D47F69">
      <w:pPr>
        <w:spacing w:after="0" w:line="360" w:lineRule="auto"/>
        <w:jc w:val="both"/>
        <w:rPr>
          <w:rFonts w:ascii="Palatino Linotype" w:hAnsi="Palatino Linotype"/>
          <w:sz w:val="23"/>
          <w:szCs w:val="23"/>
          <w:lang w:val="es-ES_tradnl"/>
        </w:rPr>
      </w:pPr>
    </w:p>
    <w:p w14:paraId="03697E28" w14:textId="77777777" w:rsidR="00D47F69" w:rsidRPr="00D47F69" w:rsidRDefault="00D47F69" w:rsidP="00D47F69">
      <w:pPr>
        <w:spacing w:after="0" w:line="240" w:lineRule="auto"/>
        <w:ind w:left="567" w:right="423"/>
        <w:jc w:val="both"/>
        <w:rPr>
          <w:rFonts w:ascii="Palatino Linotype" w:hAnsi="Palatino Linotype"/>
          <w:i/>
          <w:sz w:val="23"/>
          <w:szCs w:val="23"/>
          <w:lang w:val="es-ES_tradnl"/>
        </w:rPr>
      </w:pPr>
      <w:r w:rsidRPr="00D47F69">
        <w:rPr>
          <w:rFonts w:ascii="Palatino Linotype" w:hAnsi="Palatino Linotype"/>
          <w:i/>
          <w:sz w:val="23"/>
          <w:szCs w:val="23"/>
          <w:lang w:val="es-ES_tradnl"/>
        </w:rPr>
        <w:t>“</w:t>
      </w:r>
      <w:r w:rsidRPr="00D47F69">
        <w:rPr>
          <w:rFonts w:ascii="Palatino Linotype" w:hAnsi="Palatino Linotype"/>
          <w:b/>
          <w:i/>
          <w:sz w:val="23"/>
          <w:szCs w:val="23"/>
          <w:lang w:val="es-ES_tradnl"/>
        </w:rPr>
        <w:t>Artículo 92</w:t>
      </w:r>
      <w:r w:rsidRPr="00D47F69">
        <w:rPr>
          <w:rFonts w:ascii="Palatino Linotype" w:hAnsi="Palatino Linotype"/>
          <w:i/>
          <w:sz w:val="23"/>
          <w:szCs w:val="23"/>
          <w:lang w:val="es-ES_tradnl"/>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119790F" w14:textId="77777777" w:rsidR="00D47F69" w:rsidRPr="00D47F69" w:rsidRDefault="00D47F69" w:rsidP="00D47F69">
      <w:pPr>
        <w:spacing w:after="0" w:line="240" w:lineRule="auto"/>
        <w:ind w:left="567" w:right="423"/>
        <w:jc w:val="both"/>
        <w:rPr>
          <w:rFonts w:ascii="Palatino Linotype" w:hAnsi="Palatino Linotype"/>
          <w:i/>
          <w:sz w:val="23"/>
          <w:szCs w:val="23"/>
          <w:lang w:val="es-ES_tradnl"/>
        </w:rPr>
      </w:pPr>
      <w:r w:rsidRPr="00D47F69">
        <w:rPr>
          <w:rFonts w:ascii="Palatino Linotype" w:hAnsi="Palatino Linotype"/>
          <w:i/>
          <w:sz w:val="23"/>
          <w:szCs w:val="23"/>
          <w:lang w:val="es-ES_tradnl"/>
        </w:rPr>
        <w:t>(…)</w:t>
      </w:r>
    </w:p>
    <w:p w14:paraId="4945F496" w14:textId="77777777" w:rsidR="00D47F69" w:rsidRPr="00D47F69" w:rsidRDefault="00D47F69" w:rsidP="00D47F69">
      <w:pPr>
        <w:spacing w:after="0" w:line="240" w:lineRule="auto"/>
        <w:ind w:left="567" w:right="423"/>
        <w:jc w:val="both"/>
        <w:rPr>
          <w:rFonts w:ascii="Palatino Linotype" w:hAnsi="Palatino Linotype"/>
          <w:i/>
          <w:sz w:val="23"/>
          <w:szCs w:val="23"/>
          <w:lang w:val="es-ES_tradnl"/>
        </w:rPr>
      </w:pPr>
      <w:r w:rsidRPr="00D47F69">
        <w:rPr>
          <w:rFonts w:ascii="Palatino Linotype" w:hAnsi="Palatino Linotype"/>
          <w:b/>
          <w:i/>
          <w:sz w:val="23"/>
          <w:szCs w:val="23"/>
          <w:lang w:val="es-ES_tradnl"/>
        </w:rPr>
        <w:t>XXI.</w:t>
      </w:r>
      <w:r w:rsidRPr="00D47F69">
        <w:rPr>
          <w:rFonts w:ascii="Palatino Linotype" w:hAnsi="Palatino Linotype"/>
          <w:i/>
          <w:sz w:val="23"/>
          <w:szCs w:val="23"/>
          <w:lang w:val="es-ES_tradnl"/>
        </w:rPr>
        <w:t xml:space="preserve"> </w:t>
      </w:r>
      <w:r w:rsidRPr="00D47F69">
        <w:rPr>
          <w:rFonts w:ascii="Palatino Linotype" w:hAnsi="Palatino Linotype"/>
          <w:b/>
          <w:i/>
          <w:sz w:val="23"/>
          <w:szCs w:val="23"/>
          <w:u w:val="single"/>
          <w:lang w:val="es-ES_tradnl"/>
        </w:rPr>
        <w:t>La información curricular, desde el nivel de jefe de departamento o equivalente, hasta el titular del sujeto obligado</w:t>
      </w:r>
      <w:r w:rsidRPr="00D47F69">
        <w:rPr>
          <w:rFonts w:ascii="Palatino Linotype" w:hAnsi="Palatino Linotype"/>
          <w:i/>
          <w:sz w:val="23"/>
          <w:szCs w:val="23"/>
          <w:lang w:val="es-ES_tradnl"/>
        </w:rPr>
        <w:t>, así como, en su caso, las sanciones administrativas de que haya sido objeto;</w:t>
      </w:r>
    </w:p>
    <w:p w14:paraId="1BC50AEB" w14:textId="77777777" w:rsidR="00D47F69" w:rsidRPr="00D47F69" w:rsidRDefault="00D47F69" w:rsidP="00D47F69">
      <w:pPr>
        <w:spacing w:after="0" w:line="240" w:lineRule="auto"/>
        <w:ind w:left="567" w:right="423"/>
        <w:jc w:val="both"/>
        <w:rPr>
          <w:rFonts w:ascii="Palatino Linotype" w:hAnsi="Palatino Linotype"/>
          <w:i/>
          <w:sz w:val="23"/>
          <w:szCs w:val="23"/>
          <w:lang w:val="es-ES_tradnl"/>
        </w:rPr>
      </w:pPr>
      <w:r w:rsidRPr="00D47F69">
        <w:rPr>
          <w:rFonts w:ascii="Palatino Linotype" w:hAnsi="Palatino Linotype"/>
          <w:i/>
          <w:sz w:val="23"/>
          <w:szCs w:val="23"/>
          <w:lang w:val="es-ES_tradnl"/>
        </w:rPr>
        <w:t>(…)” (Sic)</w:t>
      </w:r>
    </w:p>
    <w:p w14:paraId="714091F0" w14:textId="77777777" w:rsidR="00D47F69" w:rsidRPr="00D47F69" w:rsidRDefault="00D47F69" w:rsidP="00D47F69">
      <w:pPr>
        <w:spacing w:after="0" w:line="360" w:lineRule="auto"/>
        <w:jc w:val="both"/>
        <w:rPr>
          <w:rFonts w:ascii="Palatino Linotype" w:hAnsi="Palatino Linotype"/>
          <w:sz w:val="23"/>
          <w:szCs w:val="23"/>
          <w:lang w:val="es-ES_tradnl"/>
        </w:rPr>
      </w:pPr>
    </w:p>
    <w:p w14:paraId="071A78F9" w14:textId="2CD78154"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Por tratarse de una obligación de transparencia común, los sujetos obligados deben poner a disposición del público en su portal de IPOMEX el grado escolar, mismo que se encuentra inmerso en la información curricular de sus servidores públicos, ya que con ello cumple con la finalidad de enaltecer los principios de máxima publicidad, transparencia y certeza; más como se aprecia en el dispositivo legal antes invocado solamente están constreñidos a tener la información curricular desde el nivel de jefe de departamento o equivalente; por lo que aunque esta información no es generada por los sujetos obligados, sí la posee y debe obrar en sus archivos.</w:t>
      </w:r>
    </w:p>
    <w:p w14:paraId="1D9F915F" w14:textId="77777777"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lastRenderedPageBreak/>
        <w:t>Aunado a lo anterior, las obligaciones de transparencia comunes tienen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0D98A3BC" w14:textId="77777777" w:rsidR="00D47F69" w:rsidRPr="00D47F69" w:rsidRDefault="00D47F69" w:rsidP="00D47F69">
      <w:pPr>
        <w:spacing w:after="0" w:line="360" w:lineRule="auto"/>
        <w:jc w:val="both"/>
        <w:rPr>
          <w:rFonts w:ascii="Palatino Linotype" w:hAnsi="Palatino Linotype"/>
          <w:sz w:val="23"/>
          <w:szCs w:val="23"/>
          <w:lang w:val="es-ES_tradnl"/>
        </w:rPr>
      </w:pPr>
    </w:p>
    <w:p w14:paraId="33CE1BF2" w14:textId="77777777"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Adicionalmente, con relación a la obligación de transparencia común en cita, se destaca que los </w:t>
      </w:r>
      <w:r w:rsidRPr="00D47F69">
        <w:rPr>
          <w:rFonts w:ascii="Palatino Linotype" w:hAnsi="Palatino Linotype"/>
          <w:bCs/>
          <w:sz w:val="23"/>
          <w:szCs w:val="23"/>
          <w:lang w:val="es-ES_tradnl"/>
        </w:rPr>
        <w:t xml:space="preserve"> </w:t>
      </w:r>
      <w:r w:rsidRPr="00D47F69">
        <w:rPr>
          <w:rFonts w:ascii="Palatino Linotype" w:hAnsi="Palatino Linotype"/>
          <w:sz w:val="23"/>
          <w:szCs w:val="23"/>
          <w:lang w:val="es-ES_tradnl"/>
        </w:rPr>
        <w:t>“</w:t>
      </w:r>
      <w:r w:rsidRPr="00D47F69">
        <w:rPr>
          <w:rFonts w:ascii="Palatino Linotype" w:hAnsi="Palatino Linotype"/>
          <w:b/>
          <w:bCs/>
          <w:i/>
          <w:iCs/>
          <w:sz w:val="23"/>
          <w:szCs w:val="23"/>
          <w:lang w:val="es-ES_tradnl"/>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D47F69">
        <w:rPr>
          <w:rFonts w:ascii="Palatino Linotype" w:hAnsi="Palatino Linotype"/>
          <w:sz w:val="23"/>
          <w:szCs w:val="23"/>
          <w:lang w:val="es-ES_tradnl"/>
        </w:rPr>
        <w:t xml:space="preserve"> engloban como criterios sustantivos de contenido los relativos a:</w:t>
      </w:r>
    </w:p>
    <w:p w14:paraId="699C46C3" w14:textId="77777777" w:rsidR="00D47F69" w:rsidRPr="00D47F69" w:rsidRDefault="00D47F69" w:rsidP="00D47F69">
      <w:pPr>
        <w:spacing w:after="0" w:line="360" w:lineRule="auto"/>
        <w:jc w:val="both"/>
        <w:rPr>
          <w:rFonts w:ascii="Palatino Linotype" w:hAnsi="Palatino Linotype"/>
          <w:sz w:val="23"/>
          <w:szCs w:val="23"/>
          <w:lang w:val="es-ES_tradnl"/>
        </w:rPr>
      </w:pPr>
    </w:p>
    <w:p w14:paraId="0512D2AF" w14:textId="77777777" w:rsidR="00D47F69" w:rsidRDefault="00D47F69" w:rsidP="00D47F69">
      <w:pPr>
        <w:spacing w:after="0" w:line="240" w:lineRule="auto"/>
        <w:ind w:left="567" w:right="706"/>
        <w:jc w:val="both"/>
        <w:rPr>
          <w:rFonts w:ascii="Palatino Linotype" w:hAnsi="Palatino Linotype"/>
          <w:i/>
          <w:sz w:val="23"/>
          <w:szCs w:val="23"/>
        </w:rPr>
      </w:pPr>
      <w:r w:rsidRPr="00D47F69">
        <w:rPr>
          <w:rFonts w:ascii="Palatino Linotype" w:hAnsi="Palatino Linotype"/>
          <w:i/>
          <w:sz w:val="23"/>
          <w:szCs w:val="23"/>
        </w:rPr>
        <w:t xml:space="preserve">“Respecto a la información curricular del (la) servidor(a) público(a) y/o persona que desempeñe un empleo, cargo o comisión en el sujeto obligado se deberá publicar: </w:t>
      </w:r>
    </w:p>
    <w:p w14:paraId="30FC4890" w14:textId="77777777" w:rsidR="00D47F69" w:rsidRPr="00D47F69" w:rsidRDefault="00D47F69" w:rsidP="00D47F69">
      <w:pPr>
        <w:spacing w:after="0" w:line="240" w:lineRule="auto"/>
        <w:ind w:left="567" w:right="706"/>
        <w:jc w:val="both"/>
        <w:rPr>
          <w:rFonts w:ascii="Palatino Linotype" w:hAnsi="Palatino Linotype"/>
          <w:i/>
          <w:sz w:val="23"/>
          <w:szCs w:val="23"/>
        </w:rPr>
      </w:pPr>
    </w:p>
    <w:p w14:paraId="3E2926CA" w14:textId="6B80CAE1" w:rsidR="00D47F69" w:rsidRPr="00D47F69" w:rsidRDefault="00D47F69" w:rsidP="00D47F69">
      <w:pPr>
        <w:spacing w:after="0" w:line="240" w:lineRule="auto"/>
        <w:ind w:left="567" w:right="706"/>
        <w:jc w:val="both"/>
        <w:rPr>
          <w:rFonts w:ascii="Palatino Linotype" w:hAnsi="Palatino Linotype"/>
          <w:b/>
          <w:bCs/>
          <w:i/>
          <w:sz w:val="23"/>
          <w:szCs w:val="23"/>
          <w:u w:val="single"/>
        </w:rPr>
      </w:pPr>
      <w:r w:rsidRPr="00D47F69">
        <w:rPr>
          <w:rFonts w:ascii="Palatino Linotype" w:hAnsi="Palatino Linotype"/>
          <w:b/>
          <w:bCs/>
          <w:i/>
          <w:sz w:val="23"/>
          <w:szCs w:val="23"/>
          <w:u w:val="single"/>
        </w:rPr>
        <w:t>Criterio 7 Escolaridad, nivel máximo de estudios concluido y comprobable (catálogo): Ninguno/Primaria/Secundaria/Bachillerato/Carrera técnica</w:t>
      </w:r>
      <w:r>
        <w:rPr>
          <w:rFonts w:ascii="Palatino Linotype" w:hAnsi="Palatino Linotype"/>
          <w:b/>
          <w:bCs/>
          <w:i/>
          <w:sz w:val="23"/>
          <w:szCs w:val="23"/>
          <w:u w:val="single"/>
        </w:rPr>
        <w:t xml:space="preserve"> </w:t>
      </w:r>
      <w:r w:rsidRPr="00D47F69">
        <w:rPr>
          <w:rFonts w:ascii="Palatino Linotype" w:hAnsi="Palatino Linotype"/>
          <w:b/>
          <w:bCs/>
          <w:i/>
          <w:sz w:val="23"/>
          <w:szCs w:val="23"/>
          <w:u w:val="single"/>
        </w:rPr>
        <w:t>/ Licenciatura / Maestría / Doctorado / Posdoctorado / Especialización</w:t>
      </w:r>
    </w:p>
    <w:p w14:paraId="029DE26A" w14:textId="77777777" w:rsidR="00D47F69" w:rsidRDefault="00D47F69" w:rsidP="00D47F69">
      <w:pPr>
        <w:spacing w:after="0" w:line="240" w:lineRule="auto"/>
        <w:ind w:left="567" w:right="706"/>
        <w:jc w:val="both"/>
        <w:rPr>
          <w:rFonts w:ascii="Palatino Linotype" w:hAnsi="Palatino Linotype"/>
          <w:b/>
          <w:bCs/>
          <w:i/>
          <w:sz w:val="23"/>
          <w:szCs w:val="23"/>
          <w:u w:val="single"/>
        </w:rPr>
      </w:pPr>
    </w:p>
    <w:p w14:paraId="6BD89CCE" w14:textId="628932D4" w:rsidR="00D47F69" w:rsidRPr="00B11DF6" w:rsidRDefault="00D47F69" w:rsidP="00B11DF6">
      <w:pPr>
        <w:spacing w:after="0" w:line="240" w:lineRule="auto"/>
        <w:ind w:left="567" w:right="706"/>
        <w:jc w:val="both"/>
        <w:rPr>
          <w:rFonts w:ascii="Palatino Linotype" w:hAnsi="Palatino Linotype"/>
          <w:b/>
          <w:bCs/>
          <w:i/>
          <w:sz w:val="23"/>
          <w:szCs w:val="23"/>
          <w:u w:val="single"/>
        </w:rPr>
      </w:pPr>
      <w:r w:rsidRPr="00D47F69">
        <w:rPr>
          <w:rFonts w:ascii="Palatino Linotype" w:hAnsi="Palatino Linotype"/>
          <w:b/>
          <w:bCs/>
          <w:i/>
          <w:sz w:val="23"/>
          <w:szCs w:val="23"/>
          <w:u w:val="single"/>
        </w:rPr>
        <w:t xml:space="preserve">Criterio 8 Carrera genérica, en su </w:t>
      </w:r>
      <w:proofErr w:type="gramStart"/>
      <w:r w:rsidRPr="00D47F69">
        <w:rPr>
          <w:rFonts w:ascii="Palatino Linotype" w:hAnsi="Palatino Linotype"/>
          <w:b/>
          <w:bCs/>
          <w:i/>
          <w:sz w:val="23"/>
          <w:szCs w:val="23"/>
          <w:u w:val="single"/>
        </w:rPr>
        <w:t>caso</w:t>
      </w:r>
      <w:r w:rsidRPr="00D47F69">
        <w:rPr>
          <w:rFonts w:ascii="Palatino Linotype" w:hAnsi="Palatino Linotype"/>
          <w:i/>
          <w:sz w:val="23"/>
          <w:szCs w:val="23"/>
        </w:rPr>
        <w:t>(</w:t>
      </w:r>
      <w:proofErr w:type="gramEnd"/>
      <w:r w:rsidRPr="00D47F69">
        <w:rPr>
          <w:rFonts w:ascii="Palatino Linotype" w:hAnsi="Palatino Linotype"/>
          <w:i/>
          <w:sz w:val="23"/>
          <w:szCs w:val="23"/>
        </w:rPr>
        <w:t xml:space="preserve">…)” </w:t>
      </w:r>
      <w:r w:rsidRPr="00D47F69">
        <w:rPr>
          <w:rFonts w:ascii="Palatino Linotype" w:hAnsi="Palatino Linotype"/>
          <w:b/>
          <w:bCs/>
          <w:i/>
          <w:sz w:val="23"/>
          <w:szCs w:val="23"/>
        </w:rPr>
        <w:t xml:space="preserve">(Sic) </w:t>
      </w:r>
    </w:p>
    <w:p w14:paraId="42FA05A4" w14:textId="77777777" w:rsidR="00D47F69" w:rsidRDefault="00D47F69" w:rsidP="00D47F69">
      <w:pPr>
        <w:spacing w:after="0" w:line="360" w:lineRule="auto"/>
        <w:jc w:val="both"/>
        <w:rPr>
          <w:rFonts w:ascii="Palatino Linotype" w:hAnsi="Palatino Linotype"/>
          <w:sz w:val="23"/>
          <w:szCs w:val="23"/>
        </w:rPr>
      </w:pPr>
    </w:p>
    <w:p w14:paraId="70047ADA" w14:textId="2B53A552" w:rsidR="00D47F69" w:rsidRPr="00D47F69" w:rsidRDefault="00D47F69" w:rsidP="00D47F69">
      <w:pPr>
        <w:spacing w:after="0" w:line="360" w:lineRule="auto"/>
        <w:jc w:val="both"/>
        <w:rPr>
          <w:rFonts w:ascii="Palatino Linotype" w:hAnsi="Palatino Linotype"/>
          <w:b/>
          <w:bCs/>
          <w:sz w:val="23"/>
          <w:szCs w:val="23"/>
          <w:u w:val="single"/>
          <w:lang w:val="es-ES"/>
        </w:rPr>
      </w:pPr>
      <w:r w:rsidRPr="00D47F69">
        <w:rPr>
          <w:rFonts w:ascii="Palatino Linotype" w:hAnsi="Palatino Linotype"/>
          <w:sz w:val="23"/>
          <w:szCs w:val="23"/>
        </w:rPr>
        <w:t>L</w:t>
      </w:r>
      <w:r w:rsidRPr="00D47F69">
        <w:rPr>
          <w:rFonts w:ascii="Palatino Linotype" w:hAnsi="Palatino Linotype"/>
          <w:sz w:val="23"/>
          <w:szCs w:val="23"/>
          <w:lang w:val="es-ES"/>
        </w:rPr>
        <w:t xml:space="preserve">os Lineamientos antes mencionados refieren que la información curricular que se publica como obligación de transparencia común debe referir </w:t>
      </w:r>
      <w:r w:rsidRPr="00D47F69">
        <w:rPr>
          <w:rFonts w:ascii="Palatino Linotype" w:hAnsi="Palatino Linotype"/>
          <w:i/>
          <w:iCs/>
          <w:sz w:val="23"/>
          <w:szCs w:val="23"/>
          <w:lang w:val="es-ES"/>
        </w:rPr>
        <w:t>“</w:t>
      </w:r>
      <w:r w:rsidRPr="00D47F69">
        <w:rPr>
          <w:rFonts w:ascii="Palatino Linotype" w:hAnsi="Palatino Linotype"/>
          <w:b/>
          <w:bCs/>
          <w:i/>
          <w:iCs/>
          <w:sz w:val="23"/>
          <w:szCs w:val="23"/>
          <w:lang w:val="es-ES_tradnl"/>
        </w:rPr>
        <w:t xml:space="preserve">Escolaridad, nivel </w:t>
      </w:r>
      <w:r w:rsidRPr="00D47F69">
        <w:rPr>
          <w:rFonts w:ascii="Palatino Linotype" w:hAnsi="Palatino Linotype"/>
          <w:b/>
          <w:bCs/>
          <w:i/>
          <w:iCs/>
          <w:sz w:val="23"/>
          <w:szCs w:val="23"/>
          <w:lang w:val="es-ES_tradnl"/>
        </w:rPr>
        <w:lastRenderedPageBreak/>
        <w:t>máximo de estudios concluido y comprobable…”</w:t>
      </w:r>
      <w:r w:rsidRPr="00D47F69">
        <w:rPr>
          <w:rFonts w:ascii="Palatino Linotype" w:hAnsi="Palatino Linotype"/>
          <w:b/>
          <w:bCs/>
          <w:sz w:val="23"/>
          <w:szCs w:val="23"/>
          <w:lang w:val="es-ES_tradnl"/>
        </w:rPr>
        <w:t xml:space="preserve">  </w:t>
      </w:r>
      <w:r w:rsidRPr="00D47F69">
        <w:rPr>
          <w:rFonts w:ascii="Palatino Linotype" w:hAnsi="Palatino Linotype"/>
          <w:b/>
          <w:bCs/>
          <w:sz w:val="23"/>
          <w:szCs w:val="23"/>
          <w:u w:val="single"/>
          <w:lang w:val="es-ES_tradnl"/>
        </w:rPr>
        <w:t xml:space="preserve">entonces debe obrar en sus archivos el documento que compruebe la escolaridad, nivel máximo de estudios y por tanto </w:t>
      </w:r>
      <w:r w:rsidRPr="00D47F69">
        <w:rPr>
          <w:rFonts w:ascii="Palatino Linotype" w:hAnsi="Palatino Linotype"/>
          <w:b/>
          <w:bCs/>
          <w:sz w:val="23"/>
          <w:szCs w:val="23"/>
          <w:u w:val="single"/>
          <w:lang w:val="es-ES"/>
        </w:rPr>
        <w:t>el Sujeto Obligado deberá proporcionarlo.</w:t>
      </w:r>
    </w:p>
    <w:p w14:paraId="76E9EC50" w14:textId="77777777" w:rsidR="00D47F69" w:rsidRPr="00D47F69" w:rsidRDefault="00D47F69" w:rsidP="00D47F69">
      <w:pPr>
        <w:spacing w:after="0" w:line="360" w:lineRule="auto"/>
        <w:jc w:val="both"/>
        <w:rPr>
          <w:rFonts w:ascii="Palatino Linotype" w:hAnsi="Palatino Linotype"/>
          <w:sz w:val="23"/>
          <w:szCs w:val="23"/>
          <w:lang w:val="es-ES"/>
        </w:rPr>
      </w:pPr>
    </w:p>
    <w:p w14:paraId="4A0760D5" w14:textId="38308A8F" w:rsidR="00D47F69" w:rsidRPr="00D47F69" w:rsidRDefault="00D47F69" w:rsidP="00D47F69">
      <w:pPr>
        <w:spacing w:after="0" w:line="360" w:lineRule="auto"/>
        <w:jc w:val="both"/>
        <w:rPr>
          <w:rFonts w:ascii="Palatino Linotype" w:hAnsi="Palatino Linotype"/>
          <w:sz w:val="23"/>
          <w:szCs w:val="23"/>
        </w:rPr>
      </w:pPr>
      <w:r w:rsidRPr="00D47F69">
        <w:rPr>
          <w:rFonts w:ascii="Palatino Linotype" w:hAnsi="Palatino Linotype"/>
          <w:sz w:val="23"/>
          <w:szCs w:val="23"/>
        </w:rPr>
        <w:t xml:space="preserve">Por tanto, se concluye que </w:t>
      </w:r>
      <w:bookmarkStart w:id="0" w:name="_Hlk127304072"/>
      <w:r w:rsidRPr="00D47F69">
        <w:rPr>
          <w:rFonts w:ascii="Palatino Linotype" w:hAnsi="Palatino Linotype"/>
          <w:sz w:val="23"/>
          <w:szCs w:val="23"/>
        </w:rPr>
        <w:t xml:space="preserve">el grado escolar, se encuentra inmerso en la información curricular de los </w:t>
      </w:r>
      <w:bookmarkEnd w:id="0"/>
      <w:r w:rsidRPr="00D47F69">
        <w:rPr>
          <w:rFonts w:ascii="Palatino Linotype" w:hAnsi="Palatino Linotype"/>
          <w:sz w:val="23"/>
          <w:szCs w:val="23"/>
        </w:rPr>
        <w:t>servidores públicos adscritos al</w:t>
      </w:r>
      <w:r>
        <w:rPr>
          <w:rFonts w:ascii="Palatino Linotype" w:hAnsi="Palatino Linotype"/>
          <w:b/>
          <w:bCs/>
          <w:sz w:val="23"/>
          <w:szCs w:val="23"/>
        </w:rPr>
        <w:t xml:space="preserve"> Sujeto Obligado</w:t>
      </w:r>
      <w:r w:rsidRPr="00D47F69">
        <w:rPr>
          <w:rFonts w:ascii="Palatino Linotype" w:hAnsi="Palatino Linotype"/>
          <w:b/>
          <w:bCs/>
          <w:sz w:val="23"/>
          <w:szCs w:val="23"/>
        </w:rPr>
        <w:t xml:space="preserve">, </w:t>
      </w:r>
      <w:r w:rsidRPr="00D47F69">
        <w:rPr>
          <w:rFonts w:ascii="Palatino Linotype" w:hAnsi="Palatino Linotype"/>
          <w:sz w:val="23"/>
          <w:szCs w:val="23"/>
        </w:rPr>
        <w:t>debe hacerse pública en los términos que señala la Ley de la materia, en virtud de que también son considerados como servidores públicos.</w:t>
      </w:r>
    </w:p>
    <w:p w14:paraId="56FE2EBC" w14:textId="77777777" w:rsidR="00D47F69" w:rsidRPr="00D47F69" w:rsidRDefault="00D47F69" w:rsidP="00D47F69">
      <w:pPr>
        <w:spacing w:after="0" w:line="360" w:lineRule="auto"/>
        <w:jc w:val="both"/>
        <w:rPr>
          <w:rFonts w:ascii="Palatino Linotype" w:hAnsi="Palatino Linotype"/>
          <w:b/>
          <w:bCs/>
          <w:sz w:val="23"/>
          <w:szCs w:val="23"/>
        </w:rPr>
      </w:pPr>
    </w:p>
    <w:p w14:paraId="446FDB83" w14:textId="77777777" w:rsidR="00B11DF6"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Atento a lo anterior, se considera que la información curricular, acredita la experiencia académica, de quien ocupe cargos en la administración pública</w:t>
      </w:r>
      <w:r w:rsidR="00F46FE4">
        <w:rPr>
          <w:rFonts w:ascii="Palatino Linotype" w:hAnsi="Palatino Linotype"/>
          <w:sz w:val="23"/>
          <w:szCs w:val="23"/>
          <w:lang w:val="es-ES_tradnl"/>
        </w:rPr>
        <w:t xml:space="preserve"> </w:t>
      </w:r>
      <w:r w:rsidRPr="00D47F69">
        <w:rPr>
          <w:rFonts w:ascii="Palatino Linotype" w:hAnsi="Palatino Linotype"/>
          <w:sz w:val="23"/>
          <w:szCs w:val="23"/>
          <w:lang w:val="es-ES_tradnl"/>
        </w:rPr>
        <w:t xml:space="preserve">y le permitirá al particular conocer con toda certeza y de manera indudable si las personas que se desempeñan en los cargos cuentan con la idoneidad de desempeñarlos y así como la capacidad de desarrollar las actividades y atribuciones que se deriven de este. </w:t>
      </w:r>
    </w:p>
    <w:p w14:paraId="7DC4EE98" w14:textId="77777777" w:rsidR="00B11DF6" w:rsidRDefault="00B11DF6" w:rsidP="00D47F69">
      <w:pPr>
        <w:spacing w:after="0" w:line="360" w:lineRule="auto"/>
        <w:jc w:val="both"/>
        <w:rPr>
          <w:rFonts w:ascii="Palatino Linotype" w:hAnsi="Palatino Linotype"/>
          <w:sz w:val="23"/>
          <w:szCs w:val="23"/>
          <w:lang w:val="es-ES_tradnl"/>
        </w:rPr>
      </w:pPr>
    </w:p>
    <w:p w14:paraId="181ABA20" w14:textId="12450B08"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Elementos indispensables y necesarios para que se encuentre en condiciones plenas de ejercer, de manera informada, su derecho a la libertad de expresión y, en su caso, el control constitucional popular de los actos de gobierno. </w:t>
      </w:r>
    </w:p>
    <w:p w14:paraId="7A400556" w14:textId="77777777" w:rsidR="00D47F69" w:rsidRPr="00D47F69" w:rsidRDefault="00D47F69" w:rsidP="00D47F69">
      <w:pPr>
        <w:spacing w:after="0" w:line="360" w:lineRule="auto"/>
        <w:jc w:val="both"/>
        <w:rPr>
          <w:rFonts w:ascii="Palatino Linotype" w:hAnsi="Palatino Linotype"/>
          <w:sz w:val="23"/>
          <w:szCs w:val="23"/>
          <w:lang w:val="es-ES"/>
        </w:rPr>
      </w:pPr>
    </w:p>
    <w:p w14:paraId="05199E45" w14:textId="77777777" w:rsidR="00D47F69" w:rsidRPr="00D47F69" w:rsidRDefault="00D47F69" w:rsidP="00D47F69">
      <w:pPr>
        <w:spacing w:after="0" w:line="360" w:lineRule="auto"/>
        <w:jc w:val="both"/>
        <w:rPr>
          <w:rFonts w:ascii="Palatino Linotype" w:hAnsi="Palatino Linotype"/>
          <w:sz w:val="23"/>
          <w:szCs w:val="23"/>
          <w:lang w:val="es-ES"/>
        </w:rPr>
      </w:pPr>
      <w:r w:rsidRPr="00D47F69">
        <w:rPr>
          <w:rFonts w:ascii="Palatino Linotype" w:hAnsi="Palatino Linotype"/>
          <w:sz w:val="23"/>
          <w:szCs w:val="23"/>
          <w:lang w:val="es-ES"/>
        </w:rPr>
        <w:t>Ahora bien, el artículo 98, fracción XVII de la Ley del Trabajo de los Servidores Públicos del Estado de México y Municipios</w:t>
      </w:r>
      <w:r w:rsidRPr="00D47F69">
        <w:rPr>
          <w:rFonts w:ascii="Palatino Linotype" w:hAnsi="Palatino Linotype"/>
          <w:b/>
          <w:bCs/>
          <w:sz w:val="23"/>
          <w:szCs w:val="23"/>
          <w:lang w:val="es-ES"/>
        </w:rPr>
        <w:t>,</w:t>
      </w:r>
      <w:r w:rsidRPr="00D47F69">
        <w:rPr>
          <w:rFonts w:ascii="Palatino Linotype" w:hAnsi="Palatino Linotype"/>
          <w:sz w:val="23"/>
          <w:szCs w:val="23"/>
          <w:lang w:val="es-ES"/>
        </w:rPr>
        <w:t xml:space="preserve"> refiere lo siguiente:</w:t>
      </w:r>
    </w:p>
    <w:p w14:paraId="42D97171" w14:textId="77777777" w:rsidR="00D47F69" w:rsidRPr="00D47F69" w:rsidRDefault="00D47F69" w:rsidP="00D47F69">
      <w:pPr>
        <w:spacing w:after="0" w:line="360" w:lineRule="auto"/>
        <w:jc w:val="both"/>
        <w:rPr>
          <w:rFonts w:ascii="Palatino Linotype" w:hAnsi="Palatino Linotype"/>
          <w:sz w:val="23"/>
          <w:szCs w:val="23"/>
          <w:lang w:val="es-ES"/>
        </w:rPr>
      </w:pPr>
    </w:p>
    <w:p w14:paraId="2AE1D49E" w14:textId="77777777" w:rsidR="00D47F69" w:rsidRPr="00D47F69" w:rsidRDefault="00D47F69" w:rsidP="00D47F69">
      <w:pPr>
        <w:spacing w:after="0" w:line="240" w:lineRule="auto"/>
        <w:ind w:left="567" w:right="423"/>
        <w:jc w:val="both"/>
        <w:rPr>
          <w:rFonts w:ascii="Palatino Linotype" w:hAnsi="Palatino Linotype"/>
          <w:b/>
          <w:i/>
          <w:sz w:val="23"/>
          <w:szCs w:val="23"/>
          <w:lang w:val="es-ES"/>
        </w:rPr>
      </w:pPr>
      <w:r w:rsidRPr="00D47F69">
        <w:rPr>
          <w:rFonts w:ascii="Palatino Linotype" w:hAnsi="Palatino Linotype"/>
          <w:b/>
          <w:i/>
          <w:sz w:val="23"/>
          <w:szCs w:val="23"/>
          <w:lang w:val="es-ES"/>
        </w:rPr>
        <w:lastRenderedPageBreak/>
        <w:t>ARTÍCULO 98. Son obligaciones de las instituciones públicas:</w:t>
      </w:r>
    </w:p>
    <w:p w14:paraId="34A67FB3" w14:textId="77777777" w:rsidR="00D47F69" w:rsidRPr="00D47F69" w:rsidRDefault="00D47F69" w:rsidP="00D47F69">
      <w:pPr>
        <w:spacing w:after="0" w:line="240" w:lineRule="auto"/>
        <w:ind w:left="567" w:right="423"/>
        <w:jc w:val="both"/>
        <w:rPr>
          <w:rFonts w:ascii="Palatino Linotype" w:hAnsi="Palatino Linotype"/>
          <w:i/>
          <w:sz w:val="23"/>
          <w:szCs w:val="23"/>
          <w:lang w:val="es-ES"/>
        </w:rPr>
      </w:pPr>
      <w:r w:rsidRPr="00D47F69">
        <w:rPr>
          <w:rFonts w:ascii="Palatino Linotype" w:hAnsi="Palatino Linotype"/>
          <w:i/>
          <w:sz w:val="23"/>
          <w:szCs w:val="23"/>
          <w:lang w:val="es-ES"/>
        </w:rPr>
        <w:t>I al XVI…</w:t>
      </w:r>
    </w:p>
    <w:p w14:paraId="727DC8BF" w14:textId="77777777" w:rsidR="00D47F69" w:rsidRPr="00D47F69" w:rsidRDefault="00D47F69" w:rsidP="00D47F69">
      <w:pPr>
        <w:spacing w:after="0" w:line="240" w:lineRule="auto"/>
        <w:ind w:left="567" w:right="423"/>
        <w:jc w:val="both"/>
        <w:rPr>
          <w:rFonts w:ascii="Palatino Linotype" w:hAnsi="Palatino Linotype"/>
          <w:i/>
          <w:sz w:val="23"/>
          <w:szCs w:val="23"/>
          <w:lang w:val="es-ES"/>
        </w:rPr>
      </w:pPr>
      <w:r w:rsidRPr="00D47F69">
        <w:rPr>
          <w:rFonts w:ascii="Palatino Linotype" w:hAnsi="Palatino Linotype"/>
          <w:i/>
          <w:sz w:val="23"/>
          <w:szCs w:val="23"/>
          <w:lang w:val="es-ES"/>
        </w:rPr>
        <w:t xml:space="preserve">XVII. </w:t>
      </w:r>
      <w:r w:rsidRPr="00D47F69">
        <w:rPr>
          <w:rFonts w:ascii="Palatino Linotype" w:hAnsi="Palatino Linotype"/>
          <w:b/>
          <w:i/>
          <w:sz w:val="23"/>
          <w:szCs w:val="23"/>
          <w:lang w:val="es-ES"/>
        </w:rPr>
        <w:t>Integrar los expedientes de los servidores públicos y</w:t>
      </w:r>
      <w:r w:rsidRPr="00D47F69">
        <w:rPr>
          <w:rFonts w:ascii="Palatino Linotype" w:hAnsi="Palatino Linotype"/>
          <w:i/>
          <w:sz w:val="23"/>
          <w:szCs w:val="23"/>
          <w:lang w:val="es-ES"/>
        </w:rPr>
        <w:t xml:space="preserve"> proporcionar las constancias que éstos soliciten para el trámite de los asuntos de su interés en los términos que señalen los ordenamientos respectivos.</w:t>
      </w:r>
    </w:p>
    <w:p w14:paraId="5E8B359B" w14:textId="77777777" w:rsidR="00D47F69" w:rsidRPr="00D47F69" w:rsidRDefault="00D47F69" w:rsidP="00D47F69">
      <w:pPr>
        <w:spacing w:after="0" w:line="240" w:lineRule="auto"/>
        <w:ind w:left="567" w:right="423"/>
        <w:jc w:val="both"/>
        <w:rPr>
          <w:rFonts w:ascii="Palatino Linotype" w:hAnsi="Palatino Linotype"/>
          <w:i/>
          <w:sz w:val="23"/>
          <w:szCs w:val="23"/>
          <w:lang w:val="es-ES"/>
        </w:rPr>
      </w:pPr>
      <w:r w:rsidRPr="00D47F69">
        <w:rPr>
          <w:rFonts w:ascii="Palatino Linotype" w:hAnsi="Palatino Linotype"/>
          <w:i/>
          <w:sz w:val="23"/>
          <w:szCs w:val="23"/>
          <w:lang w:val="es-ES"/>
        </w:rPr>
        <w:t>XVIII al XXI…</w:t>
      </w:r>
    </w:p>
    <w:p w14:paraId="1D945CA5" w14:textId="77777777" w:rsidR="00D47F69" w:rsidRPr="00D47F69" w:rsidRDefault="00D47F69" w:rsidP="0002785F">
      <w:pPr>
        <w:spacing w:after="0" w:line="240" w:lineRule="auto"/>
        <w:ind w:left="567" w:right="423"/>
        <w:jc w:val="right"/>
        <w:rPr>
          <w:rFonts w:ascii="Palatino Linotype" w:hAnsi="Palatino Linotype"/>
          <w:i/>
          <w:iCs/>
          <w:lang w:val="es-ES_tradnl"/>
        </w:rPr>
      </w:pPr>
      <w:r w:rsidRPr="00D47F69">
        <w:rPr>
          <w:rFonts w:ascii="Palatino Linotype" w:hAnsi="Palatino Linotype"/>
          <w:i/>
          <w:iCs/>
          <w:sz w:val="18"/>
          <w:szCs w:val="18"/>
          <w:lang w:val="es-ES_tradnl"/>
        </w:rPr>
        <w:t>(Énfasis añadido)</w:t>
      </w:r>
    </w:p>
    <w:p w14:paraId="5FB2D78B" w14:textId="77777777" w:rsidR="00D47F69" w:rsidRPr="00D47F69" w:rsidRDefault="00D47F69" w:rsidP="00D47F69">
      <w:pPr>
        <w:spacing w:after="0" w:line="360" w:lineRule="auto"/>
        <w:jc w:val="both"/>
        <w:rPr>
          <w:rFonts w:ascii="Palatino Linotype" w:hAnsi="Palatino Linotype"/>
          <w:sz w:val="23"/>
          <w:szCs w:val="23"/>
          <w:lang w:val="es-ES"/>
        </w:rPr>
      </w:pPr>
    </w:p>
    <w:p w14:paraId="6B03D2C6" w14:textId="1A35C5D9" w:rsidR="00D47F69" w:rsidRPr="00D47F69" w:rsidRDefault="00D47F69" w:rsidP="00D47F69">
      <w:pPr>
        <w:spacing w:after="0" w:line="360" w:lineRule="auto"/>
        <w:jc w:val="both"/>
        <w:rPr>
          <w:rFonts w:ascii="Palatino Linotype" w:hAnsi="Palatino Linotype"/>
          <w:sz w:val="23"/>
          <w:szCs w:val="23"/>
          <w:lang w:val="es-ES"/>
        </w:rPr>
      </w:pPr>
      <w:r w:rsidRPr="00D47F69">
        <w:rPr>
          <w:rFonts w:ascii="Palatino Linotype" w:hAnsi="Palatino Linotype"/>
          <w:sz w:val="23"/>
          <w:szCs w:val="23"/>
          <w:lang w:val="es-ES"/>
        </w:rPr>
        <w:t>Así pues, se advierte que las instituciones públicas tienen la obligación normativa de integrar un expediente de cada servidor público, ya que estas constancias pueden ser usadas en procedimientos judiciales; asimismo, que, dentro de la estructura orgánica del Sujeto Obligado, se cuenta con una Dirección de Administración</w:t>
      </w:r>
      <w:r w:rsidR="00B11DF6">
        <w:rPr>
          <w:rFonts w:ascii="Palatino Linotype" w:hAnsi="Palatino Linotype"/>
          <w:sz w:val="23"/>
          <w:szCs w:val="23"/>
          <w:lang w:val="es-ES"/>
        </w:rPr>
        <w:t xml:space="preserve"> o Coordinación Administrativa</w:t>
      </w:r>
      <w:r w:rsidRPr="00D47F69">
        <w:rPr>
          <w:rFonts w:ascii="Palatino Linotype" w:hAnsi="Palatino Linotype"/>
          <w:sz w:val="23"/>
          <w:szCs w:val="23"/>
          <w:lang w:val="es-ES"/>
        </w:rPr>
        <w:t xml:space="preserve"> que debe contar con la información de las relaciones laborales entre la institución pública y los servidores públicos.</w:t>
      </w:r>
    </w:p>
    <w:p w14:paraId="0CB9E99F" w14:textId="77777777" w:rsidR="00D47F69" w:rsidRPr="00D47F69" w:rsidRDefault="00D47F69" w:rsidP="00D47F69">
      <w:pPr>
        <w:spacing w:after="0" w:line="360" w:lineRule="auto"/>
        <w:jc w:val="both"/>
        <w:rPr>
          <w:rFonts w:ascii="Palatino Linotype" w:hAnsi="Palatino Linotype"/>
          <w:sz w:val="23"/>
          <w:szCs w:val="23"/>
          <w:lang w:val="es-ES_tradnl"/>
        </w:rPr>
      </w:pPr>
    </w:p>
    <w:p w14:paraId="19985B8F" w14:textId="7449B796" w:rsid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Así, se tiene que la Ley del Trabajo de los Servidores Públicos del Estado de México referida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esto es, información que por su naturaleza es pública y que los sujetos obligados  deben poner a disposición del público de manera permanente </w:t>
      </w:r>
      <w:r w:rsidRPr="00D47F69">
        <w:rPr>
          <w:rFonts w:ascii="Palatino Linotype" w:hAnsi="Palatino Linotype"/>
          <w:sz w:val="23"/>
          <w:szCs w:val="23"/>
          <w:lang w:val="es-ES_tradnl"/>
        </w:rPr>
        <w:lastRenderedPageBreak/>
        <w:t>y por tanto deberán mantenerla actualizada, en los respectivos medios electrónicos, de acuerdo con sus facultades, atribuciones, funciones u objeto social.</w:t>
      </w:r>
    </w:p>
    <w:p w14:paraId="1BF3E555" w14:textId="77777777" w:rsidR="00B11DF6" w:rsidRPr="00D47F69" w:rsidRDefault="00B11DF6" w:rsidP="00D47F69">
      <w:pPr>
        <w:spacing w:after="0" w:line="360" w:lineRule="auto"/>
        <w:jc w:val="both"/>
        <w:rPr>
          <w:rFonts w:ascii="Palatino Linotype" w:hAnsi="Palatino Linotype"/>
          <w:sz w:val="23"/>
          <w:szCs w:val="23"/>
          <w:lang w:val="es-ES_tradnl"/>
        </w:rPr>
      </w:pPr>
    </w:p>
    <w:p w14:paraId="2D574867" w14:textId="26259C46" w:rsidR="00D47F69" w:rsidRPr="00D47F69" w:rsidRDefault="00D47F69" w:rsidP="00D47F69">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Cabe resaltar que ninguna de estas dos leyes hace distinción entre servidores públicos con cargo de elección popular o de cualquier otra naturaleza, por lo que de una interpretación a lo dispuesto por las leyes referidas se desprende que </w:t>
      </w:r>
      <w:r w:rsidR="0038260F">
        <w:rPr>
          <w:rFonts w:ascii="Palatino Linotype" w:hAnsi="Palatino Linotype"/>
          <w:sz w:val="23"/>
          <w:szCs w:val="23"/>
          <w:lang w:val="es-ES_tradnl"/>
        </w:rPr>
        <w:t>las dependencias</w:t>
      </w:r>
      <w:r w:rsidRPr="00D47F69">
        <w:rPr>
          <w:rFonts w:ascii="Palatino Linotype" w:hAnsi="Palatino Linotype"/>
          <w:sz w:val="23"/>
          <w:szCs w:val="23"/>
          <w:lang w:val="es-ES_tradnl"/>
        </w:rPr>
        <w:t xml:space="preserve">, como sujetos obligados, se encuentran constreñidos a hacer pública la información curricular del titular del </w:t>
      </w:r>
      <w:r w:rsidR="0002785F" w:rsidRPr="00D47F69">
        <w:rPr>
          <w:rFonts w:ascii="Palatino Linotype" w:hAnsi="Palatino Linotype"/>
          <w:b/>
          <w:bCs/>
          <w:sz w:val="23"/>
          <w:szCs w:val="23"/>
          <w:lang w:val="es-ES_tradnl"/>
        </w:rPr>
        <w:t>Sujeto Obligado</w:t>
      </w:r>
      <w:r w:rsidR="0002785F" w:rsidRPr="00D47F69">
        <w:rPr>
          <w:rFonts w:ascii="Palatino Linotype" w:hAnsi="Palatino Linotype"/>
          <w:sz w:val="23"/>
          <w:szCs w:val="23"/>
          <w:lang w:val="es-ES_tradnl"/>
        </w:rPr>
        <w:t xml:space="preserve"> </w:t>
      </w:r>
      <w:r w:rsidRPr="009E4111">
        <w:rPr>
          <w:rFonts w:ascii="Palatino Linotype" w:hAnsi="Palatino Linotype"/>
          <w:i/>
          <w:sz w:val="23"/>
          <w:szCs w:val="23"/>
          <w:lang w:val="es-ES_tradnl"/>
        </w:rPr>
        <w:t>(</w:t>
      </w:r>
      <w:r w:rsidR="0038260F" w:rsidRPr="009E4111">
        <w:rPr>
          <w:rFonts w:ascii="Palatino Linotype" w:hAnsi="Palatino Linotype"/>
          <w:i/>
          <w:sz w:val="23"/>
          <w:szCs w:val="23"/>
          <w:lang w:val="es-ES_tradnl"/>
        </w:rPr>
        <w:t>Secretario</w:t>
      </w:r>
      <w:r w:rsidRPr="009E4111">
        <w:rPr>
          <w:rFonts w:ascii="Palatino Linotype" w:hAnsi="Palatino Linotype"/>
          <w:i/>
          <w:sz w:val="23"/>
          <w:szCs w:val="23"/>
          <w:lang w:val="es-ES_tradnl"/>
        </w:rPr>
        <w:t>)</w:t>
      </w:r>
      <w:r w:rsidRPr="00D47F69">
        <w:rPr>
          <w:rFonts w:ascii="Palatino Linotype" w:hAnsi="Palatino Linotype"/>
          <w:sz w:val="23"/>
          <w:szCs w:val="23"/>
          <w:lang w:val="es-ES_tradnl"/>
        </w:rPr>
        <w:t xml:space="preserve"> hasta jefe de departamento</w:t>
      </w:r>
      <w:r w:rsidR="0038260F">
        <w:rPr>
          <w:rFonts w:ascii="Palatino Linotype" w:hAnsi="Palatino Linotype"/>
          <w:sz w:val="23"/>
          <w:szCs w:val="23"/>
          <w:lang w:val="es-ES_tradnl"/>
        </w:rPr>
        <w:t xml:space="preserve"> </w:t>
      </w:r>
      <w:r w:rsidRPr="00D47F69">
        <w:rPr>
          <w:rFonts w:ascii="Palatino Linotype" w:hAnsi="Palatino Linotype"/>
          <w:sz w:val="23"/>
          <w:szCs w:val="23"/>
          <w:lang w:val="es-ES_tradnl"/>
        </w:rPr>
        <w:t>y contar con el documento comprobatorio de la escolaridad o último grado o nivel de estudios que señalen en dicha información curricular, así como contar con un expediente de todos los servidores públicos.</w:t>
      </w:r>
    </w:p>
    <w:p w14:paraId="08816FE9" w14:textId="77777777" w:rsidR="00D47F69" w:rsidRPr="00D47F69" w:rsidRDefault="00D47F69" w:rsidP="00D47F69">
      <w:pPr>
        <w:spacing w:after="0" w:line="360" w:lineRule="auto"/>
        <w:jc w:val="both"/>
        <w:rPr>
          <w:rFonts w:ascii="Palatino Linotype" w:hAnsi="Palatino Linotype"/>
          <w:sz w:val="23"/>
          <w:szCs w:val="23"/>
          <w:lang w:val="es-ES_tradnl"/>
        </w:rPr>
      </w:pPr>
    </w:p>
    <w:p w14:paraId="01DB328C" w14:textId="4DE36D6E" w:rsidR="00EA3CFA" w:rsidRDefault="00D47F69" w:rsidP="001232FA">
      <w:pPr>
        <w:spacing w:after="0" w:line="360" w:lineRule="auto"/>
        <w:jc w:val="both"/>
        <w:rPr>
          <w:rFonts w:ascii="Palatino Linotype" w:hAnsi="Palatino Linotype"/>
          <w:sz w:val="23"/>
          <w:szCs w:val="23"/>
          <w:lang w:val="es-ES_tradnl"/>
        </w:rPr>
      </w:pPr>
      <w:r w:rsidRPr="00D47F69">
        <w:rPr>
          <w:rFonts w:ascii="Palatino Linotype" w:hAnsi="Palatino Linotype"/>
          <w:sz w:val="23"/>
          <w:szCs w:val="23"/>
          <w:lang w:val="es-ES_tradnl"/>
        </w:rPr>
        <w:t xml:space="preserve">En conclusión, no existe causal por la que el </w:t>
      </w:r>
      <w:r w:rsidRPr="0038260F">
        <w:rPr>
          <w:rFonts w:ascii="Palatino Linotype" w:hAnsi="Palatino Linotype"/>
          <w:b/>
          <w:bCs/>
          <w:sz w:val="23"/>
          <w:szCs w:val="23"/>
          <w:lang w:val="es-ES_tradnl"/>
        </w:rPr>
        <w:t>Sujeto Obligado</w:t>
      </w:r>
      <w:r w:rsidRPr="00D47F69">
        <w:rPr>
          <w:rFonts w:ascii="Palatino Linotype" w:hAnsi="Palatino Linotype"/>
          <w:sz w:val="23"/>
          <w:szCs w:val="23"/>
          <w:lang w:val="es-ES_tradnl"/>
        </w:rPr>
        <w:t xml:space="preserve"> pueda excusar o negar la información solicitada, ya que la naturaleza de dicha información y de acuerdo con los principios rectores de la administración pública, es pública y accesible a cualquier persona.</w:t>
      </w:r>
    </w:p>
    <w:p w14:paraId="2422B137" w14:textId="77777777" w:rsidR="0002785F" w:rsidRDefault="0002785F" w:rsidP="001232FA">
      <w:pPr>
        <w:spacing w:after="0" w:line="360" w:lineRule="auto"/>
        <w:jc w:val="both"/>
        <w:rPr>
          <w:rFonts w:ascii="Palatino Linotype" w:hAnsi="Palatino Linotype"/>
          <w:sz w:val="23"/>
          <w:szCs w:val="23"/>
          <w:lang w:val="es-ES_tradnl"/>
        </w:rPr>
      </w:pPr>
    </w:p>
    <w:p w14:paraId="2FE89240" w14:textId="7DA07F1C" w:rsidR="0002785F" w:rsidRDefault="0002785F" w:rsidP="0038260F">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3"/>
          <w:szCs w:val="23"/>
          <w:lang w:val="es-ES" w:eastAsia="es-MX"/>
        </w:rPr>
      </w:pPr>
      <w:r w:rsidRPr="0002785F">
        <w:rPr>
          <w:rFonts w:ascii="Palatino Linotype" w:eastAsia="Palatino Linotype" w:hAnsi="Palatino Linotype" w:cs="Palatino Linotype"/>
          <w:color w:val="000000"/>
          <w:sz w:val="23"/>
          <w:szCs w:val="23"/>
          <w:lang w:val="es-ES" w:eastAsia="es-MX"/>
        </w:rPr>
        <w:t xml:space="preserve">Con base en lo anteriormente expuesto, a consideración de quien suscribe, en la resolución emitida se debió </w:t>
      </w:r>
      <w:r w:rsidR="0038260F" w:rsidRPr="0038260F">
        <w:rPr>
          <w:rFonts w:ascii="Palatino Linotype" w:eastAsia="Palatino Linotype" w:hAnsi="Palatino Linotype" w:cs="Palatino Linotype"/>
          <w:color w:val="000000"/>
          <w:sz w:val="23"/>
          <w:szCs w:val="23"/>
          <w:lang w:val="es-ES" w:eastAsia="es-MX"/>
        </w:rPr>
        <w:t xml:space="preserve">eliminarse la salvedad que se le otorga al </w:t>
      </w:r>
      <w:r w:rsidR="0038260F" w:rsidRPr="0038260F">
        <w:rPr>
          <w:rFonts w:ascii="Palatino Linotype" w:eastAsia="Palatino Linotype" w:hAnsi="Palatino Linotype" w:cs="Palatino Linotype"/>
          <w:b/>
          <w:bCs/>
          <w:color w:val="000000"/>
          <w:sz w:val="23"/>
          <w:szCs w:val="23"/>
          <w:lang w:val="es-ES" w:eastAsia="es-MX"/>
        </w:rPr>
        <w:t>Sujeto Obligado</w:t>
      </w:r>
      <w:r w:rsidR="0038260F" w:rsidRPr="0038260F">
        <w:rPr>
          <w:rFonts w:ascii="Palatino Linotype" w:eastAsia="Palatino Linotype" w:hAnsi="Palatino Linotype" w:cs="Palatino Linotype"/>
          <w:color w:val="000000"/>
          <w:sz w:val="23"/>
          <w:szCs w:val="23"/>
          <w:lang w:val="es-ES" w:eastAsia="es-MX"/>
        </w:rPr>
        <w:t xml:space="preserve"> para pronunciarse en el supuesto de que no cuente con el último grado o nivel de estudios</w:t>
      </w:r>
      <w:r w:rsidR="009E4111">
        <w:rPr>
          <w:rFonts w:ascii="Palatino Linotype" w:eastAsia="Palatino Linotype" w:hAnsi="Palatino Linotype" w:cs="Palatino Linotype"/>
          <w:color w:val="000000"/>
          <w:sz w:val="23"/>
          <w:szCs w:val="23"/>
          <w:lang w:val="es-ES" w:eastAsia="es-MX"/>
        </w:rPr>
        <w:t xml:space="preserve"> </w:t>
      </w:r>
      <w:r w:rsidR="009E4111" w:rsidRPr="009E4111">
        <w:rPr>
          <w:rFonts w:ascii="Palatino Linotype" w:eastAsia="Palatino Linotype" w:hAnsi="Palatino Linotype" w:cs="Palatino Linotype"/>
          <w:color w:val="000000"/>
          <w:sz w:val="23"/>
          <w:szCs w:val="23"/>
          <w:lang w:val="es-ES" w:eastAsia="es-MX"/>
        </w:rPr>
        <w:t>del Titular de la Unidad de Transparencia</w:t>
      </w:r>
      <w:r w:rsidR="0038260F" w:rsidRPr="0038260F">
        <w:rPr>
          <w:rFonts w:ascii="Palatino Linotype" w:eastAsia="Palatino Linotype" w:hAnsi="Palatino Linotype" w:cs="Palatino Linotype"/>
          <w:color w:val="000000"/>
          <w:sz w:val="23"/>
          <w:szCs w:val="23"/>
          <w:lang w:val="es-ES" w:eastAsia="es-MX"/>
        </w:rPr>
        <w:t xml:space="preserve">, debido a que es información que </w:t>
      </w:r>
      <w:r w:rsidR="0038260F" w:rsidRPr="0038260F">
        <w:rPr>
          <w:rFonts w:ascii="Palatino Linotype" w:eastAsia="Palatino Linotype" w:hAnsi="Palatino Linotype" w:cs="Palatino Linotype"/>
          <w:color w:val="000000"/>
          <w:sz w:val="23"/>
          <w:szCs w:val="23"/>
          <w:lang w:val="es-ES" w:eastAsia="es-MX"/>
        </w:rPr>
        <w:lastRenderedPageBreak/>
        <w:t>forma parte de su información curricular, la cual constituye parte de sus obligaciones de transparencia común.</w:t>
      </w:r>
    </w:p>
    <w:p w14:paraId="2272C3ED" w14:textId="77777777" w:rsidR="0038260F" w:rsidRPr="0038260F" w:rsidRDefault="0038260F" w:rsidP="0038260F">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3"/>
          <w:szCs w:val="23"/>
          <w:lang w:val="es-ES" w:eastAsia="es-MX"/>
        </w:rPr>
      </w:pPr>
    </w:p>
    <w:p w14:paraId="5FB87A60" w14:textId="7A440DFF" w:rsidR="001232FA" w:rsidRDefault="001232FA" w:rsidP="001232FA">
      <w:pPr>
        <w:spacing w:after="0" w:line="360" w:lineRule="auto"/>
        <w:jc w:val="both"/>
        <w:rPr>
          <w:rFonts w:ascii="Palatino Linotype" w:hAnsi="Palatino Linotype"/>
          <w:bCs/>
          <w:i/>
          <w:sz w:val="23"/>
          <w:szCs w:val="23"/>
        </w:rPr>
      </w:pPr>
      <w:r w:rsidRPr="001232FA">
        <w:rPr>
          <w:rFonts w:ascii="Palatino Linotype" w:hAnsi="Palatino Linotype"/>
          <w:sz w:val="23"/>
          <w:szCs w:val="23"/>
        </w:rPr>
        <w:t>Luego entonces, se arriba a la premisa de que la salvedad de pronunciamiento simple referida con anterioridad propicia a que</w:t>
      </w:r>
      <w:r w:rsidR="0038260F">
        <w:rPr>
          <w:rFonts w:ascii="Palatino Linotype" w:hAnsi="Palatino Linotype"/>
          <w:sz w:val="23"/>
          <w:szCs w:val="23"/>
        </w:rPr>
        <w:t xml:space="preserve"> el </w:t>
      </w:r>
      <w:r w:rsidRPr="001232FA">
        <w:rPr>
          <w:rFonts w:ascii="Palatino Linotype" w:hAnsi="Palatino Linotype"/>
          <w:b/>
          <w:bCs/>
          <w:sz w:val="23"/>
          <w:szCs w:val="23"/>
        </w:rPr>
        <w:t xml:space="preserve">Sujeto Obligado, </w:t>
      </w:r>
      <w:r w:rsidRPr="001232FA">
        <w:rPr>
          <w:rFonts w:ascii="Palatino Linotype" w:hAnsi="Palatino Linotype"/>
          <w:sz w:val="23"/>
          <w:szCs w:val="23"/>
        </w:rPr>
        <w:t xml:space="preserve">en etapa de cumplimiento pueda manifestar únicamente que no cuenta con la información referida en el resolutivo </w:t>
      </w:r>
      <w:r w:rsidRPr="001232FA">
        <w:rPr>
          <w:rFonts w:ascii="Palatino Linotype" w:hAnsi="Palatino Linotype"/>
          <w:b/>
          <w:bCs/>
          <w:sz w:val="23"/>
          <w:szCs w:val="23"/>
        </w:rPr>
        <w:t>SEGUNDO</w:t>
      </w:r>
      <w:r w:rsidR="00990621">
        <w:rPr>
          <w:rFonts w:ascii="Palatino Linotype" w:hAnsi="Palatino Linotype"/>
          <w:bCs/>
          <w:sz w:val="23"/>
          <w:szCs w:val="23"/>
        </w:rPr>
        <w:t xml:space="preserve"> </w:t>
      </w:r>
      <w:r w:rsidR="00B11DF6">
        <w:rPr>
          <w:rFonts w:ascii="Palatino Linotype" w:hAnsi="Palatino Linotype"/>
          <w:bCs/>
          <w:sz w:val="23"/>
          <w:szCs w:val="23"/>
        </w:rPr>
        <w:t xml:space="preserve">inciso </w:t>
      </w:r>
      <w:r w:rsidR="00B11DF6" w:rsidRPr="00B11DF6">
        <w:rPr>
          <w:rFonts w:ascii="Palatino Linotype" w:hAnsi="Palatino Linotype"/>
          <w:b/>
          <w:bCs/>
          <w:sz w:val="23"/>
          <w:szCs w:val="23"/>
        </w:rPr>
        <w:t>c)</w:t>
      </w:r>
      <w:r w:rsidR="00B11DF6">
        <w:rPr>
          <w:rFonts w:ascii="Palatino Linotype" w:hAnsi="Palatino Linotype"/>
          <w:bCs/>
          <w:sz w:val="23"/>
          <w:szCs w:val="23"/>
        </w:rPr>
        <w:t>,</w:t>
      </w:r>
      <w:r w:rsidR="0038260F">
        <w:rPr>
          <w:rFonts w:ascii="Palatino Linotype" w:hAnsi="Palatino Linotype"/>
          <w:bCs/>
          <w:sz w:val="23"/>
          <w:szCs w:val="23"/>
        </w:rPr>
        <w:t xml:space="preserve"> </w:t>
      </w:r>
      <w:r w:rsidRPr="001232FA">
        <w:rPr>
          <w:rFonts w:ascii="Palatino Linotype" w:hAnsi="Palatino Linotype"/>
          <w:bCs/>
          <w:i/>
          <w:sz w:val="23"/>
          <w:szCs w:val="23"/>
        </w:rPr>
        <w:t>(</w:t>
      </w:r>
      <w:r w:rsidR="00B11DF6" w:rsidRPr="00B11DF6">
        <w:rPr>
          <w:rFonts w:ascii="Palatino Linotype" w:hAnsi="Palatino Linotype"/>
          <w:bCs/>
          <w:i/>
          <w:sz w:val="23"/>
          <w:szCs w:val="23"/>
        </w:rPr>
        <w:t>Documento oficial comprobatorio de su último grado de estudios</w:t>
      </w:r>
      <w:r w:rsidRPr="001232FA">
        <w:rPr>
          <w:rFonts w:ascii="Palatino Linotype" w:hAnsi="Palatino Linotype"/>
          <w:bCs/>
          <w:i/>
          <w:sz w:val="23"/>
          <w:szCs w:val="23"/>
        </w:rPr>
        <w:t>)</w:t>
      </w:r>
      <w:r w:rsidRPr="001232FA">
        <w:rPr>
          <w:rFonts w:ascii="Palatino Linotype" w:hAnsi="Palatino Linotype"/>
          <w:sz w:val="23"/>
          <w:szCs w:val="23"/>
        </w:rPr>
        <w:t xml:space="preserve"> lo cual a toda luz no propicia a la observancia de los principios de legalidad o ce</w:t>
      </w:r>
      <w:r>
        <w:rPr>
          <w:rFonts w:ascii="Palatino Linotype" w:hAnsi="Palatino Linotype"/>
          <w:sz w:val="23"/>
          <w:szCs w:val="23"/>
        </w:rPr>
        <w:t xml:space="preserve">rteza imperantes en la materia. </w:t>
      </w:r>
      <w:r w:rsidRPr="001232FA">
        <w:rPr>
          <w:rFonts w:ascii="Palatino Linotype" w:hAnsi="Palatino Linotype"/>
          <w:sz w:val="23"/>
          <w:szCs w:val="23"/>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1BAC51EA" w14:textId="77777777" w:rsidR="009E4111" w:rsidRPr="009E4111" w:rsidRDefault="009E4111" w:rsidP="001232FA">
      <w:pPr>
        <w:spacing w:after="0" w:line="360" w:lineRule="auto"/>
        <w:jc w:val="both"/>
        <w:rPr>
          <w:rFonts w:ascii="Palatino Linotype" w:hAnsi="Palatino Linotype"/>
          <w:bCs/>
          <w:i/>
          <w:sz w:val="23"/>
          <w:szCs w:val="23"/>
        </w:rPr>
      </w:pPr>
    </w:p>
    <w:p w14:paraId="433B9F80"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Conforme a lo anteriormente expuesto, es en ese sentido como he de emitir el presente </w:t>
      </w:r>
      <w:r w:rsidRPr="001232FA">
        <w:rPr>
          <w:rFonts w:ascii="Palatino Linotype" w:hAnsi="Palatino Linotype"/>
          <w:b/>
          <w:sz w:val="23"/>
          <w:szCs w:val="23"/>
        </w:rPr>
        <w:t>VOTO PARTICULAR</w:t>
      </w:r>
      <w:r w:rsidRPr="001232FA">
        <w:rPr>
          <w:rFonts w:ascii="Palatino Linotype" w:hAnsi="Palatino Linotype"/>
          <w:sz w:val="23"/>
          <w:szCs w:val="23"/>
        </w:rPr>
        <w:t xml:space="preserve">. </w:t>
      </w:r>
    </w:p>
    <w:p w14:paraId="7F588C3C" w14:textId="77777777" w:rsidR="001232FA" w:rsidRPr="008546EB" w:rsidRDefault="001232FA" w:rsidP="00A62EE1">
      <w:pPr>
        <w:spacing w:after="0" w:line="360" w:lineRule="auto"/>
        <w:jc w:val="both"/>
        <w:rPr>
          <w:rFonts w:ascii="Palatino Linotype" w:hAnsi="Palatino Linotype"/>
          <w:sz w:val="23"/>
          <w:szCs w:val="23"/>
        </w:rPr>
      </w:pPr>
    </w:p>
    <w:p w14:paraId="756D8867" w14:textId="77777777" w:rsidR="001464CB" w:rsidRPr="008546EB" w:rsidRDefault="001464CB" w:rsidP="0019061A">
      <w:pPr>
        <w:spacing w:after="0" w:line="360" w:lineRule="auto"/>
        <w:jc w:val="both"/>
        <w:rPr>
          <w:rFonts w:ascii="Palatino Linotype" w:hAnsi="Palatino Linotype"/>
          <w:sz w:val="23"/>
          <w:szCs w:val="23"/>
        </w:rPr>
      </w:pP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21019B">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EBB7" w14:textId="77777777" w:rsidR="00687106" w:rsidRDefault="00687106" w:rsidP="004C1443">
      <w:pPr>
        <w:spacing w:after="0" w:line="240" w:lineRule="auto"/>
      </w:pPr>
      <w:r>
        <w:separator/>
      </w:r>
    </w:p>
  </w:endnote>
  <w:endnote w:type="continuationSeparator" w:id="0">
    <w:p w14:paraId="2CB439EE" w14:textId="77777777" w:rsidR="00687106" w:rsidRDefault="00687106"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B11DF6">
              <w:rPr>
                <w:b/>
                <w:bCs/>
                <w:noProof/>
              </w:rPr>
              <w:t>10</w:t>
            </w:r>
            <w:r>
              <w:rPr>
                <w:b/>
                <w:bCs/>
              </w:rPr>
              <w:fldChar w:fldCharType="end"/>
            </w:r>
            <w:r>
              <w:t xml:space="preserve"> de </w:t>
            </w:r>
            <w:r>
              <w:rPr>
                <w:b/>
                <w:bCs/>
              </w:rPr>
              <w:fldChar w:fldCharType="begin"/>
            </w:r>
            <w:r>
              <w:rPr>
                <w:b/>
                <w:bCs/>
              </w:rPr>
              <w:instrText>NUMPAGES</w:instrText>
            </w:r>
            <w:r>
              <w:rPr>
                <w:b/>
                <w:bCs/>
              </w:rPr>
              <w:fldChar w:fldCharType="separate"/>
            </w:r>
            <w:r w:rsidR="00B11DF6">
              <w:rPr>
                <w:b/>
                <w:bCs/>
                <w:noProof/>
              </w:rPr>
              <w:t>11</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C823B" w14:textId="77777777" w:rsidR="00687106" w:rsidRDefault="00687106" w:rsidP="004C1443">
      <w:pPr>
        <w:spacing w:after="0" w:line="240" w:lineRule="auto"/>
      </w:pPr>
      <w:r>
        <w:separator/>
      </w:r>
    </w:p>
  </w:footnote>
  <w:footnote w:type="continuationSeparator" w:id="0">
    <w:p w14:paraId="7301BD9E" w14:textId="77777777" w:rsidR="00687106" w:rsidRDefault="00687106"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5DDB9C79"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w:t>
    </w:r>
    <w:r w:rsidR="00770BB1">
      <w:rPr>
        <w:rFonts w:ascii="Palatino Linotype" w:hAnsi="Palatino Linotype" w:cs="Arial"/>
        <w:b/>
        <w:bCs/>
        <w:sz w:val="22"/>
        <w:szCs w:val="22"/>
        <w:lang w:eastAsia="es-MX"/>
      </w:rPr>
      <w:t>3699</w:t>
    </w:r>
    <w:r w:rsidR="001348A8" w:rsidRPr="001348A8">
      <w:rPr>
        <w:rFonts w:ascii="Palatino Linotype" w:hAnsi="Palatino Linotype" w:cs="Arial"/>
        <w:b/>
        <w:bCs/>
        <w:sz w:val="22"/>
        <w:szCs w:val="22"/>
        <w:lang w:eastAsia="es-MX"/>
      </w:rPr>
      <w:t>/INFOEM/IP/RR/202</w:t>
    </w:r>
    <w:r w:rsidR="008F7EC9">
      <w:rPr>
        <w:rFonts w:ascii="Palatino Linotype" w:hAnsi="Palatino Linotype" w:cs="Arial"/>
        <w:b/>
        <w:bCs/>
        <w:sz w:val="22"/>
        <w:szCs w:val="22"/>
        <w:lang w:eastAsia="es-MX"/>
      </w:rPr>
      <w:t>4</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85477E"/>
    <w:multiLevelType w:val="hybridMultilevel"/>
    <w:tmpl w:val="5142B690"/>
    <w:lvl w:ilvl="0" w:tplc="627A667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0"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D05FCA"/>
    <w:multiLevelType w:val="multilevel"/>
    <w:tmpl w:val="311411B8"/>
    <w:lvl w:ilvl="0">
      <w:start w:val="1"/>
      <w:numFmt w:val="lowerLetter"/>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8465CA"/>
    <w:multiLevelType w:val="multilevel"/>
    <w:tmpl w:val="69A8B3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2287818">
    <w:abstractNumId w:val="16"/>
  </w:num>
  <w:num w:numId="2" w16cid:durableId="2133859588">
    <w:abstractNumId w:val="1"/>
  </w:num>
  <w:num w:numId="3" w16cid:durableId="2117404348">
    <w:abstractNumId w:val="28"/>
  </w:num>
  <w:num w:numId="4" w16cid:durableId="637761537">
    <w:abstractNumId w:val="20"/>
  </w:num>
  <w:num w:numId="5" w16cid:durableId="2077824085">
    <w:abstractNumId w:val="25"/>
  </w:num>
  <w:num w:numId="6" w16cid:durableId="1372026656">
    <w:abstractNumId w:val="30"/>
  </w:num>
  <w:num w:numId="7" w16cid:durableId="859978183">
    <w:abstractNumId w:val="11"/>
  </w:num>
  <w:num w:numId="8" w16cid:durableId="878974553">
    <w:abstractNumId w:val="3"/>
  </w:num>
  <w:num w:numId="9" w16cid:durableId="1100685214">
    <w:abstractNumId w:val="13"/>
  </w:num>
  <w:num w:numId="10" w16cid:durableId="747267034">
    <w:abstractNumId w:val="4"/>
  </w:num>
  <w:num w:numId="11" w16cid:durableId="1375497967">
    <w:abstractNumId w:val="34"/>
  </w:num>
  <w:num w:numId="12" w16cid:durableId="1201549021">
    <w:abstractNumId w:val="14"/>
  </w:num>
  <w:num w:numId="13" w16cid:durableId="2118669929">
    <w:abstractNumId w:val="6"/>
  </w:num>
  <w:num w:numId="14" w16cid:durableId="2046979043">
    <w:abstractNumId w:val="33"/>
  </w:num>
  <w:num w:numId="15" w16cid:durableId="1139297875">
    <w:abstractNumId w:val="18"/>
  </w:num>
  <w:num w:numId="16" w16cid:durableId="2110927445">
    <w:abstractNumId w:val="12"/>
  </w:num>
  <w:num w:numId="17" w16cid:durableId="2127888473">
    <w:abstractNumId w:val="15"/>
  </w:num>
  <w:num w:numId="18" w16cid:durableId="198591163">
    <w:abstractNumId w:val="10"/>
  </w:num>
  <w:num w:numId="19" w16cid:durableId="740444492">
    <w:abstractNumId w:val="31"/>
  </w:num>
  <w:num w:numId="20" w16cid:durableId="1516574691">
    <w:abstractNumId w:val="17"/>
  </w:num>
  <w:num w:numId="21" w16cid:durableId="377702905">
    <w:abstractNumId w:val="5"/>
  </w:num>
  <w:num w:numId="22" w16cid:durableId="8926940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426595">
    <w:abstractNumId w:val="0"/>
  </w:num>
  <w:num w:numId="24" w16cid:durableId="1548683218">
    <w:abstractNumId w:val="32"/>
  </w:num>
  <w:num w:numId="25" w16cid:durableId="1720592567">
    <w:abstractNumId w:val="26"/>
  </w:num>
  <w:num w:numId="26" w16cid:durableId="1143814627">
    <w:abstractNumId w:val="21"/>
  </w:num>
  <w:num w:numId="27" w16cid:durableId="79910768">
    <w:abstractNumId w:val="23"/>
  </w:num>
  <w:num w:numId="28" w16cid:durableId="1136722330">
    <w:abstractNumId w:val="29"/>
  </w:num>
  <w:num w:numId="29" w16cid:durableId="2058429653">
    <w:abstractNumId w:val="7"/>
  </w:num>
  <w:num w:numId="30" w16cid:durableId="1689715543">
    <w:abstractNumId w:val="24"/>
  </w:num>
  <w:num w:numId="31" w16cid:durableId="1614090251">
    <w:abstractNumId w:val="22"/>
  </w:num>
  <w:num w:numId="32" w16cid:durableId="632096952">
    <w:abstractNumId w:val="27"/>
  </w:num>
  <w:num w:numId="33" w16cid:durableId="665866975">
    <w:abstractNumId w:val="2"/>
  </w:num>
  <w:num w:numId="34" w16cid:durableId="1162894513">
    <w:abstractNumId w:val="9"/>
  </w:num>
  <w:num w:numId="35" w16cid:durableId="1788548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4C3B"/>
    <w:rsid w:val="000069E9"/>
    <w:rsid w:val="0002785F"/>
    <w:rsid w:val="000353B6"/>
    <w:rsid w:val="00043B20"/>
    <w:rsid w:val="0005399B"/>
    <w:rsid w:val="000840E5"/>
    <w:rsid w:val="0009787F"/>
    <w:rsid w:val="000C3815"/>
    <w:rsid w:val="000D21E7"/>
    <w:rsid w:val="000D26DF"/>
    <w:rsid w:val="000E0143"/>
    <w:rsid w:val="000E1ABA"/>
    <w:rsid w:val="000E517C"/>
    <w:rsid w:val="000F14DA"/>
    <w:rsid w:val="000F1B77"/>
    <w:rsid w:val="000F49C4"/>
    <w:rsid w:val="00104F5C"/>
    <w:rsid w:val="00105765"/>
    <w:rsid w:val="001232FA"/>
    <w:rsid w:val="001348A8"/>
    <w:rsid w:val="00137BCF"/>
    <w:rsid w:val="00145FED"/>
    <w:rsid w:val="001464CB"/>
    <w:rsid w:val="00147286"/>
    <w:rsid w:val="00147353"/>
    <w:rsid w:val="001822DD"/>
    <w:rsid w:val="00186357"/>
    <w:rsid w:val="00187004"/>
    <w:rsid w:val="0019061A"/>
    <w:rsid w:val="001908F7"/>
    <w:rsid w:val="0019696B"/>
    <w:rsid w:val="001B3D19"/>
    <w:rsid w:val="001B4BC7"/>
    <w:rsid w:val="0021019B"/>
    <w:rsid w:val="00211741"/>
    <w:rsid w:val="002351CE"/>
    <w:rsid w:val="00235E50"/>
    <w:rsid w:val="002374B9"/>
    <w:rsid w:val="00240D8D"/>
    <w:rsid w:val="00243EF0"/>
    <w:rsid w:val="00252976"/>
    <w:rsid w:val="00256512"/>
    <w:rsid w:val="00264201"/>
    <w:rsid w:val="002660DA"/>
    <w:rsid w:val="002674B9"/>
    <w:rsid w:val="002A12CF"/>
    <w:rsid w:val="002A39CA"/>
    <w:rsid w:val="002B39D3"/>
    <w:rsid w:val="002C14F9"/>
    <w:rsid w:val="002E2C0D"/>
    <w:rsid w:val="00302C71"/>
    <w:rsid w:val="00307916"/>
    <w:rsid w:val="0031079C"/>
    <w:rsid w:val="003262E7"/>
    <w:rsid w:val="0032728C"/>
    <w:rsid w:val="00330955"/>
    <w:rsid w:val="00335851"/>
    <w:rsid w:val="00336332"/>
    <w:rsid w:val="00341093"/>
    <w:rsid w:val="0038260F"/>
    <w:rsid w:val="003847F7"/>
    <w:rsid w:val="00384C8B"/>
    <w:rsid w:val="00396F4A"/>
    <w:rsid w:val="003B7D5E"/>
    <w:rsid w:val="003D76A7"/>
    <w:rsid w:val="003F213C"/>
    <w:rsid w:val="003F52D7"/>
    <w:rsid w:val="00403FFD"/>
    <w:rsid w:val="004200DB"/>
    <w:rsid w:val="00421F7E"/>
    <w:rsid w:val="004269DC"/>
    <w:rsid w:val="004351EB"/>
    <w:rsid w:val="00437D21"/>
    <w:rsid w:val="004402F7"/>
    <w:rsid w:val="0044337D"/>
    <w:rsid w:val="004446DD"/>
    <w:rsid w:val="00456F17"/>
    <w:rsid w:val="00463A29"/>
    <w:rsid w:val="00476A4E"/>
    <w:rsid w:val="00491A04"/>
    <w:rsid w:val="00494F48"/>
    <w:rsid w:val="00497187"/>
    <w:rsid w:val="004A384B"/>
    <w:rsid w:val="004B585F"/>
    <w:rsid w:val="004C1443"/>
    <w:rsid w:val="004C5122"/>
    <w:rsid w:val="004D3A6E"/>
    <w:rsid w:val="004D5C09"/>
    <w:rsid w:val="004E6EFF"/>
    <w:rsid w:val="004F50E3"/>
    <w:rsid w:val="004F5AE8"/>
    <w:rsid w:val="005251CB"/>
    <w:rsid w:val="00526C8E"/>
    <w:rsid w:val="00530131"/>
    <w:rsid w:val="00546280"/>
    <w:rsid w:val="00547586"/>
    <w:rsid w:val="005534B4"/>
    <w:rsid w:val="005733EB"/>
    <w:rsid w:val="0058084B"/>
    <w:rsid w:val="00591F8D"/>
    <w:rsid w:val="00592E63"/>
    <w:rsid w:val="005A4CF6"/>
    <w:rsid w:val="005D0EB7"/>
    <w:rsid w:val="005D279E"/>
    <w:rsid w:val="005E01A2"/>
    <w:rsid w:val="005E2445"/>
    <w:rsid w:val="005E313C"/>
    <w:rsid w:val="005E760F"/>
    <w:rsid w:val="006023F6"/>
    <w:rsid w:val="006069F7"/>
    <w:rsid w:val="00606CCB"/>
    <w:rsid w:val="00607983"/>
    <w:rsid w:val="00613A04"/>
    <w:rsid w:val="006275C6"/>
    <w:rsid w:val="006342FD"/>
    <w:rsid w:val="00667D1F"/>
    <w:rsid w:val="00687106"/>
    <w:rsid w:val="006A51FD"/>
    <w:rsid w:val="006A78C7"/>
    <w:rsid w:val="006D3740"/>
    <w:rsid w:val="006D627E"/>
    <w:rsid w:val="006E4C00"/>
    <w:rsid w:val="006F544E"/>
    <w:rsid w:val="006F7F79"/>
    <w:rsid w:val="00707558"/>
    <w:rsid w:val="0071133A"/>
    <w:rsid w:val="0071304D"/>
    <w:rsid w:val="007466E7"/>
    <w:rsid w:val="007518F5"/>
    <w:rsid w:val="007552BF"/>
    <w:rsid w:val="00770BB1"/>
    <w:rsid w:val="0077712D"/>
    <w:rsid w:val="00785FF0"/>
    <w:rsid w:val="00787CFE"/>
    <w:rsid w:val="007B5209"/>
    <w:rsid w:val="007B733E"/>
    <w:rsid w:val="007C0DCC"/>
    <w:rsid w:val="007C0F18"/>
    <w:rsid w:val="007C4507"/>
    <w:rsid w:val="008037AF"/>
    <w:rsid w:val="008178C6"/>
    <w:rsid w:val="00846F0C"/>
    <w:rsid w:val="00847B09"/>
    <w:rsid w:val="00852785"/>
    <w:rsid w:val="008546EB"/>
    <w:rsid w:val="008554E0"/>
    <w:rsid w:val="00856BE3"/>
    <w:rsid w:val="00860B45"/>
    <w:rsid w:val="00866E23"/>
    <w:rsid w:val="00874DD2"/>
    <w:rsid w:val="00875FA7"/>
    <w:rsid w:val="008768A7"/>
    <w:rsid w:val="0088608D"/>
    <w:rsid w:val="008C04DB"/>
    <w:rsid w:val="008D6140"/>
    <w:rsid w:val="008E005D"/>
    <w:rsid w:val="008E47B8"/>
    <w:rsid w:val="008F6B22"/>
    <w:rsid w:val="008F7EC9"/>
    <w:rsid w:val="00900682"/>
    <w:rsid w:val="00911F00"/>
    <w:rsid w:val="00913524"/>
    <w:rsid w:val="00915E74"/>
    <w:rsid w:val="00924459"/>
    <w:rsid w:val="00935258"/>
    <w:rsid w:val="00963470"/>
    <w:rsid w:val="00967270"/>
    <w:rsid w:val="00990546"/>
    <w:rsid w:val="00990621"/>
    <w:rsid w:val="0099768F"/>
    <w:rsid w:val="009A72D3"/>
    <w:rsid w:val="009B0A29"/>
    <w:rsid w:val="009B46D0"/>
    <w:rsid w:val="009C2540"/>
    <w:rsid w:val="009C651B"/>
    <w:rsid w:val="009E4111"/>
    <w:rsid w:val="009E6EF2"/>
    <w:rsid w:val="00A10C19"/>
    <w:rsid w:val="00A16488"/>
    <w:rsid w:val="00A41FAD"/>
    <w:rsid w:val="00A430F5"/>
    <w:rsid w:val="00A503FC"/>
    <w:rsid w:val="00A62EE1"/>
    <w:rsid w:val="00A85CFE"/>
    <w:rsid w:val="00A9353F"/>
    <w:rsid w:val="00AA04A2"/>
    <w:rsid w:val="00AC1F7C"/>
    <w:rsid w:val="00AF71C1"/>
    <w:rsid w:val="00B11DF6"/>
    <w:rsid w:val="00B40E2E"/>
    <w:rsid w:val="00B41E23"/>
    <w:rsid w:val="00B6198B"/>
    <w:rsid w:val="00B71EFC"/>
    <w:rsid w:val="00B77C19"/>
    <w:rsid w:val="00B835E7"/>
    <w:rsid w:val="00B91483"/>
    <w:rsid w:val="00BB76F9"/>
    <w:rsid w:val="00BE4F0C"/>
    <w:rsid w:val="00C24AA5"/>
    <w:rsid w:val="00C37B1B"/>
    <w:rsid w:val="00C42420"/>
    <w:rsid w:val="00C4620E"/>
    <w:rsid w:val="00C61583"/>
    <w:rsid w:val="00C65E0C"/>
    <w:rsid w:val="00C96E88"/>
    <w:rsid w:val="00CE6B6A"/>
    <w:rsid w:val="00CF11A8"/>
    <w:rsid w:val="00D014A2"/>
    <w:rsid w:val="00D040F5"/>
    <w:rsid w:val="00D23555"/>
    <w:rsid w:val="00D26D4E"/>
    <w:rsid w:val="00D3608C"/>
    <w:rsid w:val="00D4116A"/>
    <w:rsid w:val="00D47F69"/>
    <w:rsid w:val="00D57282"/>
    <w:rsid w:val="00D65428"/>
    <w:rsid w:val="00D675E4"/>
    <w:rsid w:val="00D875B1"/>
    <w:rsid w:val="00D953EF"/>
    <w:rsid w:val="00DB0A5B"/>
    <w:rsid w:val="00DB6F26"/>
    <w:rsid w:val="00DC57C3"/>
    <w:rsid w:val="00DC5F78"/>
    <w:rsid w:val="00DD13E2"/>
    <w:rsid w:val="00E047E0"/>
    <w:rsid w:val="00E34CA6"/>
    <w:rsid w:val="00E52718"/>
    <w:rsid w:val="00E554DC"/>
    <w:rsid w:val="00E6367E"/>
    <w:rsid w:val="00E80535"/>
    <w:rsid w:val="00E91010"/>
    <w:rsid w:val="00E92686"/>
    <w:rsid w:val="00EA3CFA"/>
    <w:rsid w:val="00EA61C1"/>
    <w:rsid w:val="00EC70B3"/>
    <w:rsid w:val="00ED0FE3"/>
    <w:rsid w:val="00EE051D"/>
    <w:rsid w:val="00F07361"/>
    <w:rsid w:val="00F133A3"/>
    <w:rsid w:val="00F14E55"/>
    <w:rsid w:val="00F20432"/>
    <w:rsid w:val="00F20438"/>
    <w:rsid w:val="00F2106C"/>
    <w:rsid w:val="00F3098B"/>
    <w:rsid w:val="00F43A6F"/>
    <w:rsid w:val="00F46FE4"/>
    <w:rsid w:val="00F57C84"/>
    <w:rsid w:val="00F66EDF"/>
    <w:rsid w:val="00F7131D"/>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21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485F-6864-418E-867E-F024D580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2187</Words>
  <Characters>12030</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4</cp:revision>
  <cp:lastPrinted>2024-09-30T17:22:00Z</cp:lastPrinted>
  <dcterms:created xsi:type="dcterms:W3CDTF">2024-09-26T20:49:00Z</dcterms:created>
  <dcterms:modified xsi:type="dcterms:W3CDTF">2024-09-30T17:23:00Z</dcterms:modified>
</cp:coreProperties>
</file>