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BB6" w:rsidRDefault="00D90ECF">
      <w:pPr>
        <w:spacing w:after="0" w:line="360" w:lineRule="auto"/>
        <w:ind w:right="139"/>
        <w:jc w:val="both"/>
        <w:rPr>
          <w:rFonts w:ascii="Palatino Linotype" w:eastAsia="Palatino Linotype" w:hAnsi="Palatino Linotype" w:cs="Palatino Linotype"/>
          <w:b/>
        </w:rPr>
      </w:pPr>
      <w:r>
        <w:rPr>
          <w:rFonts w:ascii="Palatino Linotype" w:eastAsia="Palatino Linotype" w:hAnsi="Palatino Linotype" w:cs="Palatino Linotype"/>
          <w:b/>
        </w:rPr>
        <w:t>VOTO PARTICULAR QUE FORMULA LA COMISIONADA GUADALUPE RAMÍREZ PEÑA, EN RELACIÓN CON LA RESOLUCIÓN DEL RECURSO DE REVISIÓN 00046/INFOEM/IP/RR/2024, DICTADA POR EL PLENO DEL INSTITUTO DE TRANSPARENCIA, ACCESO A LA INFORMACIÓN PÚBLICA Y PROTECCIÓN DE DATOS PER</w:t>
      </w:r>
      <w:r>
        <w:rPr>
          <w:rFonts w:ascii="Palatino Linotype" w:eastAsia="Palatino Linotype" w:hAnsi="Palatino Linotype" w:cs="Palatino Linotype"/>
          <w:b/>
        </w:rPr>
        <w:t>SONALES DEL ESTADO DE MÉXICO Y MUNICIPIOS, EN LA SÉPTIMA SESIÓN ORDINARIA CELEBRADA EL VEINTIOCHO DE FEBRERO DE DOS MIL VEINTICUATRO.</w:t>
      </w:r>
    </w:p>
    <w:p w:rsidR="008C1BB6" w:rsidRDefault="008C1BB6">
      <w:pPr>
        <w:spacing w:after="0" w:line="360" w:lineRule="auto"/>
        <w:ind w:right="139"/>
        <w:jc w:val="both"/>
        <w:rPr>
          <w:rFonts w:ascii="Palatino Linotype" w:eastAsia="Palatino Linotype" w:hAnsi="Palatino Linotype" w:cs="Palatino Linotype"/>
          <w:b/>
          <w:sz w:val="24"/>
          <w:szCs w:val="24"/>
        </w:rPr>
      </w:pPr>
    </w:p>
    <w:p w:rsidR="008C1BB6" w:rsidRDefault="00D90ECF">
      <w:pPr>
        <w:spacing w:after="0" w:line="360" w:lineRule="auto"/>
        <w:ind w:right="13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 fundamento en lo dispuesto por el artículo 14, fracciones X y XI, del Reglamento del Instituto de Transparencia, Acce</w:t>
      </w:r>
      <w:r>
        <w:rPr>
          <w:rFonts w:ascii="Palatino Linotype" w:eastAsia="Palatino Linotype" w:hAnsi="Palatino Linotype" w:cs="Palatino Linotype"/>
          <w:sz w:val="24"/>
          <w:szCs w:val="24"/>
        </w:rPr>
        <w:t xml:space="preserve">so a la Información Pública y Protección de Datos Personales del Estado de México y Municipios, la que suscribe emite </w:t>
      </w:r>
      <w:r>
        <w:rPr>
          <w:rFonts w:ascii="Palatino Linotype" w:eastAsia="Palatino Linotype" w:hAnsi="Palatino Linotype" w:cs="Palatino Linotype"/>
          <w:b/>
          <w:sz w:val="24"/>
          <w:szCs w:val="24"/>
        </w:rPr>
        <w:t xml:space="preserve">VOTO PARTICULAR </w:t>
      </w:r>
      <w:r>
        <w:rPr>
          <w:rFonts w:ascii="Palatino Linotype" w:eastAsia="Palatino Linotype" w:hAnsi="Palatino Linotype" w:cs="Palatino Linotype"/>
          <w:sz w:val="24"/>
          <w:szCs w:val="24"/>
        </w:rPr>
        <w:t xml:space="preserve">respecto a la resolución dictada del recurso de revisión </w:t>
      </w:r>
      <w:r>
        <w:rPr>
          <w:rFonts w:ascii="Palatino Linotype" w:eastAsia="Palatino Linotype" w:hAnsi="Palatino Linotype" w:cs="Palatino Linotype"/>
          <w:b/>
          <w:sz w:val="24"/>
          <w:szCs w:val="24"/>
        </w:rPr>
        <w:t xml:space="preserve">00046/INFOEM/IP/RR/2024, </w:t>
      </w:r>
      <w:r>
        <w:rPr>
          <w:rFonts w:ascii="Palatino Linotype" w:eastAsia="Palatino Linotype" w:hAnsi="Palatino Linotype" w:cs="Palatino Linotype"/>
          <w:sz w:val="24"/>
          <w:szCs w:val="24"/>
        </w:rPr>
        <w:t>pronunciada por el Pleno de este Institu</w:t>
      </w:r>
      <w:r>
        <w:rPr>
          <w:rFonts w:ascii="Palatino Linotype" w:eastAsia="Palatino Linotype" w:hAnsi="Palatino Linotype" w:cs="Palatino Linotype"/>
          <w:sz w:val="24"/>
          <w:szCs w:val="24"/>
        </w:rPr>
        <w:t xml:space="preserve">to ante el proyecto presentado por el  </w:t>
      </w:r>
      <w:r>
        <w:rPr>
          <w:rFonts w:ascii="Palatino Linotype" w:eastAsia="Palatino Linotype" w:hAnsi="Palatino Linotype" w:cs="Palatino Linotype"/>
          <w:b/>
          <w:sz w:val="24"/>
          <w:szCs w:val="24"/>
        </w:rPr>
        <w:t>Comisionado Luis Gustavo Parra Noriega</w:t>
      </w:r>
      <w:r>
        <w:rPr>
          <w:rFonts w:ascii="Palatino Linotype" w:eastAsia="Palatino Linotype" w:hAnsi="Palatino Linotype" w:cs="Palatino Linotype"/>
          <w:sz w:val="24"/>
          <w:szCs w:val="24"/>
        </w:rPr>
        <w:t xml:space="preserve">, el cual fue resuelto conforme al criterio mayoritario que es del tenor siguiente: </w:t>
      </w:r>
    </w:p>
    <w:p w:rsidR="008C1BB6" w:rsidRDefault="008C1BB6">
      <w:pPr>
        <w:spacing w:after="0" w:line="360" w:lineRule="auto"/>
        <w:ind w:right="139"/>
        <w:jc w:val="both"/>
        <w:rPr>
          <w:rFonts w:ascii="Palatino Linotype" w:eastAsia="Palatino Linotype" w:hAnsi="Palatino Linotype" w:cs="Palatino Linotype"/>
          <w:sz w:val="24"/>
          <w:szCs w:val="24"/>
        </w:rPr>
      </w:pP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través de la solicitud de acceso a la información </w:t>
      </w:r>
      <w:r>
        <w:rPr>
          <w:rFonts w:ascii="Palatino Linotype" w:eastAsia="Palatino Linotype" w:hAnsi="Palatino Linotype" w:cs="Palatino Linotype"/>
          <w:b/>
          <w:sz w:val="24"/>
          <w:szCs w:val="24"/>
        </w:rPr>
        <w:t xml:space="preserve">00046/INFOEM/IP/RR/2024 </w:t>
      </w:r>
      <w:r>
        <w:rPr>
          <w:rFonts w:ascii="Palatino Linotype" w:eastAsia="Palatino Linotype" w:hAnsi="Palatino Linotype" w:cs="Palatino Linotype"/>
          <w:sz w:val="24"/>
          <w:szCs w:val="24"/>
        </w:rPr>
        <w:t>que dio origen al</w:t>
      </w:r>
      <w:r>
        <w:rPr>
          <w:rFonts w:ascii="Palatino Linotype" w:eastAsia="Palatino Linotype" w:hAnsi="Palatino Linotype" w:cs="Palatino Linotype"/>
          <w:sz w:val="24"/>
          <w:szCs w:val="24"/>
        </w:rPr>
        <w:t xml:space="preserve"> recurso de revisión </w:t>
      </w:r>
      <w:r>
        <w:rPr>
          <w:rFonts w:ascii="Palatino Linotype" w:eastAsia="Palatino Linotype" w:hAnsi="Palatino Linotype" w:cs="Palatino Linotype"/>
          <w:b/>
          <w:sz w:val="24"/>
          <w:szCs w:val="24"/>
        </w:rPr>
        <w:t>00360/SEMUJS/IP/2023</w:t>
      </w:r>
      <w:r>
        <w:rPr>
          <w:rFonts w:ascii="Palatino Linotype" w:eastAsia="Palatino Linotype" w:hAnsi="Palatino Linotype" w:cs="Palatino Linotype"/>
          <w:sz w:val="24"/>
          <w:szCs w:val="24"/>
        </w:rPr>
        <w:t>, el Particular requirió lo siguiente:</w:t>
      </w:r>
    </w:p>
    <w:p w:rsidR="008C1BB6" w:rsidRDefault="00D90ECF">
      <w:pPr>
        <w:spacing w:before="280" w:after="28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“DESCRIPCIÓN CLARA Y PRECISA DE LA INFORMACIÓN SOLICITADA</w:t>
      </w:r>
    </w:p>
    <w:p w:rsidR="008C1BB6" w:rsidRDefault="00D90ECF">
      <w:pPr>
        <w:spacing w:before="280" w:after="280" w:line="276" w:lineRule="auto"/>
        <w:ind w:left="567" w:right="616"/>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lastRenderedPageBreak/>
        <w:t>solicito</w:t>
      </w:r>
      <w:proofErr w:type="gramEnd"/>
      <w:r>
        <w:rPr>
          <w:rFonts w:ascii="Palatino Linotype" w:eastAsia="Palatino Linotype" w:hAnsi="Palatino Linotype" w:cs="Palatino Linotype"/>
          <w:i/>
        </w:rPr>
        <w:t xml:space="preserve"> en versión pública las renuncias del personal a partir del 01 de julio a la fecha, así como la cantidad de ju</w:t>
      </w:r>
      <w:r>
        <w:rPr>
          <w:rFonts w:ascii="Palatino Linotype" w:eastAsia="Palatino Linotype" w:hAnsi="Palatino Linotype" w:cs="Palatino Linotype"/>
          <w:i/>
        </w:rPr>
        <w:t xml:space="preserve">icios que la autoridad competente ha hecho del conocimiento de esa </w:t>
      </w:r>
      <w:proofErr w:type="spellStart"/>
      <w:r>
        <w:rPr>
          <w:rFonts w:ascii="Palatino Linotype" w:eastAsia="Palatino Linotype" w:hAnsi="Palatino Linotype" w:cs="Palatino Linotype"/>
          <w:i/>
        </w:rPr>
        <w:t>Secrtearía</w:t>
      </w:r>
      <w:proofErr w:type="spellEnd"/>
      <w:r>
        <w:rPr>
          <w:rFonts w:ascii="Palatino Linotype" w:eastAsia="Palatino Linotype" w:hAnsi="Palatino Linotype" w:cs="Palatino Linotype"/>
          <w:i/>
        </w:rPr>
        <w:t>.” (Sic)</w:t>
      </w:r>
    </w:p>
    <w:p w:rsidR="008C1BB6" w:rsidRDefault="008C1BB6">
      <w:pPr>
        <w:spacing w:after="0" w:line="360" w:lineRule="auto"/>
        <w:jc w:val="both"/>
        <w:rPr>
          <w:rFonts w:ascii="Palatino Linotype" w:eastAsia="Palatino Linotype" w:hAnsi="Palatino Linotype" w:cs="Palatino Linotype"/>
        </w:rPr>
      </w:pPr>
    </w:p>
    <w:p w:rsidR="008C1BB6" w:rsidRDefault="00D90ECF">
      <w:pPr>
        <w:spacing w:after="0" w:line="360" w:lineRule="auto"/>
        <w:ind w:right="-28"/>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 xml:space="preserve">Mediante respuesta,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color w:val="000000"/>
          <w:sz w:val="24"/>
          <w:szCs w:val="24"/>
        </w:rPr>
        <w:t xml:space="preserve">, a través del Sistema de Acceso a la Información Mexiquense (SAIMEX), hizo entrega de lo siguiente: </w:t>
      </w:r>
    </w:p>
    <w:p w:rsidR="008C1BB6" w:rsidRDefault="008C1BB6">
      <w:pPr>
        <w:pBdr>
          <w:top w:val="nil"/>
          <w:left w:val="nil"/>
          <w:bottom w:val="nil"/>
          <w:right w:val="nil"/>
          <w:between w:val="nil"/>
        </w:pBdr>
        <w:tabs>
          <w:tab w:val="left" w:pos="0"/>
          <w:tab w:val="left" w:pos="567"/>
        </w:tabs>
        <w:spacing w:after="0" w:line="276" w:lineRule="auto"/>
        <w:ind w:right="616"/>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 Oficio número SM/UT/0190/2023 del dieciocho de diciembre de dos mil veintitrés, suscrito por la Titular de la Unidad de Transparencia, dirigido al solicitante, por medio del cual manifiesta y expone esencialmente lo siguiente:</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…se le informa que se llevó a cabo una búsqueda exhaustiva y razonable en los archivos de la Coordinación Administrativa de la Secretaría de las Mujeres; por lo cual, permito adjuntar al presente, copia digitalizada de los siguientes documentos en los que </w:t>
      </w:r>
      <w:r>
        <w:rPr>
          <w:rFonts w:ascii="Palatino Linotype" w:eastAsia="Palatino Linotype" w:hAnsi="Palatino Linotype" w:cs="Palatino Linotype"/>
          <w:i/>
          <w:color w:val="000000"/>
          <w:sz w:val="20"/>
          <w:szCs w:val="20"/>
        </w:rPr>
        <w:t>se detalla la información concerniente con las renuncias del personal de este Sujeto Obligado del 01 de julio al 30 de noviembre de 2023, relacionada con la solicitud 00360/SEMUJS/IP/2023.</w:t>
      </w:r>
    </w:p>
    <w:p w:rsidR="008C1BB6" w:rsidRDefault="008C1BB6">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p>
    <w:p w:rsidR="008C1BB6" w:rsidRDefault="00D90ECF">
      <w:pPr>
        <w:numPr>
          <w:ilvl w:val="0"/>
          <w:numId w:val="1"/>
        </w:num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Oficio número 22700004000000S/2104/2023de fecha 6 de diciembre, em</w:t>
      </w:r>
      <w:r>
        <w:rPr>
          <w:rFonts w:ascii="Palatino Linotype" w:eastAsia="Palatino Linotype" w:hAnsi="Palatino Linotype" w:cs="Palatino Linotype"/>
          <w:i/>
          <w:color w:val="000000"/>
          <w:sz w:val="20"/>
          <w:szCs w:val="20"/>
        </w:rPr>
        <w:t>itido por la Servidora Pública Habilitada de la Coordinadora Administrativa de la Secretaría de las Mujeres, así como sus anexos correspondientes.</w:t>
      </w:r>
    </w:p>
    <w:p w:rsidR="008C1BB6" w:rsidRDefault="00D90ECF">
      <w:pPr>
        <w:numPr>
          <w:ilvl w:val="0"/>
          <w:numId w:val="1"/>
        </w:num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Resolución número 004 CTSEMUJS/EXT/033/2023 de fecha 15 de diciembre de 2023 mediante el cual, el Comité de T</w:t>
      </w:r>
      <w:r>
        <w:rPr>
          <w:rFonts w:ascii="Palatino Linotype" w:eastAsia="Palatino Linotype" w:hAnsi="Palatino Linotype" w:cs="Palatino Linotype"/>
          <w:i/>
          <w:color w:val="000000"/>
          <w:sz w:val="20"/>
          <w:szCs w:val="20"/>
        </w:rPr>
        <w:t xml:space="preserve">ransparencia confirmó la clasificación como confidencial de la información </w:t>
      </w:r>
      <w:r>
        <w:rPr>
          <w:rFonts w:ascii="Palatino Linotype" w:eastAsia="Palatino Linotype" w:hAnsi="Palatino Linotype" w:cs="Palatino Linotype"/>
          <w:i/>
          <w:color w:val="000000"/>
          <w:sz w:val="20"/>
          <w:szCs w:val="20"/>
        </w:rPr>
        <w:lastRenderedPageBreak/>
        <w:t>contenida en las “Renuncias del personal de la Secretaría de las Mujeres del 01 de julio al 30 de noviembre de 2023, requeridas en la solicitud 00360/SEMUJS/IP/2023.</w:t>
      </w:r>
    </w:p>
    <w:p w:rsidR="008C1BB6" w:rsidRDefault="00D90ECF">
      <w:pPr>
        <w:numPr>
          <w:ilvl w:val="0"/>
          <w:numId w:val="1"/>
        </w:num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Acta de la Trigésima Tercera Sesión Extraordinaria del Comité de Transparencia de fecha 15 de diciembre de 2023, aprobándose la resolución señalada anteriormente.</w:t>
      </w:r>
    </w:p>
    <w:p w:rsidR="008C1BB6" w:rsidRDefault="008C1BB6">
      <w:pPr>
        <w:tabs>
          <w:tab w:val="left" w:pos="567"/>
        </w:tabs>
        <w:spacing w:line="360" w:lineRule="auto"/>
        <w:ind w:left="567" w:right="567"/>
        <w:jc w:val="both"/>
        <w:rPr>
          <w:rFonts w:ascii="Palatino Linotype" w:eastAsia="Palatino Linotype" w:hAnsi="Palatino Linotype" w:cs="Palatino Linotype"/>
          <w:i/>
        </w:rPr>
      </w:pPr>
    </w:p>
    <w:p w:rsidR="008C1BB6" w:rsidRDefault="00D90ECF">
      <w:pPr>
        <w:tabs>
          <w:tab w:val="left" w:pos="5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Por otra parte, se le hace de conocimiento que la Unidad de Asuntos Jurídicos e Igualdad de </w:t>
      </w:r>
      <w:r>
        <w:rPr>
          <w:rFonts w:ascii="Palatino Linotype" w:eastAsia="Palatino Linotype" w:hAnsi="Palatino Linotype" w:cs="Palatino Linotype"/>
          <w:i/>
        </w:rPr>
        <w:t>Género, informó que tiene el registro de diez procesos jurisdiccionales en los que forma parte la Secretaría de las Mujeres notificadas por la instancia respectiva, del periodo del 01 de julio al 30 de noviembre de 2023.</w:t>
      </w: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ii) Oficio número 22700004000000S/2104/2023, del seis de diciembre de dos mil veintitrés, suscrito por la Coordinadora Administrativa y Servidora Pública Habilitada, dirigido a la Titular de la Unidad de Transparencia, por medio del cual manifiesta y expon</w:t>
      </w:r>
      <w:r>
        <w:rPr>
          <w:rFonts w:ascii="Palatino Linotype" w:eastAsia="Palatino Linotype" w:hAnsi="Palatino Linotype" w:cs="Palatino Linotype"/>
          <w:color w:val="000000"/>
          <w:sz w:val="24"/>
          <w:szCs w:val="24"/>
        </w:rPr>
        <w:t>e lo siguiente:</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A fin de dar cumplimiento a lo anterior, al respecto me permito comentar que la información relacionada con la información del expediente personal se ve reflejada en el documento denominado: </w:t>
      </w:r>
      <w:r>
        <w:rPr>
          <w:rFonts w:ascii="Palatino Linotype" w:eastAsia="Palatino Linotype" w:hAnsi="Palatino Linotype" w:cs="Palatino Linotype"/>
          <w:b/>
          <w:i/>
          <w:color w:val="000000"/>
          <w:sz w:val="20"/>
          <w:szCs w:val="20"/>
        </w:rPr>
        <w:t xml:space="preserve">Renuncias, </w:t>
      </w:r>
      <w:r>
        <w:rPr>
          <w:rFonts w:ascii="Palatino Linotype" w:eastAsia="Palatino Linotype" w:hAnsi="Palatino Linotype" w:cs="Palatino Linotype"/>
          <w:i/>
          <w:color w:val="000000"/>
          <w:sz w:val="20"/>
          <w:szCs w:val="20"/>
        </w:rPr>
        <w:t>mismo en el que se localizan datos personales, tales como: Huella digital, Clave del servidor público y Clave Única de Registro Poblacional (CURP), con la documentación antes descrita, se remiten (anexo 1).</w:t>
      </w:r>
    </w:p>
    <w:p w:rsidR="008C1BB6" w:rsidRDefault="008C1BB6">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Por lo anterior, es importante precisar que en e</w:t>
      </w:r>
      <w:r>
        <w:rPr>
          <w:rFonts w:ascii="Palatino Linotype" w:eastAsia="Palatino Linotype" w:hAnsi="Palatino Linotype" w:cs="Palatino Linotype"/>
          <w:i/>
          <w:color w:val="000000"/>
          <w:sz w:val="20"/>
          <w:szCs w:val="20"/>
        </w:rPr>
        <w:t>l documento antes mencionado existe información susceptible de clasificarse como confidencial al tratarse de datos personales concernientes a una persona física identificada o identificable, datos que se desglosan a continuación:</w:t>
      </w: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8C1BB6" w:rsidRDefault="008C1BB6">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p>
    <w:p w:rsidR="008C1BB6" w:rsidRDefault="00D90ECF">
      <w:pPr>
        <w:pBdr>
          <w:top w:val="nil"/>
          <w:left w:val="nil"/>
          <w:bottom w:val="nil"/>
          <w:right w:val="nil"/>
          <w:between w:val="nil"/>
        </w:pBdr>
        <w:tabs>
          <w:tab w:val="left" w:pos="567"/>
        </w:tabs>
        <w:spacing w:after="0"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…adjunto copia simple d</w:t>
      </w:r>
      <w:r>
        <w:rPr>
          <w:rFonts w:ascii="Palatino Linotype" w:eastAsia="Palatino Linotype" w:hAnsi="Palatino Linotype" w:cs="Palatino Linotype"/>
          <w:i/>
          <w:color w:val="000000"/>
          <w:sz w:val="20"/>
          <w:szCs w:val="20"/>
        </w:rPr>
        <w:t>el Cuadro de Clasificación (anexo 2).</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rPr>
        <w:t xml:space="preserve">iii) </w:t>
      </w:r>
      <w:r>
        <w:rPr>
          <w:rFonts w:ascii="Palatino Linotype" w:eastAsia="Palatino Linotype" w:hAnsi="Palatino Linotype" w:cs="Palatino Linotype"/>
          <w:color w:val="000000"/>
          <w:sz w:val="24"/>
          <w:szCs w:val="24"/>
        </w:rPr>
        <w:t>El Sujeto Obligado proporcionó sesenta y siete renuncias en versión pública de los servidores públicos que terminaron su relación laboral con la dependencia, del primero de julio al treinta de noviembre de dos mi</w:t>
      </w:r>
      <w:r>
        <w:rPr>
          <w:rFonts w:ascii="Palatino Linotype" w:eastAsia="Palatino Linotype" w:hAnsi="Palatino Linotype" w:cs="Palatino Linotype"/>
          <w:color w:val="000000"/>
          <w:sz w:val="24"/>
          <w:szCs w:val="24"/>
        </w:rPr>
        <w:t>l veintitrés.</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iv) Acta de la Trigésima Tercera Sesión Extraordinaria del Comité de Transparencia, del quince de diciembre de dos mil veintitrés, por la que se aprueba la clasificación de los datos personales contenidos en las renuncias proporcionadas.</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v)</w:t>
      </w:r>
      <w:r>
        <w:rPr>
          <w:rFonts w:ascii="Palatino Linotype" w:eastAsia="Palatino Linotype" w:hAnsi="Palatino Linotype" w:cs="Palatino Linotype"/>
          <w:color w:val="000000"/>
          <w:sz w:val="24"/>
          <w:szCs w:val="24"/>
        </w:rPr>
        <w:t xml:space="preserve"> Resolución número 004 CTSEMUJS/EXT/033/2023 de la secretaría de las mujeres de fecha quince de diciembre de dos mil veintitrés, por el que se ordena a la Unidad de Transparencia incorpore en el acta el acuerdo por el que se aprueba como confidencial, el c</w:t>
      </w:r>
      <w:r>
        <w:rPr>
          <w:rFonts w:ascii="Palatino Linotype" w:eastAsia="Palatino Linotype" w:hAnsi="Palatino Linotype" w:cs="Palatino Linotype"/>
          <w:color w:val="000000"/>
          <w:sz w:val="24"/>
          <w:szCs w:val="24"/>
        </w:rPr>
        <w:t>uadro de clasificación y la versión pública de las renuncias requeridas.</w:t>
      </w:r>
    </w:p>
    <w:p w:rsidR="008C1BB6" w:rsidRDefault="008C1B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
    <w:p w:rsidR="008C1BB6" w:rsidRDefault="00D90ECF">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sz w:val="24"/>
          <w:szCs w:val="24"/>
        </w:rPr>
      </w:pPr>
      <w:proofErr w:type="gramStart"/>
      <w:r>
        <w:rPr>
          <w:rFonts w:ascii="Palatino Linotype" w:eastAsia="Palatino Linotype" w:hAnsi="Palatino Linotype" w:cs="Palatino Linotype"/>
          <w:color w:val="000000"/>
          <w:sz w:val="24"/>
          <w:szCs w:val="24"/>
        </w:rPr>
        <w:t>vi</w:t>
      </w:r>
      <w:proofErr w:type="gramEnd"/>
      <w:r>
        <w:rPr>
          <w:rFonts w:ascii="Palatino Linotype" w:eastAsia="Palatino Linotype" w:hAnsi="Palatino Linotype" w:cs="Palatino Linotype"/>
          <w:color w:val="000000"/>
          <w:sz w:val="24"/>
          <w:szCs w:val="24"/>
        </w:rPr>
        <w:t>) Cuadro de clasificación de la información contenida en la solicitud de información 00360/SEMUJS/IP/2023.</w:t>
      </w:r>
    </w:p>
    <w:p w:rsidR="008C1BB6" w:rsidRDefault="008C1BB6">
      <w:pPr>
        <w:spacing w:after="0" w:line="360" w:lineRule="auto"/>
        <w:jc w:val="both"/>
        <w:rPr>
          <w:rFonts w:ascii="Palatino Linotype" w:eastAsia="Palatino Linotype" w:hAnsi="Palatino Linotype" w:cs="Palatino Linotype"/>
        </w:rPr>
      </w:pP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manifestó su inconformidad en los términos siguientes: </w:t>
      </w:r>
    </w:p>
    <w:p w:rsidR="008C1BB6" w:rsidRDefault="008C1BB6">
      <w:pPr>
        <w:spacing w:after="0" w:line="360" w:lineRule="auto"/>
        <w:jc w:val="both"/>
        <w:rPr>
          <w:rFonts w:ascii="Palatino Linotype" w:eastAsia="Palatino Linotype" w:hAnsi="Palatino Linotype" w:cs="Palatino Linotype"/>
        </w:rPr>
      </w:pPr>
    </w:p>
    <w:p w:rsidR="008C1BB6" w:rsidRDefault="00D90ECF">
      <w:pPr>
        <w:tabs>
          <w:tab w:val="left" w:pos="4667"/>
        </w:tabs>
        <w:spacing w:after="0" w:line="360" w:lineRule="auto"/>
        <w:ind w:left="567" w:right="567"/>
        <w:jc w:val="both"/>
        <w:rPr>
          <w:rFonts w:ascii="Palatino Linotype" w:eastAsia="Palatino Linotype" w:hAnsi="Palatino Linotype" w:cs="Palatino Linotype"/>
          <w:i/>
        </w:rPr>
      </w:pPr>
      <w:bookmarkStart w:id="0" w:name="_heading=h.3znysh7" w:colFirst="0" w:colLast="0"/>
      <w:bookmarkEnd w:id="0"/>
      <w:r>
        <w:rPr>
          <w:rFonts w:ascii="Palatino Linotype" w:eastAsia="Palatino Linotype" w:hAnsi="Palatino Linotype" w:cs="Palatino Linotype"/>
          <w:b/>
          <w:i/>
        </w:rPr>
        <w:t>“ACTO IMPUGNADO</w:t>
      </w:r>
    </w:p>
    <w:p w:rsidR="008C1BB6" w:rsidRDefault="00D90ECF">
      <w:pPr>
        <w:spacing w:after="0" w:line="360" w:lineRule="auto"/>
        <w:ind w:left="567" w:right="567"/>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no</w:t>
      </w:r>
      <w:proofErr w:type="gramEnd"/>
      <w:r>
        <w:rPr>
          <w:rFonts w:ascii="Palatino Linotype" w:eastAsia="Palatino Linotype" w:hAnsi="Palatino Linotype" w:cs="Palatino Linotype"/>
          <w:i/>
        </w:rPr>
        <w:t xml:space="preserve"> entrega información completa” (Sic.)</w:t>
      </w:r>
    </w:p>
    <w:p w:rsidR="008C1BB6" w:rsidRDefault="008C1BB6">
      <w:pPr>
        <w:spacing w:after="0" w:line="360" w:lineRule="auto"/>
        <w:ind w:left="567" w:right="567"/>
        <w:jc w:val="both"/>
        <w:rPr>
          <w:rFonts w:ascii="Palatino Linotype" w:eastAsia="Palatino Linotype" w:hAnsi="Palatino Linotype" w:cs="Palatino Linotype"/>
          <w:i/>
        </w:rPr>
      </w:pPr>
    </w:p>
    <w:p w:rsidR="008C1BB6" w:rsidRDefault="00D90ECF">
      <w:pPr>
        <w:spacing w:after="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8C1BB6" w:rsidRDefault="00D90ECF">
      <w:pPr>
        <w:spacing w:after="0" w:line="360" w:lineRule="auto"/>
        <w:ind w:left="567" w:right="567"/>
        <w:jc w:val="both"/>
        <w:rPr>
          <w:rFonts w:ascii="Palatino Linotype" w:eastAsia="Palatino Linotype" w:hAnsi="Palatino Linotype" w:cs="Palatino Linotype"/>
          <w:i/>
        </w:rPr>
      </w:pPr>
      <w:proofErr w:type="gramStart"/>
      <w:r>
        <w:rPr>
          <w:rFonts w:ascii="Palatino Linotype" w:eastAsia="Palatino Linotype" w:hAnsi="Palatino Linotype" w:cs="Palatino Linotype"/>
          <w:i/>
          <w:color w:val="000000"/>
        </w:rPr>
        <w:t>pretende</w:t>
      </w:r>
      <w:proofErr w:type="gramEnd"/>
      <w:r>
        <w:rPr>
          <w:rFonts w:ascii="Palatino Linotype" w:eastAsia="Palatino Linotype" w:hAnsi="Palatino Linotype" w:cs="Palatino Linotype"/>
          <w:i/>
          <w:color w:val="000000"/>
        </w:rPr>
        <w:t xml:space="preserve"> entregar solo una parte de la información</w:t>
      </w:r>
      <w:r>
        <w:rPr>
          <w:rFonts w:ascii="Palatino Linotype" w:eastAsia="Palatino Linotype" w:hAnsi="Palatino Linotype" w:cs="Palatino Linotype"/>
          <w:i/>
        </w:rPr>
        <w:t xml:space="preserve">” (Sic) </w:t>
      </w:r>
    </w:p>
    <w:p w:rsidR="008C1BB6" w:rsidRDefault="008C1BB6">
      <w:pPr>
        <w:ind w:right="900"/>
        <w:jc w:val="both"/>
        <w:rPr>
          <w:rFonts w:ascii="Palatino Linotype" w:eastAsia="Palatino Linotype" w:hAnsi="Palatino Linotype" w:cs="Palatino Linotype"/>
          <w:i/>
          <w:color w:val="000000"/>
        </w:rPr>
      </w:pPr>
    </w:p>
    <w:p w:rsidR="008C1BB6" w:rsidRDefault="00D90EC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etapa de manifestaciones </w:t>
      </w:r>
      <w:r>
        <w:rPr>
          <w:rFonts w:ascii="Palatino Linotype" w:eastAsia="Palatino Linotype" w:hAnsi="Palatino Linotype" w:cs="Palatino Linotype"/>
          <w:b/>
          <w:color w:val="000000"/>
          <w:sz w:val="24"/>
          <w:szCs w:val="24"/>
        </w:rPr>
        <w:t>LA PARTE RECURR</w:t>
      </w:r>
      <w:r>
        <w:rPr>
          <w:rFonts w:ascii="Palatino Linotype" w:eastAsia="Palatino Linotype" w:hAnsi="Palatino Linotype" w:cs="Palatino Linotype"/>
          <w:b/>
          <w:color w:val="000000"/>
          <w:sz w:val="24"/>
          <w:szCs w:val="24"/>
        </w:rPr>
        <w:t>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w:t>
      </w:r>
      <w:r>
        <w:rPr>
          <w:rFonts w:ascii="Palatino Linotype" w:eastAsia="Palatino Linotype" w:hAnsi="Palatino Linotype" w:cs="Palatino Linotype"/>
          <w:sz w:val="24"/>
          <w:szCs w:val="24"/>
        </w:rPr>
        <w:t>a</w:t>
      </w:r>
      <w:r>
        <w:rPr>
          <w:rFonts w:ascii="Palatino Linotype" w:eastAsia="Palatino Linotype" w:hAnsi="Palatino Linotype" w:cs="Palatino Linotype"/>
          <w:color w:val="000000"/>
          <w:sz w:val="24"/>
          <w:szCs w:val="24"/>
        </w:rPr>
        <w:t xml:space="preserve"> de pronunciarse, por lo que respecta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mediante Informe Justificado, remitió el oficio número SM/UT/0029/2024 suscrito por la Titular de la Unidad de Transparencia, dirigido al Comisionado ponente, a través del cual esencialmente ratifica su respuesta inicial.</w:t>
      </w:r>
    </w:p>
    <w:p w:rsidR="008C1BB6" w:rsidRDefault="008C1BB6">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preciso menciona</w:t>
      </w:r>
      <w:r>
        <w:rPr>
          <w:rFonts w:ascii="Palatino Linotype" w:eastAsia="Palatino Linotype" w:hAnsi="Palatino Linotype" w:cs="Palatino Linotype"/>
          <w:sz w:val="24"/>
          <w:szCs w:val="24"/>
        </w:rPr>
        <w:t xml:space="preserve">r que, si bien, se comparte el sentido de la Resolución en el recurso de revisión </w:t>
      </w:r>
      <w:r>
        <w:rPr>
          <w:rFonts w:ascii="Palatino Linotype" w:eastAsia="Palatino Linotype" w:hAnsi="Palatino Linotype" w:cs="Palatino Linotype"/>
          <w:b/>
          <w:sz w:val="24"/>
          <w:szCs w:val="24"/>
        </w:rPr>
        <w:t xml:space="preserve">00046/INFOEM/IP/RR/2024 </w:t>
      </w:r>
      <w:r>
        <w:rPr>
          <w:rFonts w:ascii="Palatino Linotype" w:eastAsia="Palatino Linotype" w:hAnsi="Palatino Linotype" w:cs="Palatino Linotype"/>
          <w:sz w:val="24"/>
          <w:szCs w:val="24"/>
        </w:rPr>
        <w:t xml:space="preserve">emitida en virtud de que procede </w:t>
      </w:r>
      <w:r>
        <w:rPr>
          <w:rFonts w:ascii="Palatino Linotype" w:eastAsia="Palatino Linotype" w:hAnsi="Palatino Linotype" w:cs="Palatino Linotype"/>
          <w:b/>
          <w:sz w:val="24"/>
          <w:szCs w:val="24"/>
        </w:rPr>
        <w:t>MODIFICAR</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ordenar lo siguiente:</w:t>
      </w:r>
    </w:p>
    <w:p w:rsidR="008C1BB6" w:rsidRDefault="008C1BB6">
      <w:pPr>
        <w:spacing w:after="0" w:line="360" w:lineRule="auto"/>
        <w:jc w:val="both"/>
        <w:rPr>
          <w:rFonts w:ascii="Palatino Linotype" w:eastAsia="Palatino Linotype" w:hAnsi="Palatino Linotype" w:cs="Palatino Linotype"/>
        </w:rPr>
      </w:pPr>
    </w:p>
    <w:p w:rsidR="008C1BB6" w:rsidRDefault="00D90ECF">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“SEGUNDO. </w:t>
      </w:r>
      <w:r>
        <w:rPr>
          <w:rFonts w:ascii="Palatino Linotype" w:eastAsia="Palatino Linotype" w:hAnsi="Palatino Linotype" w:cs="Palatino Linotype"/>
          <w:i/>
        </w:rPr>
        <w:t xml:space="preserve">Se </w:t>
      </w:r>
      <w:r>
        <w:rPr>
          <w:rFonts w:ascii="Palatino Linotype" w:eastAsia="Palatino Linotype" w:hAnsi="Palatino Linotype" w:cs="Palatino Linotype"/>
          <w:b/>
          <w:i/>
        </w:rPr>
        <w:t>ORDENA</w:t>
      </w:r>
      <w:r>
        <w:rPr>
          <w:rFonts w:ascii="Palatino Linotype" w:eastAsia="Palatino Linotype" w:hAnsi="Palatino Linotype" w:cs="Palatino Linotype"/>
          <w:i/>
        </w:rPr>
        <w:t xml:space="preserve"> al Sujeto Obligado,</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a efecto </w:t>
      </w:r>
      <w:r>
        <w:rPr>
          <w:rFonts w:ascii="Palatino Linotype" w:eastAsia="Palatino Linotype" w:hAnsi="Palatino Linotype" w:cs="Palatino Linotype"/>
          <w:i/>
        </w:rPr>
        <w:t>de que, entregue a través del Sistema de Acceso a la Información Mexiquense (SAIMEX), lo siguiente:</w:t>
      </w:r>
    </w:p>
    <w:p w:rsidR="008C1BB6" w:rsidRDefault="008C1BB6">
      <w:pPr>
        <w:spacing w:after="0" w:line="360" w:lineRule="auto"/>
        <w:ind w:left="567" w:right="567"/>
        <w:jc w:val="both"/>
        <w:rPr>
          <w:rFonts w:ascii="Palatino Linotype" w:eastAsia="Palatino Linotype" w:hAnsi="Palatino Linotype" w:cs="Palatino Linotype"/>
          <w:i/>
        </w:rPr>
      </w:pPr>
    </w:p>
    <w:p w:rsidR="008C1BB6" w:rsidRDefault="00D90ECF">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versión íntegra de la Renuncia con carácter de irrevocable, del trece de noviembre de dos mil veintitrés, de la entonces Analista “B”, adscritos de la Dirección General de Igualdad Sustantiva.</w:t>
      </w:r>
    </w:p>
    <w:p w:rsidR="008C1BB6" w:rsidRDefault="008C1BB6">
      <w:pPr>
        <w:spacing w:after="0" w:line="360" w:lineRule="auto"/>
        <w:ind w:left="567" w:right="567"/>
        <w:jc w:val="both"/>
        <w:rPr>
          <w:rFonts w:ascii="Palatino Linotype" w:eastAsia="Palatino Linotype" w:hAnsi="Palatino Linotype" w:cs="Palatino Linotype"/>
          <w:i/>
        </w:rPr>
      </w:pPr>
    </w:p>
    <w:p w:rsidR="008C1BB6" w:rsidRDefault="00D90ECF">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El Acuerdo de Clasificación donde el Comité de Transparenci</w:t>
      </w:r>
      <w:r>
        <w:rPr>
          <w:rFonts w:ascii="Palatino Linotype" w:eastAsia="Palatino Linotype" w:hAnsi="Palatino Linotype" w:cs="Palatino Linotype"/>
          <w:i/>
        </w:rPr>
        <w:t>a, confirme la eliminación de la Calve Única de Registro de Población y la huella dactilar de las versiones públicas entregadas en respuesta, de conformidad con los artículos 49, fracciones II y VIII, 132, fracción II, 143, fracción I, y 149 de la Ley de T</w:t>
      </w:r>
      <w:r>
        <w:rPr>
          <w:rFonts w:ascii="Palatino Linotype" w:eastAsia="Palatino Linotype" w:hAnsi="Palatino Linotype" w:cs="Palatino Linotype"/>
          <w:i/>
        </w:rPr>
        <w:t xml:space="preserve">ransparencia y Acceso a la Información Pública del Estado de México y Municipios. </w:t>
      </w:r>
    </w:p>
    <w:p w:rsidR="008C1BB6" w:rsidRDefault="008C1BB6">
      <w:pPr>
        <w:spacing w:after="0" w:line="360" w:lineRule="auto"/>
        <w:jc w:val="both"/>
        <w:rPr>
          <w:rFonts w:ascii="Palatino Linotype" w:eastAsia="Palatino Linotype" w:hAnsi="Palatino Linotype" w:cs="Palatino Linotype"/>
        </w:rPr>
      </w:pPr>
    </w:p>
    <w:p w:rsidR="008C1BB6" w:rsidRDefault="00D90ECF">
      <w:pPr>
        <w:shd w:val="clear" w:color="auto" w:fill="FFFFFF"/>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voto se formula con relación a la vista que se da a la Dirección General de Protección de Datos Personales, misma que se justifica por parte de la Ponencia Resolutora, c</w:t>
      </w:r>
      <w:r>
        <w:rPr>
          <w:rFonts w:ascii="Palatino Linotype" w:eastAsia="Palatino Linotype" w:hAnsi="Palatino Linotype" w:cs="Palatino Linotype"/>
          <w:sz w:val="24"/>
          <w:szCs w:val="24"/>
        </w:rPr>
        <w:t>on las siguientes consideraciones:</w:t>
      </w:r>
    </w:p>
    <w:p w:rsidR="008C1BB6" w:rsidRDefault="008C1BB6">
      <w:pPr>
        <w:shd w:val="clear" w:color="auto" w:fill="FFFFFF"/>
        <w:spacing w:after="0" w:line="360" w:lineRule="auto"/>
        <w:ind w:right="49"/>
        <w:jc w:val="both"/>
        <w:rPr>
          <w:rFonts w:ascii="Palatino Linotype" w:eastAsia="Palatino Linotype" w:hAnsi="Palatino Linotype" w:cs="Palatino Linotype"/>
          <w:sz w:val="24"/>
          <w:szCs w:val="24"/>
        </w:rPr>
      </w:pPr>
    </w:p>
    <w:p w:rsidR="008C1BB6" w:rsidRDefault="00D90ECF">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“De la información proporcionada en respuesta, se logra advertir que el Sujeto Obligado dejó parcialmente visible la Clave Única de Registro de Población en una renuncia,  pues se logra vislumbrar en el </w:t>
      </w:r>
      <w:proofErr w:type="spellStart"/>
      <w:r>
        <w:rPr>
          <w:rFonts w:ascii="Palatino Linotype" w:eastAsia="Palatino Linotype" w:hAnsi="Palatino Linotype" w:cs="Palatino Linotype"/>
          <w:i/>
        </w:rPr>
        <w:t>sisteme</w:t>
      </w:r>
      <w:proofErr w:type="spellEnd"/>
      <w:r>
        <w:rPr>
          <w:rFonts w:ascii="Palatino Linotype" w:eastAsia="Palatino Linotype" w:hAnsi="Palatino Linotype" w:cs="Palatino Linotype"/>
          <w:i/>
        </w:rPr>
        <w:t xml:space="preserve"> operativ</w:t>
      </w:r>
      <w:r>
        <w:rPr>
          <w:rFonts w:ascii="Palatino Linotype" w:eastAsia="Palatino Linotype" w:hAnsi="Palatino Linotype" w:cs="Palatino Linotype"/>
          <w:i/>
        </w:rPr>
        <w:t xml:space="preserve">o </w:t>
      </w:r>
      <w:proofErr w:type="spellStart"/>
      <w:r>
        <w:rPr>
          <w:rFonts w:ascii="Palatino Linotype" w:eastAsia="Palatino Linotype" w:hAnsi="Palatino Linotype" w:cs="Palatino Linotype"/>
          <w:i/>
        </w:rPr>
        <w:t>macOS</w:t>
      </w:r>
      <w:proofErr w:type="spellEnd"/>
      <w:r>
        <w:rPr>
          <w:rFonts w:ascii="Palatino Linotype" w:eastAsia="Palatino Linotype" w:hAnsi="Palatino Linotype" w:cs="Palatino Linotype"/>
          <w:i/>
        </w:rPr>
        <w:t>, circunstancia que vulnera lo previsto en el artículo 143, fracción I, de la Ley de Transparencia y Acceso a la Información Pública del Estado de México y Municipios.”</w:t>
      </w:r>
    </w:p>
    <w:p w:rsidR="008C1BB6" w:rsidRDefault="008C1BB6">
      <w:pPr>
        <w:spacing w:after="0" w:line="360" w:lineRule="auto"/>
        <w:jc w:val="both"/>
        <w:rPr>
          <w:rFonts w:ascii="Palatino Linotype" w:eastAsia="Palatino Linotype" w:hAnsi="Palatino Linotype" w:cs="Palatino Linotype"/>
        </w:rPr>
      </w:pP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Situación que no se comparte, pues de la revisión a la información proporcionad</w:t>
      </w:r>
      <w:r>
        <w:rPr>
          <w:rFonts w:ascii="Palatino Linotype" w:eastAsia="Palatino Linotype" w:hAnsi="Palatino Linotype" w:cs="Palatino Linotype"/>
          <w:sz w:val="24"/>
          <w:szCs w:val="24"/>
        </w:rPr>
        <w:t xml:space="preserve">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con los equipos de cómputo y herramientas </w:t>
      </w:r>
      <w:r>
        <w:rPr>
          <w:rFonts w:ascii="Palatino Linotype" w:eastAsia="Palatino Linotype" w:hAnsi="Palatino Linotype" w:cs="Palatino Linotype"/>
          <w:sz w:val="24"/>
          <w:szCs w:val="24"/>
        </w:rPr>
        <w:lastRenderedPageBreak/>
        <w:t xml:space="preserve">tecnológicas con las que cuenta el personal de este Instituto no fue posible advertir vulneración de datos personales, tal y como se observa en la siguiente imagen: </w:t>
      </w:r>
    </w:p>
    <w:p w:rsidR="008C1BB6" w:rsidRDefault="008C1BB6">
      <w:pPr>
        <w:spacing w:after="0" w:line="360" w:lineRule="auto"/>
        <w:jc w:val="both"/>
        <w:rPr>
          <w:rFonts w:ascii="Palatino Linotype" w:eastAsia="Palatino Linotype" w:hAnsi="Palatino Linotype" w:cs="Palatino Linotype"/>
          <w:sz w:val="24"/>
          <w:szCs w:val="24"/>
        </w:rPr>
      </w:pP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5612130" cy="43307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93481"/>
                    <a:stretch>
                      <a:fillRect/>
                    </a:stretch>
                  </pic:blipFill>
                  <pic:spPr>
                    <a:xfrm>
                      <a:off x="0" y="0"/>
                      <a:ext cx="5612130" cy="433070"/>
                    </a:xfrm>
                    <a:prstGeom prst="rect">
                      <a:avLst/>
                    </a:prstGeom>
                    <a:ln/>
                  </pic:spPr>
                </pic:pic>
              </a:graphicData>
            </a:graphic>
          </wp:inline>
        </w:drawing>
      </w: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5574665" cy="54546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1914"/>
                    <a:stretch>
                      <a:fillRect/>
                    </a:stretch>
                  </pic:blipFill>
                  <pic:spPr>
                    <a:xfrm>
                      <a:off x="0" y="0"/>
                      <a:ext cx="5574665" cy="545465"/>
                    </a:xfrm>
                    <a:prstGeom prst="rect">
                      <a:avLst/>
                    </a:prstGeom>
                    <a:ln/>
                  </pic:spPr>
                </pic:pic>
              </a:graphicData>
            </a:graphic>
          </wp:inline>
        </w:drawing>
      </w:r>
    </w:p>
    <w:p w:rsidR="008C1BB6" w:rsidRDefault="00D90E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3695700" cy="2571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89762" r="34148" b="6408"/>
                    <a:stretch>
                      <a:fillRect/>
                    </a:stretch>
                  </pic:blipFill>
                  <pic:spPr>
                    <a:xfrm>
                      <a:off x="0" y="0"/>
                      <a:ext cx="3695700" cy="257175"/>
                    </a:xfrm>
                    <a:prstGeom prst="rect">
                      <a:avLst/>
                    </a:prstGeom>
                    <a:ln/>
                  </pic:spPr>
                </pic:pic>
              </a:graphicData>
            </a:graphic>
          </wp:inline>
        </w:drawing>
      </w:r>
    </w:p>
    <w:p w:rsidR="008C1BB6" w:rsidRDefault="00D90ECF">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2276475" cy="29527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0041" t="87806" r="29396" b="7587"/>
                    <a:stretch>
                      <a:fillRect/>
                    </a:stretch>
                  </pic:blipFill>
                  <pic:spPr>
                    <a:xfrm>
                      <a:off x="0" y="0"/>
                      <a:ext cx="2276475" cy="295275"/>
                    </a:xfrm>
                    <a:prstGeom prst="rect">
                      <a:avLst/>
                    </a:prstGeom>
                    <a:ln/>
                  </pic:spPr>
                </pic:pic>
              </a:graphicData>
            </a:graphic>
          </wp:inline>
        </w:drawing>
      </w:r>
    </w:p>
    <w:p w:rsidR="008C1BB6" w:rsidRDefault="00D90ECF">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2095500" cy="2286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8915" t="89514" r="31817" b="7097"/>
                    <a:stretch>
                      <a:fillRect/>
                    </a:stretch>
                  </pic:blipFill>
                  <pic:spPr>
                    <a:xfrm>
                      <a:off x="0" y="0"/>
                      <a:ext cx="2095500" cy="228600"/>
                    </a:xfrm>
                    <a:prstGeom prst="rect">
                      <a:avLst/>
                    </a:prstGeom>
                    <a:ln/>
                  </pic:spPr>
                </pic:pic>
              </a:graphicData>
            </a:graphic>
          </wp:inline>
        </w:drawing>
      </w:r>
    </w:p>
    <w:p w:rsidR="008C1BB6" w:rsidRDefault="008C1BB6">
      <w:pPr>
        <w:spacing w:after="0" w:line="360" w:lineRule="auto"/>
        <w:jc w:val="both"/>
        <w:rPr>
          <w:rFonts w:ascii="Palatino Linotype" w:eastAsia="Palatino Linotype" w:hAnsi="Palatino Linotype" w:cs="Palatino Linotype"/>
          <w:sz w:val="10"/>
          <w:szCs w:val="10"/>
        </w:rPr>
      </w:pPr>
    </w:p>
    <w:p w:rsidR="008C1BB6" w:rsidRDefault="008C1BB6">
      <w:pPr>
        <w:spacing w:after="120" w:line="276" w:lineRule="auto"/>
        <w:ind w:right="902"/>
        <w:jc w:val="both"/>
        <w:rPr>
          <w:rFonts w:ascii="Palatino Linotype" w:eastAsia="Palatino Linotype" w:hAnsi="Palatino Linotype" w:cs="Palatino Linotype"/>
        </w:rPr>
      </w:pPr>
      <w:bookmarkStart w:id="2" w:name="_heading=h.gjdgxs" w:colFirst="0" w:colLast="0"/>
      <w:bookmarkEnd w:id="2"/>
    </w:p>
    <w:p w:rsidR="008C1BB6" w:rsidRDefault="00D90ECF">
      <w:pPr>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 xml:space="preserve">Lo anterior expone razones suficientes para la emisión y presentación del presente </w:t>
      </w:r>
      <w:r>
        <w:rPr>
          <w:rFonts w:ascii="Palatino Linotype" w:eastAsia="Palatino Linotype" w:hAnsi="Palatino Linotype" w:cs="Palatino Linotype"/>
          <w:b/>
          <w:sz w:val="24"/>
          <w:szCs w:val="24"/>
        </w:rPr>
        <w:t>Voto Particular</w:t>
      </w:r>
      <w:r>
        <w:rPr>
          <w:rFonts w:ascii="Palatino Linotype" w:eastAsia="Palatino Linotype" w:hAnsi="Palatino Linotype" w:cs="Palatino Linotype"/>
          <w:sz w:val="24"/>
          <w:szCs w:val="24"/>
        </w:rPr>
        <w:t>, relacionado con la resolución del Recurso de Revisión referido.</w:t>
      </w:r>
    </w:p>
    <w:p w:rsidR="008C1BB6" w:rsidRDefault="008C1BB6"/>
    <w:p w:rsidR="00245F79" w:rsidRDefault="00245F79"/>
    <w:p w:rsidR="00245F79" w:rsidRDefault="00245F79"/>
    <w:p w:rsidR="00245F79" w:rsidRDefault="00245F79"/>
    <w:p w:rsidR="00245F79" w:rsidRDefault="00245F79"/>
    <w:p w:rsidR="00245F79" w:rsidRDefault="00245F79"/>
    <w:p w:rsidR="00245F79" w:rsidRDefault="00245F79"/>
    <w:p w:rsidR="00245F79" w:rsidRDefault="00245F79"/>
    <w:p w:rsidR="00245F79" w:rsidRDefault="00245F79"/>
    <w:p w:rsidR="00245F79" w:rsidRDefault="00245F79"/>
    <w:p w:rsidR="00245F79" w:rsidRDefault="00245F79"/>
    <w:p w:rsidR="00D90ECF" w:rsidRDefault="00D90ECF"/>
    <w:p w:rsidR="00D90ECF" w:rsidRDefault="00D90ECF">
      <w:bookmarkStart w:id="3" w:name="_GoBack"/>
      <w:bookmarkEnd w:id="3"/>
    </w:p>
    <w:sectPr w:rsidR="00D90ECF">
      <w:headerReference w:type="default" r:id="rId13"/>
      <w:pgSz w:w="12240" w:h="15840"/>
      <w:pgMar w:top="2438" w:right="1701" w:bottom="2778" w:left="1701" w:header="1134"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90ECF">
      <w:pPr>
        <w:spacing w:after="0" w:line="240" w:lineRule="auto"/>
      </w:pPr>
      <w:r>
        <w:separator/>
      </w:r>
    </w:p>
  </w:endnote>
  <w:endnote w:type="continuationSeparator" w:id="0">
    <w:p w:rsidR="00000000" w:rsidRDefault="00D9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90ECF">
      <w:pPr>
        <w:spacing w:after="0" w:line="240" w:lineRule="auto"/>
      </w:pPr>
      <w:r>
        <w:separator/>
      </w:r>
    </w:p>
  </w:footnote>
  <w:footnote w:type="continuationSeparator" w:id="0">
    <w:p w:rsidR="00000000" w:rsidRDefault="00D90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BB6" w:rsidRDefault="00245F7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noProof/>
      </w:rPr>
      <w:drawing>
        <wp:anchor distT="0" distB="0" distL="0" distR="0" simplePos="0" relativeHeight="251659264" behindDoc="1" locked="0" layoutInCell="1" hidden="0" allowOverlap="1">
          <wp:simplePos x="0" y="0"/>
          <wp:positionH relativeFrom="column">
            <wp:posOffset>-733425</wp:posOffset>
          </wp:positionH>
          <wp:positionV relativeFrom="paragraph">
            <wp:posOffset>-560070</wp:posOffset>
          </wp:positionV>
          <wp:extent cx="7510628" cy="9883775"/>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r w:rsidR="00D90ECF">
      <w:rPr>
        <w:rFonts w:ascii="Palatino Linotype" w:eastAsia="Palatino Linotype" w:hAnsi="Palatino Linotype" w:cs="Palatino Linotype"/>
        <w:b/>
        <w:color w:val="000000"/>
        <w:sz w:val="20"/>
        <w:szCs w:val="20"/>
      </w:rPr>
      <w:t xml:space="preserve">VOTO PARTICULAR </w:t>
    </w:r>
  </w:p>
  <w:p w:rsidR="008C1BB6" w:rsidRDefault="00D90EC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Palatino Linotype" w:eastAsia="Palatino Linotype" w:hAnsi="Palatino Linotype" w:cs="Palatino Linotype"/>
        <w:b/>
        <w:color w:val="000000"/>
        <w:sz w:val="20"/>
        <w:szCs w:val="20"/>
      </w:rPr>
      <w:t>RECURSO DE REVISIÓN 00046/INFOEM/IP/RR/2024.</w:t>
    </w:r>
  </w:p>
  <w:p w:rsidR="008C1BB6" w:rsidRDefault="008C1BB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9B534D"/>
    <w:multiLevelType w:val="multilevel"/>
    <w:tmpl w:val="ECB6C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BB6"/>
    <w:rsid w:val="00245F79"/>
    <w:rsid w:val="008C1BB6"/>
    <w:rsid w:val="00D90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45EC3-7C16-4D33-85C7-29C63891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F6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C50F68"/>
    <w:rPr>
      <w:color w:val="0563C1" w:themeColor="hyperlink"/>
      <w:u w:val="single"/>
    </w:rPr>
  </w:style>
  <w:style w:type="paragraph" w:styleId="Encabezado">
    <w:name w:val="header"/>
    <w:basedOn w:val="Normal"/>
    <w:link w:val="EncabezadoCar"/>
    <w:uiPriority w:val="99"/>
    <w:unhideWhenUsed/>
    <w:rsid w:val="00C50F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0F68"/>
    <w:rPr>
      <w:rFonts w:ascii="Calibri" w:eastAsia="Calibri" w:hAnsi="Calibri" w:cs="Calibri"/>
      <w:lang w:eastAsia="es-MX"/>
    </w:rPr>
  </w:style>
  <w:style w:type="paragraph" w:styleId="Piedepgina">
    <w:name w:val="footer"/>
    <w:basedOn w:val="Normal"/>
    <w:link w:val="PiedepginaCar"/>
    <w:uiPriority w:val="99"/>
    <w:unhideWhenUsed/>
    <w:rsid w:val="00C50F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0F68"/>
    <w:rPr>
      <w:rFonts w:ascii="Calibri" w:eastAsia="Calibri" w:hAnsi="Calibri" w:cs="Calibri"/>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E6A66"/>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E6A66"/>
    <w:pPr>
      <w:spacing w:after="0" w:line="240" w:lineRule="auto"/>
      <w:ind w:left="720"/>
      <w:contextualSpacing/>
    </w:pPr>
    <w:rPr>
      <w:rFonts w:ascii="Century Gothic" w:eastAsia="Times New Roman" w:hAnsi="Century Gothic" w:cs="Times New Roman"/>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B1Kd/nOOyMnnlxj+ae59N187Q==">CgMxLjAyCGguZ2pkZ3hzMgloLjN6bnlzaDcyCWguMzBqMHpsbDIIaC5namRneHM4AHIhMWwyVXp5TGZaUUhGSG5EWVVYbHhXR2ZyV0FlaVNHRlhv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1209</Words>
  <Characters>6654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INFOEM505</cp:lastModifiedBy>
  <cp:revision>3</cp:revision>
  <cp:lastPrinted>2024-03-05T15:30:00Z</cp:lastPrinted>
  <dcterms:created xsi:type="dcterms:W3CDTF">2024-03-05T15:29:00Z</dcterms:created>
  <dcterms:modified xsi:type="dcterms:W3CDTF">2024-03-05T15:30:00Z</dcterms:modified>
</cp:coreProperties>
</file>