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ind w:right="51"/>
        <w:jc w:val="both"/>
        <w:rPr>
          <w:rFonts w:ascii="Palatino Linotype" w:cs="Palatino Linotype" w:eastAsia="Palatino Linotype" w:hAnsi="Palatino Linotype"/>
          <w:b w:val="1"/>
        </w:rPr>
      </w:pPr>
      <w:bookmarkStart w:colFirst="0" w:colLast="0" w:name="_heading=h.gjdgxs" w:id="0"/>
      <w:bookmarkEnd w:id="0"/>
      <w:r w:rsidDel="00000000" w:rsidR="00000000" w:rsidRPr="00000000">
        <w:rPr>
          <w:rFonts w:ascii="Palatino Linotype" w:cs="Palatino Linotype" w:eastAsia="Palatino Linotype" w:hAnsi="Palatino Linotype"/>
          <w:b w:val="1"/>
          <w:rtl w:val="0"/>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CUADRAGÉSIMA SEGUNDA SESIÓN ORDINARIA DEL CUATRO DE DICIEMBRE DE DOS MIL VEINTICUATRO EN EL RECURSO DE REVISIÓN 07136/INFOEM/IP/RR/2024.</w:t>
      </w:r>
    </w:p>
    <w:p w:rsidR="00000000" w:rsidDel="00000000" w:rsidP="00000000" w:rsidRDefault="00000000" w:rsidRPr="00000000" w14:paraId="00000002">
      <w:pPr>
        <w:spacing w:after="240" w:before="240" w:line="360" w:lineRule="auto"/>
        <w:ind w:right="51"/>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El Pleno del Instituto de Transparencia, Acceso a la Información Pública y Protección de Datos Personales del Estado de México resolvió por unanimidad de votos, la Resolución relativa al Recurso de Revisión </w:t>
      </w:r>
      <w:r w:rsidDel="00000000" w:rsidR="00000000" w:rsidRPr="00000000">
        <w:rPr>
          <w:rFonts w:ascii="Palatino Linotype" w:cs="Palatino Linotype" w:eastAsia="Palatino Linotype" w:hAnsi="Palatino Linotype"/>
          <w:b w:val="1"/>
          <w:rtl w:val="0"/>
        </w:rPr>
        <w:t xml:space="preserve">07136/INFOEM/IP/RR/2024, </w:t>
      </w:r>
      <w:r w:rsidDel="00000000" w:rsidR="00000000" w:rsidRPr="00000000">
        <w:rPr>
          <w:rFonts w:ascii="Palatino Linotype" w:cs="Palatino Linotype" w:eastAsia="Palatino Linotype" w:hAnsi="Palatino Linotype"/>
          <w:rtl w:val="0"/>
        </w:rPr>
        <w:t xml:space="preserve">respecto de la cual, quien suscribe, emite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Fonts w:ascii="Palatino Linotype" w:cs="Palatino Linotype" w:eastAsia="Palatino Linotype" w:hAnsi="Palatino Linotype"/>
          <w:rtl w:val="0"/>
        </w:rPr>
        <w:t xml:space="preserve">, con fundamento en lo dispuesto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000000" w:rsidDel="00000000" w:rsidP="00000000" w:rsidRDefault="00000000" w:rsidRPr="00000000" w14:paraId="00000003">
      <w:pPr>
        <w:spacing w:after="0" w:line="360" w:lineRule="auto"/>
        <w:ind w:right="49"/>
        <w:jc w:val="both"/>
        <w:rPr>
          <w:rFonts w:ascii="Palatino Linotype" w:cs="Palatino Linotype" w:eastAsia="Palatino Linotype" w:hAnsi="Palatino Linotype"/>
        </w:rPr>
      </w:pPr>
      <w:bookmarkStart w:colFirst="0" w:colLast="0" w:name="_heading=h.2et92p0" w:id="1"/>
      <w:bookmarkEnd w:id="1"/>
      <w:r w:rsidDel="00000000" w:rsidR="00000000" w:rsidRPr="00000000">
        <w:rPr>
          <w:rFonts w:ascii="Palatino Linotype" w:cs="Palatino Linotype" w:eastAsia="Palatino Linotype" w:hAnsi="Palatino Linotype"/>
          <w:rtl w:val="0"/>
        </w:rPr>
        <w:t xml:space="preserve">El presente voto se formula en relación a que en los documentos que se ordenan pudiera constar el número de placas de los vehículos oficiales o en comodato del Sujeto Obligado.</w:t>
      </w:r>
    </w:p>
    <w:p w:rsidR="00000000" w:rsidDel="00000000" w:rsidP="00000000" w:rsidRDefault="00000000" w:rsidRPr="00000000" w14:paraId="00000004">
      <w:pPr>
        <w:spacing w:after="0" w:line="360" w:lineRule="auto"/>
        <w:ind w:right="4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5">
      <w:pPr>
        <w:spacing w:after="0" w:line="360" w:lineRule="auto"/>
        <w:ind w:right="140"/>
        <w:jc w:val="both"/>
        <w:rPr>
          <w:rFonts w:ascii="Palatino Linotype" w:cs="Palatino Linotype" w:eastAsia="Palatino Linotype" w:hAnsi="Palatino Linotype"/>
        </w:rPr>
      </w:pPr>
      <w:bookmarkStart w:colFirst="0" w:colLast="0" w:name="_heading=h.1wfw07ww7niu" w:id="2"/>
      <w:bookmarkEnd w:id="2"/>
      <w:r w:rsidDel="00000000" w:rsidR="00000000" w:rsidRPr="00000000">
        <w:rPr>
          <w:rFonts w:ascii="Palatino Linotype" w:cs="Palatino Linotype" w:eastAsia="Palatino Linotype" w:hAnsi="Palatino Linotype"/>
          <w:rtl w:val="0"/>
        </w:rPr>
        <w:t xml:space="preserve">Sobre este rubro, se debió considerar en el estudio que, </w:t>
      </w:r>
      <w:r w:rsidDel="00000000" w:rsidR="00000000" w:rsidRPr="00000000">
        <w:rPr>
          <w:rFonts w:ascii="Palatino Linotype" w:cs="Palatino Linotype" w:eastAsia="Palatino Linotype" w:hAnsi="Palatino Linotype"/>
          <w:color w:val="000000"/>
          <w:rtl w:val="0"/>
        </w:rPr>
        <w:t xml:space="preserve">toda vez que los </w:t>
      </w:r>
      <w:r w:rsidDel="00000000" w:rsidR="00000000" w:rsidRPr="00000000">
        <w:rPr>
          <w:rFonts w:ascii="Palatino Linotype" w:cs="Palatino Linotype" w:eastAsia="Palatino Linotype" w:hAnsi="Palatino Linotype"/>
          <w:rtl w:val="0"/>
        </w:rPr>
        <w:t xml:space="preserve">documentos de los cuales se ordena la entrega pudieran contener el número de placas de los vehículos asignados al personal del </w:t>
      </w:r>
      <w:r w:rsidDel="00000000" w:rsidR="00000000" w:rsidRPr="00000000">
        <w:rPr>
          <w:rFonts w:ascii="Palatino Linotype" w:cs="Palatino Linotype" w:eastAsia="Palatino Linotype" w:hAnsi="Palatino Linotype"/>
          <w:b w:val="1"/>
          <w:rtl w:val="0"/>
        </w:rPr>
        <w:t xml:space="preserve">Sujeto Obligado</w:t>
      </w:r>
      <w:r w:rsidDel="00000000" w:rsidR="00000000" w:rsidRPr="00000000">
        <w:rPr>
          <w:rFonts w:ascii="Palatino Linotype" w:cs="Palatino Linotype" w:eastAsia="Palatino Linotype" w:hAnsi="Palatino Linotype"/>
          <w:rtl w:val="0"/>
        </w:rPr>
        <w:t xml:space="preserve">, debe clasificarse como información reservada; lo anterior, </w:t>
      </w:r>
      <w:r w:rsidDel="00000000" w:rsidR="00000000" w:rsidRPr="00000000">
        <w:rPr>
          <w:rFonts w:ascii="Palatino Linotype" w:cs="Palatino Linotype" w:eastAsia="Palatino Linotype" w:hAnsi="Palatino Linotype"/>
          <w:color w:val="000000"/>
          <w:rtl w:val="0"/>
        </w:rPr>
        <w:t xml:space="preserve">al vincularse </w:t>
      </w:r>
      <w:r w:rsidDel="00000000" w:rsidR="00000000" w:rsidRPr="00000000">
        <w:rPr>
          <w:rFonts w:ascii="Palatino Linotype" w:cs="Palatino Linotype" w:eastAsia="Palatino Linotype" w:hAnsi="Palatino Linotype"/>
          <w:rtl w:val="0"/>
        </w:rPr>
        <w:t xml:space="preserve">con el servidor público que lo tiene bajo su uso.</w:t>
      </w:r>
    </w:p>
    <w:p w:rsidR="00000000" w:rsidDel="00000000" w:rsidP="00000000" w:rsidRDefault="00000000" w:rsidRPr="00000000" w14:paraId="00000006">
      <w:pPr>
        <w:spacing w:after="0" w:line="360" w:lineRule="auto"/>
        <w:ind w:right="14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7">
      <w:pPr>
        <w:spacing w:after="0" w:line="360" w:lineRule="auto"/>
        <w:ind w:right="139"/>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ese sentido, se considera que toda vez, que los datos de identificación de los vehículos, concretamente respecto del número de placa vinculado con el nombre del servidor público que lo tiene bajo su uso, se trata de información que hace plenamente identificable a un vehículo, siendo altamente posible identificar también a sus tripulantes. </w:t>
      </w:r>
    </w:p>
    <w:p w:rsidR="00000000" w:rsidDel="00000000" w:rsidP="00000000" w:rsidRDefault="00000000" w:rsidRPr="00000000" w14:paraId="00000008">
      <w:pPr>
        <w:spacing w:after="0" w:line="360" w:lineRule="auto"/>
        <w:ind w:right="13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Lo anterior, conforme a lo establecido en la Ley de Transparencia y Acceso a la Información Pública del Estado de México y Municipios, ya que prevé que la clasificación de la información es el proceso mediante el cual el Sujeto Obligado determina que la información en su poder, actualiza alguno de los supuestos de reserva o confidencialidad.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 tanto que se clasificará como información confidencial, entre otras y atendiendo al caso que nos ocupa, la información privada, datos personales concernientes a una persona física o jurídico colectiva identificada o identificable.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 acuerdo con lo anterior y conforme a las actuaciones que integran el expediente electrónico, la información  que se ordena entregar; es decir, la bitácora del consumo de combustible contiene datos de identificación de las unidades que son utilizadas por servidores públicos adscritos al Sujeto Obligado para el desarrollo de sus funciones; información que a criterio de la mayoría de los integrantes del Pleno, se trata de datos que deben dejarse visibles; por lo que, no se pronunció al respecto.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de precisar que, considero que el número de placas es susceptible de reservarse vincula con el nombre del servidor público que lo tiene bajo su uso, toda vez que los vehículos, con independencia de que sean particulares o pertenezcan al parque vehicular del Sujeto Obligado y son utilizados para el desarrollo de las actividades de los servidores públicos, a diferencia de cualquier otro vehículo utilitario, en ellos asisten a eventos públicos derivados de sus funciones y se trasladan de sus oficinas a sus domicilios.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rtl w:val="0"/>
        </w:rPr>
        <w:t xml:space="preserve">Por lo que, proporcionar la información de identificación de un vehículo como el número de placas sí se vincula con el nombre del servidor público que lo tiene bajo su uso, </w:t>
      </w:r>
      <w:r w:rsidDel="00000000" w:rsidR="00000000" w:rsidRPr="00000000">
        <w:rPr>
          <w:rFonts w:ascii="Palatino Linotype" w:cs="Palatino Linotype" w:eastAsia="Palatino Linotype" w:hAnsi="Palatino Linotype"/>
          <w:b w:val="1"/>
          <w:u w:val="single"/>
          <w:rtl w:val="0"/>
        </w:rPr>
        <w:t xml:space="preserve">aun perteneciendo al servicio público, atenta contra la seguridad del personal que en ellos se trasladan; incluso, se pone en riesgo a su familia, al vulnerar su esfera privada.</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Sirve de apoyo a lo anterior, el Criterio 9/2008 que sustenta por unanimidad de votos, el Comité de Acceso a la Información y de Protección de Datos Personales de la Suprema Corte de Justicia de la Nación, que cuenta con el siguiente rubro </w:t>
      </w:r>
      <w:r w:rsidDel="00000000" w:rsidR="00000000" w:rsidRPr="00000000">
        <w:rPr>
          <w:rFonts w:ascii="Palatino Linotype" w:cs="Palatino Linotype" w:eastAsia="Palatino Linotype" w:hAnsi="Palatino Linotype"/>
          <w:b w:val="1"/>
          <w:rtl w:val="0"/>
        </w:rPr>
        <w:t xml:space="preserve">SERVIDORES PÚBLICOS DE LA SUPREMA CORTE DE JUSTICIA DE LA NACIÓN. LA INFORMACIÓN RELATIVA A LOS VEHÍCULOS QUE LES SON ASIGNADOS ES PÚBLICA SALVO POR LO QUE SE REFIERE A LOS DATOS QUE PERMITAN IDENTIFICAR CUÁL CORRESPONDE A CADA UNO DE ELLOS, </w:t>
      </w:r>
      <w:r w:rsidDel="00000000" w:rsidR="00000000" w:rsidRPr="00000000">
        <w:rPr>
          <w:rFonts w:ascii="Palatino Linotype" w:cs="Palatino Linotype" w:eastAsia="Palatino Linotype" w:hAnsi="Palatino Linotype"/>
          <w:rtl w:val="0"/>
        </w:rPr>
        <w:t xml:space="preserve">la cual señala:</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sidDel="00000000" w:rsidR="00000000" w:rsidRPr="00000000">
        <w:rPr>
          <w:rFonts w:ascii="Palatino Linotype" w:cs="Palatino Linotype" w:eastAsia="Palatino Linotype" w:hAnsi="Palatino Linotype"/>
          <w:b w:val="1"/>
          <w:i w:val="1"/>
          <w:rtl w:val="0"/>
        </w:rPr>
        <w:t xml:space="preserve">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sidDel="00000000" w:rsidR="00000000" w:rsidRPr="00000000">
        <w:rPr>
          <w:rFonts w:ascii="Palatino Linotype" w:cs="Palatino Linotype" w:eastAsia="Palatino Linotype" w:hAnsi="Palatino Linotype"/>
          <w:i w:val="1"/>
          <w:rtl w:val="0"/>
        </w:rPr>
        <w:t xml:space="preserve">. Por lo tanto, el dato de su nombre relacionado con el de los vehículos de su asignación constituye un dato personal que trasciende a su vida privada que debe ser objeto de protección, ya que su difusión pondría en riesgo el derecho fundamental a la vida privada.”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76" w:lineRule="auto"/>
        <w:ind w:left="567" w:right="618"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Del criterio en cita, se advierte que no debe proporcionarse el número de placa de los vehículos oficiales que utilizan los servidores públicos si se vincula con el nombre del servidor público que lo tiene bajo su uso, por hacerlos identificables y trascender a su vida privada, garantizando con ello su protección.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ind w:right="14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Es por las razones expuestas se emite el presente Voto Particular, pues considero que es procedente la reserva del número de placas de los vehículos </w:t>
      </w:r>
      <w:r w:rsidDel="00000000" w:rsidR="00000000" w:rsidRPr="00000000">
        <w:rPr>
          <w:rFonts w:ascii="Palatino Linotype" w:cs="Palatino Linotype" w:eastAsia="Palatino Linotype" w:hAnsi="Palatino Linotype"/>
          <w:color w:val="000000"/>
          <w:rtl w:val="0"/>
        </w:rPr>
        <w:t xml:space="preserve">ya que en este caso puede vincularse con el nombre del servidor público que lo tiene bajo su resguardo, en los documentos que se ordena entregar se advierta también el nombre del servidor público que lo tiene asignado,</w:t>
      </w:r>
      <w:r w:rsidDel="00000000" w:rsidR="00000000" w:rsidRPr="00000000">
        <w:rPr>
          <w:rFonts w:ascii="Palatino Linotype" w:cs="Palatino Linotype" w:eastAsia="Palatino Linotype" w:hAnsi="Palatino Linotype"/>
          <w:b w:val="1"/>
          <w:color w:val="000000"/>
          <w:rtl w:val="0"/>
        </w:rPr>
        <w:t xml:space="preserve"> </w:t>
      </w:r>
      <w:r w:rsidDel="00000000" w:rsidR="00000000" w:rsidRPr="00000000">
        <w:rPr>
          <w:rFonts w:ascii="Palatino Linotype" w:cs="Palatino Linotype" w:eastAsia="Palatino Linotype" w:hAnsi="Palatino Linotype"/>
          <w:rtl w:val="0"/>
        </w:rPr>
        <w:t xml:space="preserve">al corresponder con información que, por su naturaleza, trasciende en su vida privada, cuyo ámbito de protección es mucho más amplio, al ponderar los derechos que se protegen con la reserva, como la vida, integridad personal, el pleno ejercicio del servicio público, contra el acceso a la información de un particular, lo que resulta proporcional clasificar esta información; por lo que, todo lo vertido en líneas anteriores la suscrita formula el presente </w:t>
      </w:r>
      <w:r w:rsidDel="00000000" w:rsidR="00000000" w:rsidRPr="00000000">
        <w:rPr>
          <w:rFonts w:ascii="Palatino Linotype" w:cs="Palatino Linotype" w:eastAsia="Palatino Linotype" w:hAnsi="Palatino Linotype"/>
          <w:b w:val="1"/>
          <w:rtl w:val="0"/>
        </w:rPr>
        <w:t xml:space="preserve">Voto Particular.</w:t>
      </w:r>
      <w:r w:rsidDel="00000000" w:rsidR="00000000" w:rsidRPr="00000000">
        <w:rPr>
          <w:rtl w:val="0"/>
        </w:rPr>
      </w:r>
    </w:p>
    <w:p w:rsidR="00000000" w:rsidDel="00000000" w:rsidP="00000000" w:rsidRDefault="00000000" w:rsidRPr="00000000" w14:paraId="00000020">
      <w:pPr>
        <w:tabs>
          <w:tab w:val="left" w:leader="none" w:pos="851"/>
        </w:tabs>
        <w:spacing w:after="240" w:before="240" w:line="360" w:lineRule="auto"/>
        <w:ind w:right="49"/>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tabs>
          <w:tab w:val="left" w:leader="none" w:pos="851"/>
        </w:tabs>
        <w:spacing w:after="240" w:before="240" w:line="360" w:lineRule="auto"/>
        <w:ind w:right="49"/>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C">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2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7">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8">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9">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A">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B">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C">
      <w:pPr>
        <w:tabs>
          <w:tab w:val="left" w:leader="none" w:pos="851"/>
        </w:tabs>
        <w:spacing w:after="0" w:line="240" w:lineRule="auto"/>
        <w:ind w:right="902"/>
        <w:jc w:val="both"/>
        <w:rPr>
          <w:rFonts w:ascii="Palatino Linotype" w:cs="Palatino Linotype" w:eastAsia="Palatino Linotype" w:hAnsi="Palatino Linotype"/>
          <w:i w:val="1"/>
        </w:rPr>
      </w:pPr>
      <w:bookmarkStart w:colFirst="0" w:colLast="0" w:name="_heading=h.30j0zll" w:id="3"/>
      <w:bookmarkEnd w:id="3"/>
      <w:r w:rsidDel="00000000" w:rsidR="00000000" w:rsidRPr="00000000">
        <w:rPr>
          <w:rtl w:val="0"/>
        </w:rPr>
      </w:r>
    </w:p>
    <w:p w:rsidR="00000000" w:rsidDel="00000000" w:rsidP="00000000" w:rsidRDefault="00000000" w:rsidRPr="00000000" w14:paraId="0000003D">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E">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3F">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0">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1">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2">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3">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4">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5">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6">
      <w:pPr>
        <w:tabs>
          <w:tab w:val="left" w:leader="none" w:pos="851"/>
        </w:tabs>
        <w:spacing w:after="0" w:line="240" w:lineRule="auto"/>
        <w:ind w:right="902"/>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47">
      <w:pPr>
        <w:spacing w:after="0" w:line="360" w:lineRule="auto"/>
        <w:ind w:right="423"/>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8">
      <w:pPr>
        <w:tabs>
          <w:tab w:val="left" w:leader="none" w:pos="709"/>
        </w:tabs>
        <w:spacing w:after="0" w:line="360" w:lineRule="auto"/>
        <w:jc w:val="both"/>
        <w:rPr>
          <w:rFonts w:ascii="Palatino Linotype" w:cs="Palatino Linotype" w:eastAsia="Palatino Linotype" w:hAnsi="Palatino Linotype"/>
          <w:b w:val="1"/>
        </w:rPr>
      </w:pPr>
      <w:r w:rsidDel="00000000" w:rsidR="00000000" w:rsidRPr="00000000">
        <w:rPr>
          <w:rtl w:val="0"/>
        </w:rPr>
      </w:r>
    </w:p>
    <w:sectPr>
      <w:headerReference r:id="rId7" w:type="default"/>
      <w:pgSz w:h="15840" w:w="12240" w:orient="portrait"/>
      <w:pgMar w:bottom="2552" w:top="1985" w:left="1701" w:right="1701" w:header="709" w:footer="5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76" w:lineRule="auto"/>
      <w:rPr>
        <w:rFonts w:ascii="Palatino Linotype" w:cs="Palatino Linotype" w:eastAsia="Palatino Linotype" w:hAnsi="Palatino Linotype"/>
        <w:b w:val="1"/>
      </w:rPr>
    </w:pPr>
    <w:r w:rsidDel="00000000" w:rsidR="00000000" w:rsidRPr="00000000">
      <w:rPr>
        <w:rtl w:val="0"/>
      </w:rPr>
    </w:r>
  </w:p>
  <w:tbl>
    <w:tblPr>
      <w:tblStyle w:val="Table1"/>
      <w:tblW w:w="5807.0" w:type="dxa"/>
      <w:jc w:val="left"/>
      <w:tblInd w:w="297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0"/>
      <w:gridCol w:w="3397"/>
      <w:tblGridChange w:id="0">
        <w:tblGrid>
          <w:gridCol w:w="2410"/>
          <w:gridCol w:w="3397"/>
        </w:tblGrid>
      </w:tblGridChange>
    </w:tblGrid>
    <w:tr>
      <w:trPr>
        <w:cantSplit w:val="0"/>
        <w:tblHeader w:val="0"/>
      </w:trPr>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419"/>
              <w:tab w:val="right" w:leader="none" w:pos="8838"/>
            </w:tabs>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VOTO PARTICULAR</w:t>
          </w:r>
        </w:p>
      </w:tc>
    </w:tr>
    <w:tr>
      <w:trPr>
        <w:cantSplit w:val="0"/>
        <w:tblHeader w:val="0"/>
      </w:trPr>
      <w:tc>
        <w:tcPr>
          <w:vAlign w:val="center"/>
        </w:tcPr>
        <w:p w:rsidR="00000000" w:rsidDel="00000000" w:rsidP="00000000" w:rsidRDefault="00000000" w:rsidRPr="00000000" w14:paraId="0000004C">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Recurso de Revisión:</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07136/INFOEM/IP/RR/2024 </w:t>
          </w:r>
        </w:p>
      </w:tc>
    </w:tr>
    <w:tr>
      <w:trPr>
        <w:cantSplit w:val="0"/>
        <w:tblHeader w:val="0"/>
      </w:trPr>
      <w:tc>
        <w:tcPr/>
        <w:p w:rsidR="00000000" w:rsidDel="00000000" w:rsidP="00000000" w:rsidRDefault="00000000" w:rsidRPr="00000000" w14:paraId="0000004E">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Sujeto Obligado:</w:t>
          </w:r>
        </w:p>
      </w:tc>
      <w:tc>
        <w:tcPr/>
        <w:p w:rsidR="00000000" w:rsidDel="00000000" w:rsidP="00000000" w:rsidRDefault="00000000" w:rsidRPr="00000000" w14:paraId="0000004F">
          <w:pPr>
            <w:tabs>
              <w:tab w:val="center" w:leader="none" w:pos="4419"/>
              <w:tab w:val="right" w:leader="none" w:pos="8838"/>
            </w:tabs>
            <w:jc w:val="both"/>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Ayuntamiento de </w:t>
          </w:r>
          <w:r w:rsidDel="00000000" w:rsidR="00000000" w:rsidRPr="00000000">
            <w:rPr>
              <w:rFonts w:ascii="Palatino Linotype" w:cs="Palatino Linotype" w:eastAsia="Palatino Linotype" w:hAnsi="Palatino Linotype"/>
              <w:b w:val="1"/>
              <w:rtl w:val="0"/>
            </w:rPr>
            <w:t xml:space="preserve">Acambay de Ruíz Castañeda</w:t>
          </w:r>
          <w:r w:rsidDel="00000000" w:rsidR="00000000" w:rsidRPr="00000000">
            <w:rPr>
              <w:rtl w:val="0"/>
            </w:rPr>
          </w:r>
        </w:p>
      </w:tc>
    </w:tr>
    <w:tr>
      <w:trPr>
        <w:cantSplit w:val="0"/>
        <w:tblHeader w:val="0"/>
      </w:trPr>
      <w:tc>
        <w:tcPr/>
        <w:p w:rsidR="00000000" w:rsidDel="00000000" w:rsidP="00000000" w:rsidRDefault="00000000" w:rsidRPr="00000000" w14:paraId="00000050">
          <w:pP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Comisionado Ponente:</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419"/>
              <w:tab w:val="right" w:leader="none" w:pos="8838"/>
            </w:tabs>
            <w:jc w:val="both"/>
            <w:rPr>
              <w:rFonts w:ascii="Palatino Linotype" w:cs="Palatino Linotype" w:eastAsia="Palatino Linotype" w:hAnsi="Palatino Linotype"/>
              <w:b w:val="1"/>
              <w:color w:val="000000"/>
              <w:sz w:val="20"/>
              <w:szCs w:val="20"/>
            </w:rPr>
          </w:pPr>
          <w:r w:rsidDel="00000000" w:rsidR="00000000" w:rsidRPr="00000000">
            <w:rPr>
              <w:rFonts w:ascii="Palatino Linotype" w:cs="Palatino Linotype" w:eastAsia="Palatino Linotype" w:hAnsi="Palatino Linotype"/>
              <w:b w:val="1"/>
              <w:color w:val="000000"/>
              <w:sz w:val="20"/>
              <w:szCs w:val="20"/>
              <w:rtl w:val="0"/>
            </w:rPr>
            <w:t xml:space="preserve">Luis Gustavo Parra Noriega</w:t>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Palatino Linotype" w:cs="Palatino Linotype" w:eastAsia="Palatino Linotype" w:hAnsi="Palatino Linotype"/>
        <w:b w:val="1"/>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-707525</wp:posOffset>
          </wp:positionH>
          <wp:positionV relativeFrom="paragraph">
            <wp:posOffset>-1205672</wp:posOffset>
          </wp:positionV>
          <wp:extent cx="7521053" cy="9897494"/>
          <wp:effectExtent b="0" l="0" r="0" t="0"/>
          <wp:wrapNone/>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21053" cy="98974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607BA"/>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EncabezadoCar" w:customStyle="1">
    <w:name w:val="Encabezado Car"/>
    <w:basedOn w:val="Fuentedeprrafopredeter"/>
    <w:link w:val="Encabezado"/>
    <w:uiPriority w:val="99"/>
    <w:rsid w:val="000607BA"/>
    <w:rPr>
      <w:rFonts w:ascii="Times New Roman" w:cs="Times New Roman" w:eastAsia="Times New Roman" w:hAnsi="Times New Roman"/>
      <w:sz w:val="24"/>
      <w:szCs w:val="24"/>
      <w:lang w:eastAsia="es-ES" w:val="es-ES"/>
    </w:rPr>
  </w:style>
  <w:style w:type="paragraph" w:styleId="Piedepgina">
    <w:name w:val="footer"/>
    <w:basedOn w:val="Normal"/>
    <w:link w:val="PiedepginaCar"/>
    <w:uiPriority w:val="99"/>
    <w:unhideWhenUsed w:val="1"/>
    <w:rsid w:val="000607BA"/>
    <w:pPr>
      <w:tabs>
        <w:tab w:val="center" w:pos="4419"/>
        <w:tab w:val="right" w:pos="8838"/>
      </w:tabs>
      <w:spacing w:after="0" w:line="240" w:lineRule="auto"/>
    </w:pPr>
    <w:rPr>
      <w:rFonts w:ascii="Times New Roman" w:cs="Times New Roman" w:eastAsia="Times New Roman" w:hAnsi="Times New Roman"/>
      <w:sz w:val="24"/>
      <w:szCs w:val="24"/>
      <w:lang w:eastAsia="es-ES"/>
    </w:rPr>
  </w:style>
  <w:style w:type="character" w:styleId="PiedepginaCar" w:customStyle="1">
    <w:name w:val="Pie de página Car"/>
    <w:basedOn w:val="Fuentedeprrafopredeter"/>
    <w:link w:val="Piedepgina"/>
    <w:uiPriority w:val="99"/>
    <w:rsid w:val="000607BA"/>
    <w:rPr>
      <w:rFonts w:ascii="Times New Roman" w:cs="Times New Roman" w:eastAsia="Times New Roman" w:hAnsi="Times New Roman"/>
      <w:sz w:val="24"/>
      <w:szCs w:val="24"/>
      <w:lang w:eastAsia="es-ES" w:val="es-ES"/>
    </w:rPr>
  </w:style>
  <w:style w:type="paragraph" w:styleId="NormalWeb">
    <w:name w:val="Normal (Web)"/>
    <w:basedOn w:val="Normal"/>
    <w:uiPriority w:val="99"/>
    <w:rsid w:val="000607BA"/>
    <w:pPr>
      <w:spacing w:after="100" w:afterAutospacing="1" w:before="100" w:beforeAutospacing="1" w:line="240" w:lineRule="auto"/>
    </w:pPr>
    <w:rPr>
      <w:rFonts w:ascii="Times New Roman" w:cs="Times New Roman" w:eastAsia="Times New Roman" w:hAnsi="Times New Roman"/>
      <w:sz w:val="24"/>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0607BA"/>
    <w:pPr>
      <w:spacing w:after="0" w:line="240" w:lineRule="auto"/>
      <w:ind w:left="720"/>
      <w:contextualSpacing w:val="1"/>
    </w:pPr>
    <w:rPr>
      <w:rFonts w:ascii="Times New Roman" w:cs="Times New Roman" w:hAnsi="Times New Roman"/>
      <w:sz w:val="24"/>
      <w:szCs w:val="24"/>
      <w:lang w:eastAsia="es-ES"/>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0607BA"/>
    <w:rPr>
      <w:rFonts w:ascii="Times New Roman" w:cs="Times New Roman" w:eastAsia="Calibri" w:hAnsi="Times New Roman"/>
      <w:sz w:val="24"/>
      <w:szCs w:val="24"/>
      <w:lang w:eastAsia="es-ES" w:val="es-ES"/>
    </w:rPr>
  </w:style>
  <w:style w:type="paragraph" w:styleId="Textodeglobo">
    <w:name w:val="Balloon Text"/>
    <w:basedOn w:val="Normal"/>
    <w:link w:val="TextodegloboCar"/>
    <w:uiPriority w:val="99"/>
    <w:semiHidden w:val="1"/>
    <w:unhideWhenUsed w:val="1"/>
    <w:rsid w:val="0045646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56467"/>
    <w:rPr>
      <w:rFonts w:ascii="Segoe UI" w:cs="Segoe UI" w:hAnsi="Segoe UI"/>
      <w:sz w:val="18"/>
      <w:szCs w:val="18"/>
    </w:rPr>
  </w:style>
  <w:style w:type="character" w:styleId="apple-converted-space" w:customStyle="1">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val="1"/>
    <w:qFormat w:val="1"/>
    <w:rsid w:val="00921613"/>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val="1"/>
    <w:qFormat w:val="1"/>
    <w:rsid w:val="00921613"/>
    <w:rPr>
      <w:vertAlign w:val="superscript"/>
    </w:rPr>
  </w:style>
  <w:style w:type="character" w:styleId="Hipervnculo">
    <w:name w:val="Hyperlink"/>
    <w:basedOn w:val="Fuentedeprrafopredeter"/>
    <w:uiPriority w:val="99"/>
    <w:unhideWhenUsed w:val="1"/>
    <w:rsid w:val="00696A57"/>
    <w:rPr>
      <w:color w:val="0000ff"/>
      <w:u w:val="single"/>
    </w:rPr>
  </w:style>
  <w:style w:type="paragraph" w:styleId="paragraph" w:customStyle="1">
    <w:name w:val="paragraph"/>
    <w:basedOn w:val="Normal"/>
    <w:rsid w:val="00C964CC"/>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Tablaconcuadrcula1" w:customStyle="1">
    <w:name w:val="Tabla con cuadrícula1"/>
    <w:basedOn w:val="Tablanormal"/>
    <w:next w:val="Tablaconcuadrcula"/>
    <w:uiPriority w:val="59"/>
    <w:rsid w:val="00C964CC"/>
    <w:pPr>
      <w:spacing w:after="0" w:line="240" w:lineRule="auto"/>
    </w:pPr>
    <w:rPr>
      <w:rFonts w:cs="Times New Roma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
    <w:name w:val="Table Grid"/>
    <w:basedOn w:val="Tablanormal"/>
    <w:uiPriority w:val="59"/>
    <w:rsid w:val="00C964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Fundamentos" w:customStyle="1">
    <w:name w:val="Fundamentos"/>
    <w:basedOn w:val="Normal"/>
    <w:qFormat w:val="1"/>
    <w:rsid w:val="00DB4997"/>
    <w:pPr>
      <w:pBdr>
        <w:top w:space="0" w:sz="0" w:val="nil"/>
        <w:left w:space="0" w:sz="0" w:val="nil"/>
        <w:bottom w:space="0" w:sz="0" w:val="nil"/>
        <w:right w:space="0" w:sz="0" w:val="nil"/>
        <w:between w:space="0" w:sz="0" w:val="nil"/>
      </w:pBdr>
      <w:spacing w:after="0" w:line="240" w:lineRule="auto"/>
      <w:ind w:left="567" w:right="567"/>
      <w:contextualSpacing w:val="1"/>
      <w:jc w:val="both"/>
    </w:pPr>
    <w:rPr>
      <w:rFonts w:ascii="Palatino Linotype" w:cs="Palatino Linotype" w:eastAsia="Palatino Linotype" w:hAnsi="Palatino Linotype"/>
      <w:i w:val="1"/>
      <w:color w:val="000000"/>
      <w:szCs w:val="24"/>
      <w:lang w:val="es-ES_tradnl"/>
    </w:rPr>
  </w:style>
  <w:style w:type="paragraph" w:styleId="Sinespaciado">
    <w:name w:val="No Spacing"/>
    <w:aliases w:val="Francesa,INAI"/>
    <w:link w:val="SinespaciadoCar"/>
    <w:uiPriority w:val="1"/>
    <w:qFormat w:val="1"/>
    <w:rsid w:val="00515C3E"/>
    <w:pPr>
      <w:spacing w:after="0" w:line="240" w:lineRule="auto"/>
      <w:ind w:left="567" w:right="567"/>
      <w:jc w:val="both"/>
    </w:pPr>
    <w:rPr>
      <w:rFonts w:ascii="Arial" w:cs="Times New Roman" w:eastAsia="Batang" w:hAnsi="Arial"/>
      <w:sz w:val="20"/>
      <w:szCs w:val="24"/>
      <w:lang w:eastAsia="es-ES" w:val="es-MX"/>
    </w:rPr>
  </w:style>
  <w:style w:type="character" w:styleId="SinespaciadoCar" w:customStyle="1">
    <w:name w:val="Sin espaciado Car"/>
    <w:aliases w:val="Francesa Car,INAI Car"/>
    <w:basedOn w:val="Fuentedeprrafopredeter"/>
    <w:link w:val="Sinespaciado"/>
    <w:uiPriority w:val="1"/>
    <w:qFormat w:val="1"/>
    <w:rsid w:val="00515C3E"/>
    <w:rPr>
      <w:rFonts w:ascii="Arial" w:cs="Times New Roman" w:eastAsia="Batang" w:hAnsi="Arial"/>
      <w:sz w:val="20"/>
      <w:szCs w:val="24"/>
      <w:lang w:eastAsia="es-ES" w:val="es-MX"/>
    </w:rPr>
  </w:style>
  <w:style w:type="paragraph" w:styleId="Citas" w:customStyle="1">
    <w:name w:val="Citas"/>
    <w:basedOn w:val="Normal"/>
    <w:qFormat w:val="1"/>
    <w:rsid w:val="00537CBA"/>
    <w:pPr>
      <w:spacing w:before="240" w:line="360" w:lineRule="auto"/>
      <w:ind w:left="851" w:right="851"/>
      <w:jc w:val="both"/>
    </w:pPr>
    <w:rPr>
      <w:rFonts w:ascii="Palatino Linotype" w:cs="Arial" w:hAnsi="Palatino Linotype" w:eastAsiaTheme="minorHAnsi"/>
      <w:i w:val="1"/>
      <w:lang w:eastAsia="en-US" w:val="es-MX"/>
    </w:rPr>
  </w:style>
  <w:style w:type="character" w:styleId="Refdecomentario">
    <w:name w:val="annotation reference"/>
    <w:basedOn w:val="Fuentedeprrafopredeter"/>
    <w:uiPriority w:val="99"/>
    <w:semiHidden w:val="1"/>
    <w:unhideWhenUsed w:val="1"/>
    <w:rsid w:val="00537CBA"/>
    <w:rPr>
      <w:sz w:val="16"/>
      <w:szCs w:val="16"/>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CvTqzEzIncyzRz1yMb9M3OpIw==">CgMxLjAyCGguZ2pkZ3hzMgloLjJldDkycDAyDmguMXdmdzA3d3c3bml1MgloLjMwajB6bGw4AHIhMW9RNWJ4RlhDckJTMUg1b2dNMVJWVWNnZW9mMjhfRWd0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2024-12-02T19:27:00Z</dcterms:created>
  <dc:creator>USUARIO</dc:creator>
</cp:coreProperties>
</file>