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A6638" w14:textId="77777777" w:rsidR="00C93137" w:rsidRPr="009A1682" w:rsidRDefault="003E73A7">
      <w:pPr>
        <w:spacing w:before="240" w:after="240" w:line="360" w:lineRule="auto"/>
        <w:ind w:left="-567"/>
        <w:jc w:val="both"/>
        <w:rPr>
          <w:rFonts w:ascii="Palatino Linotype" w:eastAsia="Palatino Linotype" w:hAnsi="Palatino Linotype" w:cs="Palatino Linotype"/>
          <w:b/>
        </w:rPr>
      </w:pPr>
      <w:bookmarkStart w:id="0" w:name="_heading=h.gjdgxs" w:colFirst="0" w:colLast="0"/>
      <w:bookmarkEnd w:id="0"/>
      <w:r w:rsidRPr="009A1682">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w:t>
      </w:r>
      <w:r w:rsidR="00D43CE9" w:rsidRPr="009A1682">
        <w:rPr>
          <w:rFonts w:ascii="Palatino Linotype" w:eastAsia="Palatino Linotype" w:hAnsi="Palatino Linotype" w:cs="Palatino Linotype"/>
          <w:b/>
        </w:rPr>
        <w:t>NOVENA</w:t>
      </w:r>
      <w:r w:rsidRPr="009A1682">
        <w:rPr>
          <w:rFonts w:ascii="Palatino Linotype" w:eastAsia="Palatino Linotype" w:hAnsi="Palatino Linotype" w:cs="Palatino Linotype"/>
          <w:b/>
        </w:rPr>
        <w:t xml:space="preserve"> SESIÓN ORDINARIA DEL </w:t>
      </w:r>
      <w:r w:rsidR="00D43CE9" w:rsidRPr="009A1682">
        <w:rPr>
          <w:rFonts w:ascii="Palatino Linotype" w:eastAsia="Palatino Linotype" w:hAnsi="Palatino Linotype" w:cs="Palatino Linotype"/>
          <w:b/>
        </w:rPr>
        <w:t>TRECE</w:t>
      </w:r>
      <w:r w:rsidRPr="009A1682">
        <w:rPr>
          <w:rFonts w:ascii="Palatino Linotype" w:eastAsia="Palatino Linotype" w:hAnsi="Palatino Linotype" w:cs="Palatino Linotype"/>
          <w:b/>
        </w:rPr>
        <w:t xml:space="preserve"> DE </w:t>
      </w:r>
      <w:r w:rsidR="00293BBE" w:rsidRPr="009A1682">
        <w:rPr>
          <w:rFonts w:ascii="Palatino Linotype" w:eastAsia="Palatino Linotype" w:hAnsi="Palatino Linotype" w:cs="Palatino Linotype"/>
          <w:b/>
        </w:rPr>
        <w:t xml:space="preserve">NOVIEMBRE </w:t>
      </w:r>
      <w:r w:rsidRPr="009A1682">
        <w:rPr>
          <w:rFonts w:ascii="Palatino Linotype" w:eastAsia="Palatino Linotype" w:hAnsi="Palatino Linotype" w:cs="Palatino Linotype"/>
          <w:b/>
        </w:rPr>
        <w:t xml:space="preserve">DE DOS MIL VEINTICUATRO, EN EL RECURSO DE REVISIÓN </w:t>
      </w:r>
      <w:r w:rsidR="00636AC3" w:rsidRPr="009A1682">
        <w:rPr>
          <w:rFonts w:ascii="Palatino Linotype" w:eastAsia="Palatino Linotype" w:hAnsi="Palatino Linotype" w:cs="Palatino Linotype"/>
          <w:b/>
          <w:color w:val="000000"/>
        </w:rPr>
        <w:t>05180/INFOEM/IP/RR/2024</w:t>
      </w:r>
      <w:r w:rsidRPr="009A1682">
        <w:rPr>
          <w:rFonts w:ascii="Palatino Linotype" w:eastAsia="Palatino Linotype" w:hAnsi="Palatino Linotype" w:cs="Palatino Linotype"/>
          <w:b/>
        </w:rPr>
        <w:t>.</w:t>
      </w:r>
    </w:p>
    <w:p w14:paraId="79205B3D" w14:textId="77777777" w:rsidR="00C93137" w:rsidRPr="009A1682" w:rsidRDefault="003E73A7">
      <w:pPr>
        <w:spacing w:after="80" w:line="360" w:lineRule="auto"/>
        <w:ind w:left="-567" w:right="-93"/>
        <w:jc w:val="both"/>
        <w:rPr>
          <w:rFonts w:ascii="Palatino Linotype" w:eastAsia="Palatino Linotype" w:hAnsi="Palatino Linotype" w:cs="Palatino Linotype"/>
        </w:rPr>
      </w:pPr>
      <w:r w:rsidRPr="009A1682">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 los Recursos de Revisión </w:t>
      </w:r>
      <w:r w:rsidR="00636AC3" w:rsidRPr="009A1682">
        <w:rPr>
          <w:rFonts w:ascii="Palatino Linotype" w:eastAsia="Palatino Linotype" w:hAnsi="Palatino Linotype" w:cs="Palatino Linotype"/>
          <w:b/>
          <w:color w:val="000000"/>
        </w:rPr>
        <w:t>05180/INFOEM/IP/RR/2024</w:t>
      </w:r>
      <w:r w:rsidRPr="009A1682">
        <w:rPr>
          <w:rFonts w:ascii="Palatino Linotype" w:eastAsia="Palatino Linotype" w:hAnsi="Palatino Linotype" w:cs="Palatino Linotype"/>
          <w:b/>
        </w:rPr>
        <w:t xml:space="preserve">,  </w:t>
      </w:r>
      <w:r w:rsidRPr="009A1682">
        <w:rPr>
          <w:rFonts w:ascii="Palatino Linotype" w:eastAsia="Palatino Linotype" w:hAnsi="Palatino Linotype" w:cs="Palatino Linotype"/>
        </w:rPr>
        <w:t>conforme al criterio mayoritario del Pleno</w:t>
      </w:r>
      <w:r w:rsidRPr="009A1682">
        <w:rPr>
          <w:rFonts w:ascii="Palatino Linotype" w:eastAsia="Palatino Linotype" w:hAnsi="Palatino Linotype" w:cs="Palatino Linotype"/>
          <w:b/>
        </w:rPr>
        <w:t xml:space="preserve">, </w:t>
      </w:r>
      <w:r w:rsidRPr="009A1682">
        <w:rPr>
          <w:rFonts w:ascii="Palatino Linotype" w:eastAsia="Palatino Linotype" w:hAnsi="Palatino Linotype" w:cs="Palatino Linotype"/>
        </w:rPr>
        <w:t xml:space="preserve">respecto de la cual, quien suscribe, emite </w:t>
      </w:r>
      <w:r w:rsidRPr="009A1682">
        <w:rPr>
          <w:rFonts w:ascii="Palatino Linotype" w:eastAsia="Palatino Linotype" w:hAnsi="Palatino Linotype" w:cs="Palatino Linotype"/>
          <w:b/>
        </w:rPr>
        <w:t>VOTO PARTICULAR</w:t>
      </w:r>
      <w:r w:rsidRPr="009A1682">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69593EC0" w14:textId="77777777" w:rsidR="004A7493" w:rsidRPr="009A1682" w:rsidRDefault="004A7493">
      <w:pPr>
        <w:spacing w:after="80" w:line="360" w:lineRule="auto"/>
        <w:ind w:left="-567" w:right="-93"/>
        <w:jc w:val="both"/>
        <w:rPr>
          <w:rFonts w:ascii="Palatino Linotype" w:eastAsia="Palatino Linotype" w:hAnsi="Palatino Linotype" w:cs="Palatino Linotype"/>
        </w:rPr>
      </w:pPr>
    </w:p>
    <w:p w14:paraId="1FC934E0" w14:textId="77777777" w:rsidR="00C93137" w:rsidRPr="009A1682" w:rsidRDefault="003E73A7">
      <w:pPr>
        <w:spacing w:after="80" w:line="360" w:lineRule="auto"/>
        <w:ind w:left="-567" w:right="-93"/>
        <w:jc w:val="both"/>
        <w:rPr>
          <w:rFonts w:ascii="Palatino Linotype" w:eastAsia="Palatino Linotype" w:hAnsi="Palatino Linotype" w:cs="Palatino Linotype"/>
        </w:rPr>
      </w:pPr>
      <w:r w:rsidRPr="009A1682">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04FE4926" w14:textId="77777777" w:rsidR="004A7493" w:rsidRPr="009A1682" w:rsidRDefault="004A7493">
      <w:pPr>
        <w:spacing w:after="80" w:line="360" w:lineRule="auto"/>
        <w:ind w:left="-567" w:right="-93"/>
        <w:jc w:val="both"/>
        <w:rPr>
          <w:rFonts w:ascii="Palatino Linotype" w:eastAsia="Palatino Linotype" w:hAnsi="Palatino Linotype" w:cs="Palatino Linotype"/>
        </w:rPr>
      </w:pPr>
    </w:p>
    <w:p w14:paraId="2A48ED21" w14:textId="77777777" w:rsidR="008116EF" w:rsidRPr="009A1682" w:rsidRDefault="003E73A7" w:rsidP="008116EF">
      <w:pPr>
        <w:spacing w:after="80" w:line="360" w:lineRule="auto"/>
        <w:ind w:left="-567" w:right="-93"/>
        <w:jc w:val="both"/>
        <w:rPr>
          <w:rFonts w:ascii="Palatino Linotype" w:eastAsia="Palatino Linotype" w:hAnsi="Palatino Linotype" w:cs="Palatino Linotype"/>
        </w:rPr>
      </w:pPr>
      <w:r w:rsidRPr="009A1682">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w:t>
      </w:r>
      <w:r w:rsidRPr="009A1682">
        <w:rPr>
          <w:rFonts w:ascii="Palatino Linotype" w:eastAsia="Palatino Linotype" w:hAnsi="Palatino Linotype" w:cs="Palatino Linotype"/>
        </w:rPr>
        <w:lastRenderedPageBreak/>
        <w:t xml:space="preserve">sin importar el nivel o cargo y en cualquier documento que se encuentre vinculado con el cumplimiento de disposiciones legales debe ser pública. </w:t>
      </w:r>
    </w:p>
    <w:p w14:paraId="4ABDD8EA" w14:textId="77777777" w:rsidR="00C93137" w:rsidRPr="009A1682" w:rsidRDefault="003E73A7" w:rsidP="008116EF">
      <w:pPr>
        <w:spacing w:after="80" w:line="360" w:lineRule="auto"/>
        <w:ind w:left="-567" w:right="-93"/>
        <w:jc w:val="both"/>
        <w:rPr>
          <w:rFonts w:ascii="Palatino Linotype" w:eastAsia="Palatino Linotype" w:hAnsi="Palatino Linotype" w:cs="Palatino Linotype"/>
        </w:rPr>
      </w:pPr>
      <w:r w:rsidRPr="009A1682">
        <w:rPr>
          <w:rFonts w:ascii="Palatino Linotype" w:eastAsia="Palatino Linotype" w:hAnsi="Palatino Linotype" w:cs="Palatino Linotype"/>
        </w:rPr>
        <w:t>En efecto, al respecto en la resolución se consideró lo siguiente</w:t>
      </w:r>
      <w:r w:rsidRPr="009A1682">
        <w:rPr>
          <w:rFonts w:ascii="Palatino Linotype" w:eastAsia="Palatino Linotype" w:hAnsi="Palatino Linotype" w:cs="Palatino Linotype"/>
          <w:i/>
        </w:rPr>
        <w:t>:</w:t>
      </w:r>
    </w:p>
    <w:p w14:paraId="70375F3F" w14:textId="77777777" w:rsidR="008116EF" w:rsidRPr="009A1682" w:rsidRDefault="003E73A7" w:rsidP="008116EF">
      <w:pPr>
        <w:spacing w:line="276" w:lineRule="auto"/>
        <w:ind w:left="567" w:right="1417"/>
        <w:jc w:val="both"/>
        <w:rPr>
          <w:rFonts w:ascii="Palatino Linotype" w:eastAsia="Palatino Linotype" w:hAnsi="Palatino Linotype" w:cs="Palatino Linotype"/>
          <w:b/>
          <w:i/>
        </w:rPr>
      </w:pPr>
      <w:r w:rsidRPr="009A1682">
        <w:rPr>
          <w:rFonts w:ascii="Palatino Linotype" w:eastAsia="Palatino Linotype" w:hAnsi="Palatino Linotype" w:cs="Palatino Linotype"/>
          <w:i/>
        </w:rPr>
        <w:t>“</w:t>
      </w:r>
      <w:r w:rsidR="008116EF" w:rsidRPr="009A1682">
        <w:rPr>
          <w:rFonts w:ascii="Palatino Linotype" w:eastAsia="Palatino Linotype" w:hAnsi="Palatino Linotype" w:cs="Palatino Linotype"/>
          <w:b/>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74DF6B7" w14:textId="77777777" w:rsidR="008116EF" w:rsidRPr="009A1682" w:rsidRDefault="008116EF" w:rsidP="008116EF">
      <w:pPr>
        <w:spacing w:line="276" w:lineRule="auto"/>
        <w:ind w:left="567" w:right="1417"/>
        <w:jc w:val="both"/>
        <w:rPr>
          <w:rFonts w:ascii="Palatino Linotype" w:eastAsia="Palatino Linotype" w:hAnsi="Palatino Linotype" w:cs="Palatino Linotype"/>
          <w:b/>
          <w:i/>
        </w:rPr>
      </w:pPr>
      <w:r w:rsidRPr="009A1682">
        <w:rPr>
          <w:rFonts w:ascii="Palatino Linotype" w:eastAsia="Palatino Linotype" w:hAnsi="Palatino Linotype" w:cs="Palatino Linotype"/>
          <w:b/>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4FE83A7" w14:textId="77777777" w:rsidR="008116EF" w:rsidRPr="009A1682" w:rsidRDefault="008116EF" w:rsidP="008116EF">
      <w:pPr>
        <w:spacing w:line="276" w:lineRule="auto"/>
        <w:ind w:left="567" w:right="1417"/>
        <w:jc w:val="both"/>
        <w:rPr>
          <w:rFonts w:ascii="Palatino Linotype" w:eastAsia="Palatino Linotype" w:hAnsi="Palatino Linotype" w:cs="Palatino Linotype"/>
          <w:b/>
          <w:i/>
        </w:rPr>
      </w:pPr>
      <w:r w:rsidRPr="009A1682">
        <w:rPr>
          <w:rFonts w:ascii="Palatino Linotype" w:eastAsia="Palatino Linotype" w:hAnsi="Palatino Linotype" w:cs="Palatino Linotype"/>
          <w:b/>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530D67D9" w14:textId="77777777" w:rsidR="008116EF" w:rsidRPr="009A1682" w:rsidRDefault="008116EF" w:rsidP="008116EF">
      <w:pPr>
        <w:spacing w:line="276" w:lineRule="auto"/>
        <w:ind w:left="567" w:right="1417"/>
        <w:jc w:val="both"/>
        <w:rPr>
          <w:rFonts w:ascii="Palatino Linotype" w:eastAsia="Palatino Linotype" w:hAnsi="Palatino Linotype" w:cs="Palatino Linotype"/>
          <w:b/>
          <w:i/>
        </w:rPr>
      </w:pPr>
      <w:r w:rsidRPr="009A1682">
        <w:rPr>
          <w:rFonts w:ascii="Palatino Linotype" w:eastAsia="Palatino Linotype" w:hAnsi="Palatino Linotype" w:cs="Palatino Linotype"/>
          <w:b/>
          <w:i/>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4455C2ED" w14:textId="77777777" w:rsidR="008116EF" w:rsidRPr="009A1682" w:rsidRDefault="008116EF" w:rsidP="008116EF">
      <w:pPr>
        <w:spacing w:line="276" w:lineRule="auto"/>
        <w:ind w:left="567" w:right="1417"/>
        <w:jc w:val="both"/>
        <w:rPr>
          <w:rFonts w:ascii="Palatino Linotype" w:eastAsia="Palatino Linotype" w:hAnsi="Palatino Linotype" w:cs="Palatino Linotype"/>
          <w:b/>
          <w:i/>
        </w:rPr>
      </w:pPr>
      <w:r w:rsidRPr="009A1682">
        <w:rPr>
          <w:rFonts w:ascii="Palatino Linotype" w:eastAsia="Palatino Linotype" w:hAnsi="Palatino Linotype" w:cs="Palatino Linotype"/>
          <w:b/>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2923E8CC" w14:textId="77777777" w:rsidR="008116EF" w:rsidRPr="009A1682" w:rsidRDefault="008116EF" w:rsidP="008116EF">
      <w:pPr>
        <w:spacing w:line="276" w:lineRule="auto"/>
        <w:ind w:left="567" w:right="1417"/>
        <w:jc w:val="both"/>
        <w:rPr>
          <w:rFonts w:ascii="Palatino Linotype" w:eastAsia="Palatino Linotype" w:hAnsi="Palatino Linotype" w:cs="Palatino Linotype"/>
          <w:b/>
          <w:i/>
        </w:rPr>
      </w:pPr>
      <w:r w:rsidRPr="009A1682">
        <w:rPr>
          <w:rFonts w:ascii="Palatino Linotype" w:eastAsia="Palatino Linotype" w:hAnsi="Palatino Linotype" w:cs="Palatino Linotype"/>
          <w:b/>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1A6A6C2" w14:textId="77777777" w:rsidR="008116EF" w:rsidRPr="009A1682" w:rsidRDefault="008116EF" w:rsidP="008116EF">
      <w:pPr>
        <w:spacing w:line="276" w:lineRule="auto"/>
        <w:ind w:left="567" w:right="1417"/>
        <w:jc w:val="both"/>
        <w:rPr>
          <w:rFonts w:ascii="Palatino Linotype" w:eastAsia="Palatino Linotype" w:hAnsi="Palatino Linotype" w:cs="Palatino Linotype"/>
          <w:b/>
          <w:i/>
        </w:rPr>
      </w:pPr>
      <w:r w:rsidRPr="009A1682">
        <w:rPr>
          <w:rFonts w:ascii="Palatino Linotype" w:eastAsia="Palatino Linotype" w:hAnsi="Palatino Linotype" w:cs="Palatino Linotype"/>
          <w:b/>
          <w:i/>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w:t>
      </w:r>
      <w:r w:rsidRPr="009A1682">
        <w:rPr>
          <w:rFonts w:ascii="Palatino Linotype" w:eastAsia="Palatino Linotype" w:hAnsi="Palatino Linotype" w:cs="Palatino Linotype"/>
          <w:b/>
          <w:i/>
        </w:rPr>
        <w:lastRenderedPageBreak/>
        <w:t>a la Información Pública del Estado de México y Municipios, por lo que en las versiones públicas que se ordenen, no podrá clasificarse esa información.</w:t>
      </w:r>
    </w:p>
    <w:p w14:paraId="515859B6" w14:textId="77777777" w:rsidR="00C93137" w:rsidRPr="009A1682" w:rsidRDefault="008116EF" w:rsidP="008116EF">
      <w:pPr>
        <w:spacing w:line="276" w:lineRule="auto"/>
        <w:ind w:left="567" w:right="1417"/>
        <w:jc w:val="both"/>
        <w:rPr>
          <w:rFonts w:ascii="Palatino Linotype" w:eastAsia="Palatino Linotype" w:hAnsi="Palatino Linotype" w:cs="Palatino Linotype"/>
          <w:b/>
          <w:i/>
          <w:u w:val="single"/>
        </w:rPr>
      </w:pPr>
      <w:r w:rsidRPr="009A1682">
        <w:rPr>
          <w:rFonts w:ascii="Palatino Linotype" w:eastAsia="Palatino Linotype" w:hAnsi="Palatino Linotype" w:cs="Palatino Linotype"/>
          <w:b/>
          <w:i/>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003E73A7" w:rsidRPr="009A1682">
        <w:rPr>
          <w:rFonts w:ascii="Palatino Linotype" w:eastAsia="Palatino Linotype" w:hAnsi="Palatino Linotype" w:cs="Palatino Linotype"/>
          <w:i/>
          <w:color w:val="000000"/>
        </w:rPr>
        <w:t>”</w:t>
      </w:r>
    </w:p>
    <w:p w14:paraId="457670E9" w14:textId="77777777" w:rsidR="00C93137" w:rsidRPr="009A1682" w:rsidRDefault="00C93137">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6BD673A8" w14:textId="77777777" w:rsidR="00C93137" w:rsidRPr="009A1682" w:rsidRDefault="003E73A7">
      <w:pPr>
        <w:spacing w:after="0" w:line="360" w:lineRule="auto"/>
        <w:ind w:left="-426"/>
        <w:jc w:val="both"/>
        <w:rPr>
          <w:rFonts w:ascii="Palatino Linotype" w:eastAsia="Palatino Linotype" w:hAnsi="Palatino Linotype" w:cs="Palatino Linotype"/>
        </w:rPr>
      </w:pPr>
      <w:bookmarkStart w:id="1" w:name="_heading=h.seznk0v3kwdp" w:colFirst="0" w:colLast="0"/>
      <w:bookmarkEnd w:id="1"/>
      <w:r w:rsidRPr="009A1682">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1D1FEC25" w14:textId="77777777" w:rsidR="00C93137" w:rsidRPr="009A1682" w:rsidRDefault="003E73A7">
      <w:pPr>
        <w:spacing w:before="240" w:after="240" w:line="360" w:lineRule="auto"/>
        <w:ind w:left="-426"/>
        <w:jc w:val="both"/>
        <w:rPr>
          <w:rFonts w:ascii="Palatino Linotype" w:eastAsia="Palatino Linotype" w:hAnsi="Palatino Linotype" w:cs="Palatino Linotype"/>
        </w:rPr>
      </w:pPr>
      <w:r w:rsidRPr="009A1682">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6CB30182" w14:textId="77777777" w:rsidR="00C93137" w:rsidRPr="009A1682" w:rsidRDefault="003E73A7">
      <w:pPr>
        <w:spacing w:before="240" w:after="240" w:line="360" w:lineRule="auto"/>
        <w:ind w:left="-426" w:right="140"/>
        <w:jc w:val="both"/>
        <w:rPr>
          <w:rFonts w:ascii="Palatino Linotype" w:eastAsia="Palatino Linotype" w:hAnsi="Palatino Linotype" w:cs="Palatino Linotype"/>
        </w:rPr>
      </w:pPr>
      <w:r w:rsidRPr="009A1682">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medio o superior, </w:t>
      </w:r>
      <w:r w:rsidRPr="009A1682">
        <w:rPr>
          <w:rFonts w:ascii="Palatino Linotype" w:eastAsia="Palatino Linotype" w:hAnsi="Palatino Linotype" w:cs="Palatino Linotype"/>
        </w:rPr>
        <w:lastRenderedPageBreak/>
        <w:t>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2A4DCFAA" w14:textId="77777777" w:rsidR="00C93137" w:rsidRPr="009A1682" w:rsidRDefault="003E73A7">
      <w:pPr>
        <w:tabs>
          <w:tab w:val="left" w:pos="4962"/>
        </w:tabs>
        <w:spacing w:before="240" w:after="240" w:line="360" w:lineRule="auto"/>
        <w:ind w:left="-426"/>
        <w:jc w:val="both"/>
        <w:rPr>
          <w:rFonts w:ascii="Palatino Linotype" w:eastAsia="Palatino Linotype" w:hAnsi="Palatino Linotype" w:cs="Palatino Linotype"/>
        </w:rPr>
      </w:pPr>
      <w:r w:rsidRPr="009A1682">
        <w:rPr>
          <w:rFonts w:ascii="Palatino Linotype" w:eastAsia="Palatino Linotype" w:hAnsi="Palatino Linotype" w:cs="Palatino Linotype"/>
        </w:rPr>
        <w:t xml:space="preserve">Es así que, si bien se estipuló que </w:t>
      </w:r>
      <w:r w:rsidRPr="009A1682">
        <w:rPr>
          <w:rFonts w:ascii="Palatino Linotype" w:eastAsia="Palatino Linotype" w:hAnsi="Palatino Linotype" w:cs="Palatino Linotype"/>
          <w:b/>
          <w:u w:val="single"/>
        </w:rPr>
        <w:t>las fotografías de servidores públicos, sin importar el nivel o rango, guardan la naturaleza de públicas y</w:t>
      </w:r>
      <w:r w:rsidRPr="009A1682">
        <w:rPr>
          <w:rFonts w:ascii="Palatino Linotype" w:eastAsia="Palatino Linotype" w:hAnsi="Palatino Linotype" w:cs="Palatino Linotype"/>
        </w:rPr>
        <w:t xml:space="preserve"> </w:t>
      </w:r>
      <w:r w:rsidRPr="009A1682">
        <w:rPr>
          <w:rFonts w:ascii="Palatino Linotype" w:eastAsia="Palatino Linotype" w:hAnsi="Palatino Linotype" w:cs="Palatino Linotype"/>
          <w:b/>
          <w:u w:val="single"/>
        </w:rPr>
        <w:t>por lo tanto, no procede su clasificación,</w:t>
      </w:r>
      <w:r w:rsidRPr="009A1682">
        <w:rPr>
          <w:rFonts w:ascii="Palatino Linotype" w:eastAsia="Palatino Linotype" w:hAnsi="Palatino Linotype" w:cs="Palatino Linotype"/>
          <w:b/>
        </w:rPr>
        <w:t xml:space="preserve"> </w:t>
      </w:r>
      <w:r w:rsidRPr="009A1682">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062474EB" w14:textId="77777777" w:rsidR="00C93137" w:rsidRPr="009A1682" w:rsidRDefault="003E73A7">
      <w:pPr>
        <w:spacing w:after="0" w:line="360" w:lineRule="auto"/>
        <w:ind w:left="-426"/>
        <w:jc w:val="both"/>
        <w:rPr>
          <w:rFonts w:ascii="Palatino Linotype" w:eastAsia="Palatino Linotype" w:hAnsi="Palatino Linotype" w:cs="Palatino Linotype"/>
        </w:rPr>
      </w:pPr>
      <w:bookmarkStart w:id="2" w:name="_heading=h.xezr0okd57tn" w:colFirst="0" w:colLast="0"/>
      <w:bookmarkEnd w:id="2"/>
      <w:r w:rsidRPr="009A1682">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3FA60BC6" w14:textId="77777777" w:rsidR="00C93137" w:rsidRPr="009A1682" w:rsidRDefault="00C93137">
      <w:pPr>
        <w:spacing w:after="0" w:line="360" w:lineRule="auto"/>
        <w:ind w:left="-426"/>
        <w:jc w:val="both"/>
        <w:rPr>
          <w:rFonts w:ascii="Palatino Linotype" w:eastAsia="Palatino Linotype" w:hAnsi="Palatino Linotype" w:cs="Palatino Linotype"/>
        </w:rPr>
      </w:pPr>
    </w:p>
    <w:p w14:paraId="601E91CE" w14:textId="77777777" w:rsidR="00C93137" w:rsidRPr="009A1682" w:rsidRDefault="003E73A7">
      <w:pPr>
        <w:spacing w:after="0" w:line="360" w:lineRule="auto"/>
        <w:ind w:left="-426"/>
        <w:jc w:val="both"/>
        <w:rPr>
          <w:rFonts w:ascii="Palatino Linotype" w:eastAsia="Palatino Linotype" w:hAnsi="Palatino Linotype" w:cs="Palatino Linotype"/>
        </w:rPr>
      </w:pPr>
      <w:r w:rsidRPr="009A1682">
        <w:rPr>
          <w:rFonts w:ascii="Palatino Linotype" w:eastAsia="Palatino Linotype" w:hAnsi="Palatino Linotype" w:cs="Palatino Linotype"/>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w:t>
      </w:r>
      <w:r w:rsidRPr="009A1682">
        <w:rPr>
          <w:rFonts w:ascii="Palatino Linotype" w:eastAsia="Palatino Linotype" w:hAnsi="Palatino Linotype" w:cs="Palatino Linotype"/>
        </w:rPr>
        <w:lastRenderedPageBreak/>
        <w:t>puestos o para acreditar que cumplieron con determinados requisitos, lo que da cuenta de ello es el propio documento.</w:t>
      </w:r>
    </w:p>
    <w:p w14:paraId="0FCC74BD" w14:textId="77777777" w:rsidR="008116EF" w:rsidRPr="009A1682" w:rsidRDefault="003E73A7" w:rsidP="008116EF">
      <w:pPr>
        <w:tabs>
          <w:tab w:val="left" w:pos="4962"/>
        </w:tabs>
        <w:spacing w:before="240" w:after="240" w:line="360" w:lineRule="auto"/>
        <w:ind w:left="-426"/>
        <w:jc w:val="both"/>
        <w:rPr>
          <w:rFonts w:ascii="Palatino Linotype" w:eastAsia="Palatino Linotype" w:hAnsi="Palatino Linotype" w:cs="Palatino Linotype"/>
        </w:rPr>
      </w:pPr>
      <w:r w:rsidRPr="009A1682">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Pr="009A1682">
        <w:rPr>
          <w:rFonts w:ascii="Palatino Linotype" w:eastAsia="Palatino Linotype" w:hAnsi="Palatino Linotype" w:cs="Palatino Linotype"/>
          <w:b/>
        </w:rPr>
        <w:t xml:space="preserve">Voto Particular pues considero que </w:t>
      </w:r>
      <w:r w:rsidRPr="009A1682">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9A1682">
        <w:rPr>
          <w:rFonts w:ascii="Palatino Linotype" w:eastAsia="Palatino Linotype" w:hAnsi="Palatino Linotype" w:cs="Palatino Linotype"/>
        </w:rPr>
        <w:t xml:space="preserve"> </w:t>
      </w:r>
      <w:r w:rsidRPr="009A1682">
        <w:rPr>
          <w:rFonts w:ascii="Palatino Linotype" w:eastAsia="Palatino Linotype" w:hAnsi="Palatino Linotype" w:cs="Palatino Linotype"/>
          <w:b/>
          <w:u w:val="single"/>
        </w:rPr>
        <w:t>o no presten atención al público</w:t>
      </w:r>
      <w:r w:rsidRPr="009A1682">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r w:rsidR="004A7493" w:rsidRPr="009A1682">
        <w:rPr>
          <w:rFonts w:ascii="Palatino Linotype" w:eastAsia="Palatino Linotype" w:hAnsi="Palatino Linotype" w:cs="Palatino Linotype"/>
        </w:rPr>
        <w:t xml:space="preserve"> </w:t>
      </w:r>
    </w:p>
    <w:p w14:paraId="31A73587" w14:textId="77777777" w:rsidR="008116EF" w:rsidRPr="009A1682" w:rsidRDefault="008116EF" w:rsidP="008116EF">
      <w:pPr>
        <w:tabs>
          <w:tab w:val="left" w:pos="4962"/>
        </w:tabs>
        <w:spacing w:before="240" w:after="240" w:line="360" w:lineRule="auto"/>
        <w:ind w:left="-426"/>
        <w:jc w:val="both"/>
        <w:rPr>
          <w:rFonts w:ascii="Palatino Linotype" w:hAnsi="Palatino Linotype"/>
          <w:color w:val="000000"/>
        </w:rPr>
      </w:pPr>
      <w:r w:rsidRPr="009A1682">
        <w:rPr>
          <w:rFonts w:ascii="Palatino Linotype" w:hAnsi="Palatino Linotype"/>
          <w:color w:val="000000"/>
        </w:rPr>
        <w:t xml:space="preserve">Por otra parte, </w:t>
      </w:r>
      <w:r w:rsidR="009A1682" w:rsidRPr="009A1682">
        <w:rPr>
          <w:rFonts w:ascii="Palatino Linotype" w:hAnsi="Palatino Linotype"/>
          <w:color w:val="000000"/>
        </w:rPr>
        <w:t xml:space="preserve">el Sujeto Obligado a través de su respuesta entregó diversas documentales, entre las que se dejó a la vista un dato personal que corresponde al CURP; sin embargo, el Recurrente no mostró agravio por los documentos presentados y se determinó que se actualizan actos consentidos. Derivado de ello, </w:t>
      </w:r>
      <w:r w:rsidRPr="009A1682">
        <w:rPr>
          <w:rFonts w:ascii="Palatino Linotype" w:hAnsi="Palatino Linotype"/>
          <w:color w:val="000000"/>
        </w:rPr>
        <w:t>este Organismo Garante consideró procedente dar vista a la Dirección de Protección de Datos Personales, por el contenido de los documentos que fueron consentidos por la persona solicitante; sin embargo, esta no se inconformó respecto de la información entregada, sino sobre lo que hacía falta, razón por la cual el análisis de esos documentos no formó parte de la resolución.</w:t>
      </w:r>
    </w:p>
    <w:p w14:paraId="76BD3EBA" w14:textId="77777777" w:rsidR="008116EF" w:rsidRPr="009A1682" w:rsidRDefault="008116EF" w:rsidP="008116EF">
      <w:pPr>
        <w:tabs>
          <w:tab w:val="left" w:pos="4962"/>
        </w:tabs>
        <w:spacing w:before="240" w:after="240" w:line="360" w:lineRule="auto"/>
        <w:ind w:left="-426"/>
        <w:jc w:val="both"/>
        <w:rPr>
          <w:rFonts w:ascii="Palatino Linotype" w:hAnsi="Palatino Linotype"/>
          <w:color w:val="000000"/>
        </w:rPr>
      </w:pPr>
      <w:r w:rsidRPr="009A1682">
        <w:rPr>
          <w:rFonts w:ascii="Palatino Linotype" w:hAnsi="Palatino Linotype"/>
          <w:color w:val="000000"/>
        </w:rPr>
        <w:t>Al respecto, es preciso mencionar que, si bien se comparte el sentido de la Resolución emitida en virtud de que procede ordenar los documentos que hacían falta, no coincido en el sentido de dar vista al área de Datos Personales de este Instituto, máxime de que los documentos por los cuales se da la vista no fueron impugnados. </w:t>
      </w:r>
    </w:p>
    <w:p w14:paraId="551C58BC" w14:textId="77777777" w:rsidR="008116EF" w:rsidRPr="009A1682" w:rsidRDefault="008116EF" w:rsidP="008116EF">
      <w:pPr>
        <w:tabs>
          <w:tab w:val="left" w:pos="4962"/>
        </w:tabs>
        <w:spacing w:before="240" w:after="240" w:line="360" w:lineRule="auto"/>
        <w:ind w:left="-426"/>
        <w:jc w:val="both"/>
        <w:rPr>
          <w:rFonts w:ascii="Palatino Linotype" w:hAnsi="Palatino Linotype"/>
          <w:color w:val="000000"/>
        </w:rPr>
      </w:pPr>
      <w:r w:rsidRPr="009A1682">
        <w:rPr>
          <w:rFonts w:ascii="Palatino Linotype" w:hAnsi="Palatino Linotype"/>
          <w:color w:val="000000"/>
        </w:rPr>
        <w:t>Determinación que constituye el motivo para la emisi</w:t>
      </w:r>
      <w:r w:rsidR="009A1682" w:rsidRPr="009A1682">
        <w:rPr>
          <w:rFonts w:ascii="Palatino Linotype" w:hAnsi="Palatino Linotype"/>
          <w:color w:val="000000"/>
        </w:rPr>
        <w:t>ón del presente Voto Particular</w:t>
      </w:r>
      <w:r w:rsidRPr="009A1682">
        <w:rPr>
          <w:rFonts w:ascii="Palatino Linotype" w:hAnsi="Palatino Linotype"/>
          <w:color w:val="000000"/>
        </w:rPr>
        <w:t xml:space="preserve">, toda vez, que conforme a los artículos 1°, 7°, 29, 36 fracciones II, XVI, XXI,XXII, XXVII y XXXVIII; 176, 185, 186, 188, 195, 198, 199, 200, 214, 216 y 220, fracción XIX de la Ley de Transparencia vigente en la Entidad, esta </w:t>
      </w:r>
      <w:r w:rsidRPr="009A1682">
        <w:rPr>
          <w:rFonts w:ascii="Palatino Linotype" w:hAnsi="Palatino Linotype"/>
          <w:color w:val="000000"/>
        </w:rPr>
        <w:lastRenderedPageBreak/>
        <w:t>tiene por objeto establecer los principios, bases generales y procedimientos para tutelar y garantizar la transparencia y el derecho humano de acceso a la información pública en posesión de los sujetos obligados, del mismo modo precisa que este Instituto es un Organismo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los principios y bases establecidas en la Constitución Federal, Constitución Local, Ley General, así como lo previsto en esta Ley y demás disposiciones jurídicas aplicables.</w:t>
      </w:r>
    </w:p>
    <w:p w14:paraId="3B85052E" w14:textId="77777777" w:rsidR="008116EF" w:rsidRPr="009A1682" w:rsidRDefault="008116EF" w:rsidP="008116EF">
      <w:pPr>
        <w:tabs>
          <w:tab w:val="left" w:pos="4962"/>
        </w:tabs>
        <w:spacing w:before="240" w:after="240" w:line="360" w:lineRule="auto"/>
        <w:ind w:left="-426"/>
        <w:jc w:val="both"/>
        <w:rPr>
          <w:rFonts w:ascii="Palatino Linotype" w:eastAsia="Palatino Linotype" w:hAnsi="Palatino Linotype" w:cs="Palatino Linotype"/>
        </w:rPr>
      </w:pPr>
      <w:r w:rsidRPr="009A1682">
        <w:rPr>
          <w:rFonts w:ascii="Palatino Linotype" w:hAnsi="Palatino Linotype"/>
          <w:color w:val="000000"/>
        </w:rPr>
        <w:t>En ese sentido, es de resaltar que el recurso de revisión es la garantía secundaria mediante la cual se pretende reparar cualquier posible afectación al derecho de acceso a la información pública, en donde las resoluciones de este Órgano Garante pueden: </w:t>
      </w:r>
    </w:p>
    <w:p w14:paraId="79248A3A" w14:textId="77777777" w:rsidR="008116EF" w:rsidRPr="009A1682" w:rsidRDefault="008116EF" w:rsidP="008116EF">
      <w:pPr>
        <w:pStyle w:val="NormalWeb"/>
        <w:spacing w:before="240" w:beforeAutospacing="0" w:after="240" w:afterAutospacing="0"/>
        <w:ind w:left="284" w:firstLine="11"/>
        <w:jc w:val="both"/>
        <w:rPr>
          <w:sz w:val="22"/>
          <w:szCs w:val="22"/>
        </w:rPr>
      </w:pPr>
      <w:r w:rsidRPr="009A1682">
        <w:rPr>
          <w:rFonts w:ascii="Palatino Linotype" w:hAnsi="Palatino Linotype"/>
          <w:color w:val="000000"/>
          <w:sz w:val="22"/>
          <w:szCs w:val="22"/>
        </w:rPr>
        <w:t>●</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Desechar o sobreseer el recurso</w:t>
      </w:r>
      <w:r w:rsidR="009A1682" w:rsidRPr="009A1682">
        <w:rPr>
          <w:rFonts w:ascii="Palatino Linotype" w:hAnsi="Palatino Linotype"/>
          <w:color w:val="000000"/>
          <w:sz w:val="22"/>
          <w:szCs w:val="22"/>
        </w:rPr>
        <w:t>;</w:t>
      </w:r>
    </w:p>
    <w:p w14:paraId="09D7CF15" w14:textId="77777777" w:rsidR="008116EF" w:rsidRPr="009A1682" w:rsidRDefault="008116EF" w:rsidP="008116EF">
      <w:pPr>
        <w:pStyle w:val="NormalWeb"/>
        <w:spacing w:before="240" w:beforeAutospacing="0" w:after="240" w:afterAutospacing="0"/>
        <w:ind w:left="284" w:firstLine="11"/>
        <w:jc w:val="both"/>
        <w:rPr>
          <w:sz w:val="22"/>
          <w:szCs w:val="22"/>
        </w:rPr>
      </w:pPr>
      <w:r w:rsidRPr="009A1682">
        <w:rPr>
          <w:rFonts w:ascii="Palatino Linotype" w:hAnsi="Palatino Linotype"/>
          <w:color w:val="000000"/>
          <w:sz w:val="22"/>
          <w:szCs w:val="22"/>
        </w:rPr>
        <w:t>●</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Confirma la respuesta del sujeto obligado</w:t>
      </w:r>
      <w:r w:rsidR="009A1682" w:rsidRPr="009A1682">
        <w:rPr>
          <w:rFonts w:ascii="Palatino Linotype" w:hAnsi="Palatino Linotype"/>
          <w:color w:val="000000"/>
          <w:sz w:val="22"/>
          <w:szCs w:val="22"/>
        </w:rPr>
        <w:t>;</w:t>
      </w:r>
    </w:p>
    <w:p w14:paraId="372FFD6B" w14:textId="77777777" w:rsidR="008116EF" w:rsidRPr="009A1682" w:rsidRDefault="008116EF" w:rsidP="008116EF">
      <w:pPr>
        <w:pStyle w:val="NormalWeb"/>
        <w:spacing w:before="240" w:beforeAutospacing="0" w:after="240" w:afterAutospacing="0"/>
        <w:ind w:left="284" w:firstLine="11"/>
        <w:jc w:val="both"/>
        <w:rPr>
          <w:sz w:val="22"/>
          <w:szCs w:val="22"/>
        </w:rPr>
      </w:pPr>
      <w:r w:rsidRPr="009A1682">
        <w:rPr>
          <w:rFonts w:ascii="Palatino Linotype" w:hAnsi="Palatino Linotype"/>
          <w:color w:val="000000"/>
          <w:sz w:val="22"/>
          <w:szCs w:val="22"/>
        </w:rPr>
        <w:t>●</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Revocar o modificar la respuesta del sujeto obligado; y</w:t>
      </w:r>
      <w:r w:rsidR="009A1682" w:rsidRPr="009A1682">
        <w:rPr>
          <w:rFonts w:ascii="Palatino Linotype" w:hAnsi="Palatino Linotype"/>
          <w:color w:val="000000"/>
          <w:sz w:val="22"/>
          <w:szCs w:val="22"/>
        </w:rPr>
        <w:t>,</w:t>
      </w:r>
    </w:p>
    <w:p w14:paraId="4719D2D4" w14:textId="77777777" w:rsidR="008116EF" w:rsidRPr="009A1682" w:rsidRDefault="008116EF" w:rsidP="008116EF">
      <w:pPr>
        <w:pStyle w:val="NormalWeb"/>
        <w:spacing w:before="240" w:beforeAutospacing="0" w:after="240" w:afterAutospacing="0"/>
        <w:ind w:left="284" w:firstLine="11"/>
        <w:jc w:val="both"/>
        <w:rPr>
          <w:sz w:val="22"/>
          <w:szCs w:val="22"/>
        </w:rPr>
      </w:pPr>
      <w:r w:rsidRPr="009A1682">
        <w:rPr>
          <w:rFonts w:ascii="Palatino Linotype" w:hAnsi="Palatino Linotype"/>
          <w:color w:val="000000"/>
          <w:sz w:val="22"/>
          <w:szCs w:val="22"/>
        </w:rPr>
        <w:t>●</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Ordenar la entrega de la información</w:t>
      </w:r>
      <w:r w:rsidR="009A1682" w:rsidRPr="009A1682">
        <w:rPr>
          <w:rFonts w:ascii="Palatino Linotype" w:hAnsi="Palatino Linotype"/>
          <w:color w:val="000000"/>
          <w:sz w:val="22"/>
          <w:szCs w:val="22"/>
        </w:rPr>
        <w:t>.</w:t>
      </w:r>
    </w:p>
    <w:p w14:paraId="44B9EA81" w14:textId="77777777" w:rsidR="008116EF" w:rsidRPr="009A1682" w:rsidRDefault="008116EF" w:rsidP="008116EF">
      <w:pPr>
        <w:pStyle w:val="NormalWeb"/>
        <w:spacing w:before="240" w:beforeAutospacing="0" w:after="240" w:afterAutospacing="0"/>
        <w:ind w:left="-426"/>
        <w:jc w:val="both"/>
        <w:rPr>
          <w:sz w:val="22"/>
          <w:szCs w:val="22"/>
        </w:rPr>
      </w:pPr>
      <w:r w:rsidRPr="009A1682">
        <w:rPr>
          <w:rFonts w:ascii="Palatino Linotype" w:hAnsi="Palatino Linotype"/>
          <w:color w:val="000000"/>
          <w:sz w:val="22"/>
          <w:szCs w:val="22"/>
        </w:rPr>
        <w:t>Cabe agregar que las resoluciones que pronuncie este Instituto deben contener cuatro aspectos importantes: </w:t>
      </w:r>
    </w:p>
    <w:p w14:paraId="2B662863"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Lugar, fecha, el nombre del recurrente y del tercero interesado en su caso, sujeto obligado y un extracto de los hechos cuestionados;</w:t>
      </w:r>
    </w:p>
    <w:p w14:paraId="0928296C"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 ●</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Los preceptos en que se fundamenten y las consideraciones que las sustenten;</w:t>
      </w:r>
    </w:p>
    <w:p w14:paraId="64C9C456"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 </w:t>
      </w:r>
    </w:p>
    <w:p w14:paraId="2B7E089C"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lastRenderedPageBreak/>
        <w:t>●</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Los alcances y efectos de la resolución, fijando con precisión, en su caso, los sujetos y órganos obligados a cumplirla; y</w:t>
      </w:r>
    </w:p>
    <w:p w14:paraId="1D1D1BB2"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 ●</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Los puntos resolutivos.</w:t>
      </w:r>
    </w:p>
    <w:p w14:paraId="00BC3909" w14:textId="77777777" w:rsidR="008116EF" w:rsidRPr="009A1682" w:rsidRDefault="008116EF" w:rsidP="008116EF">
      <w:pPr>
        <w:pStyle w:val="NormalWeb"/>
        <w:spacing w:before="240" w:beforeAutospacing="0" w:after="0" w:afterAutospacing="0"/>
        <w:jc w:val="both"/>
        <w:rPr>
          <w:sz w:val="22"/>
          <w:szCs w:val="22"/>
        </w:rPr>
      </w:pPr>
      <w:r w:rsidRPr="009A1682">
        <w:rPr>
          <w:rFonts w:ascii="Palatino Linotype" w:hAnsi="Palatino Linotype"/>
          <w:color w:val="000000"/>
          <w:sz w:val="22"/>
          <w:szCs w:val="22"/>
        </w:rPr>
        <w:t>Sobre este punto, se considera de suma importancia mencionar que, de la normatividad citada, se advierte que este Instituto está facultado entre otras cosas para: </w:t>
      </w:r>
    </w:p>
    <w:p w14:paraId="4FE4B8AE"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Conocer y resolver los recursos de revisión interpuestos por los particulares en contra de las resoluciones de los sujetos obligados en el ámbito estatal;</w:t>
      </w:r>
    </w:p>
    <w:p w14:paraId="148DBDB6"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 ●</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Realizar de oficio y a petición de parte, análisis y recomendaciones o en su caso, lineamientos en relación con presuntos incumplimientos a las disposiciones de la Ley, cuando existan elementos suficientes a juicio del Pleno del Instituto;</w:t>
      </w:r>
    </w:p>
    <w:p w14:paraId="1CB3AD89"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 ●</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Emitir comunicados públicos sobre el incumplimiento de sus resoluciones o por infracciones reiteradas a la Ley, en el ámbito de su competencia;</w:t>
      </w:r>
    </w:p>
    <w:p w14:paraId="34152003"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 ●</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Ordenar a los sujetos obligados la ejecutoría en la entrega de información en términos de la presente Ley;</w:t>
      </w:r>
    </w:p>
    <w:p w14:paraId="2979D242"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 ●</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color w:val="000000"/>
          <w:sz w:val="22"/>
          <w:szCs w:val="22"/>
        </w:rPr>
        <w:t>Imponer las medidas de apremio para asegurar el cumplimiento de sus determinaciones;</w:t>
      </w:r>
    </w:p>
    <w:p w14:paraId="4183E62C" w14:textId="77777777" w:rsidR="008116EF" w:rsidRPr="009A1682" w:rsidRDefault="008116EF" w:rsidP="008116EF">
      <w:pPr>
        <w:pStyle w:val="NormalWeb"/>
        <w:spacing w:before="240" w:beforeAutospacing="0" w:after="240" w:afterAutospacing="0"/>
        <w:jc w:val="both"/>
        <w:rPr>
          <w:sz w:val="22"/>
          <w:szCs w:val="22"/>
        </w:rPr>
      </w:pPr>
      <w:r w:rsidRPr="009A1682">
        <w:rPr>
          <w:rFonts w:ascii="Palatino Linotype" w:hAnsi="Palatino Linotype"/>
          <w:color w:val="000000"/>
          <w:sz w:val="22"/>
          <w:szCs w:val="22"/>
        </w:rPr>
        <w:t> ●</w:t>
      </w:r>
      <w:r w:rsidRPr="009A1682">
        <w:rPr>
          <w:color w:val="000000"/>
          <w:sz w:val="22"/>
          <w:szCs w:val="22"/>
        </w:rPr>
        <w:t xml:space="preserve">  </w:t>
      </w:r>
      <w:r w:rsidRPr="009A1682">
        <w:rPr>
          <w:rStyle w:val="apple-tab-span"/>
          <w:color w:val="000000"/>
          <w:sz w:val="22"/>
          <w:szCs w:val="22"/>
        </w:rPr>
        <w:tab/>
      </w:r>
      <w:r w:rsidRPr="009A1682">
        <w:rPr>
          <w:rFonts w:ascii="Palatino Linotype" w:hAnsi="Palatino Linotype"/>
          <w:b/>
          <w:bCs/>
          <w:color w:val="000000"/>
          <w:sz w:val="22"/>
          <w:szCs w:val="22"/>
          <w:u w:val="single"/>
        </w:rPr>
        <w:t>Hacer del conocimiento de la instancia competente la probable responsabilidad por el incumplimiento de las obligaciones</w:t>
      </w:r>
      <w:r w:rsidRPr="009A1682">
        <w:rPr>
          <w:rFonts w:ascii="Palatino Linotype" w:hAnsi="Palatino Linotype"/>
          <w:color w:val="000000"/>
          <w:sz w:val="22"/>
          <w:szCs w:val="22"/>
        </w:rPr>
        <w:t xml:space="preserve"> previstas en la Ley y en las demás disposiciones</w:t>
      </w:r>
      <w:r w:rsidRPr="009A1682">
        <w:rPr>
          <w:rFonts w:ascii="Palatino Linotype" w:hAnsi="Palatino Linotype"/>
          <w:i/>
          <w:iCs/>
          <w:color w:val="000000"/>
          <w:sz w:val="22"/>
          <w:szCs w:val="22"/>
        </w:rPr>
        <w:t xml:space="preserve"> aplicable.</w:t>
      </w:r>
    </w:p>
    <w:p w14:paraId="7C2208A9" w14:textId="77777777" w:rsidR="008116EF" w:rsidRPr="009A1682" w:rsidRDefault="008116EF" w:rsidP="008116EF">
      <w:pPr>
        <w:pStyle w:val="NormalWeb"/>
        <w:spacing w:before="240" w:beforeAutospacing="0" w:after="0" w:afterAutospacing="0" w:line="360" w:lineRule="auto"/>
        <w:ind w:left="-567"/>
        <w:jc w:val="both"/>
        <w:rPr>
          <w:sz w:val="22"/>
          <w:szCs w:val="22"/>
        </w:rPr>
      </w:pPr>
      <w:r w:rsidRPr="009A1682">
        <w:rPr>
          <w:rFonts w:ascii="Palatino Linotype" w:hAnsi="Palatino Linotype"/>
          <w:color w:val="000000"/>
          <w:sz w:val="22"/>
          <w:szCs w:val="22"/>
        </w:rPr>
        <w:t>Establecido lo anterior, debe tomarse en cuenta que la vista a la Dirección General de Protección de Datos Personales de este Instituto, no debió incluirse en los resolutivos de la resolución referida, toda vez que, el Particular no se inconformó sobre de la información proporcionada en respuesta, es decir, no forma parte de la litis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 así en el presente asunto, la vista en mención debe realizarse y tramitarse por cuerda separada, en caso de advertirse que es necesario.</w:t>
      </w:r>
    </w:p>
    <w:p w14:paraId="40B34410" w14:textId="77777777" w:rsidR="008116EF" w:rsidRPr="009A1682" w:rsidRDefault="008116EF" w:rsidP="008116EF">
      <w:pPr>
        <w:pStyle w:val="NormalWeb"/>
        <w:spacing w:before="240" w:beforeAutospacing="0" w:after="0" w:afterAutospacing="0" w:line="360" w:lineRule="auto"/>
        <w:ind w:left="-567"/>
        <w:jc w:val="both"/>
        <w:rPr>
          <w:sz w:val="22"/>
          <w:szCs w:val="22"/>
        </w:rPr>
      </w:pPr>
      <w:r w:rsidRPr="009A1682">
        <w:rPr>
          <w:rFonts w:ascii="Palatino Linotype" w:hAnsi="Palatino Linotype"/>
          <w:color w:val="000000"/>
          <w:sz w:val="22"/>
          <w:szCs w:val="22"/>
        </w:rPr>
        <w:lastRenderedPageBreak/>
        <w:t xml:space="preserve"> Aunado a lo anterior, respecto los actos consentidos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w:t>
      </w:r>
      <w:r w:rsidRPr="009A1682">
        <w:rPr>
          <w:rFonts w:ascii="Palatino Linotype" w:hAnsi="Palatino Linotype"/>
          <w:color w:val="000000"/>
          <w:sz w:val="22"/>
          <w:szCs w:val="22"/>
          <w:u w:val="single"/>
        </w:rPr>
        <w:t>será improcedente el recurso</w:t>
      </w:r>
      <w:r w:rsidRPr="009A1682">
        <w:rPr>
          <w:rFonts w:ascii="Palatino Linotype" w:hAnsi="Palatino Linotype"/>
          <w:color w:val="000000"/>
          <w:sz w:val="22"/>
          <w:szCs w:val="22"/>
        </w:rPr>
        <w:t xml:space="preserve"> contra los actos que se hayan consentido tácitamente, entendiéndose por éstos cuando el recurso no se haya promovido en el plazo señalado para el efecto.</w:t>
      </w:r>
    </w:p>
    <w:p w14:paraId="3846FFA4" w14:textId="77777777" w:rsidR="008116EF" w:rsidRPr="009A1682" w:rsidRDefault="008116EF" w:rsidP="008116EF">
      <w:pPr>
        <w:pStyle w:val="NormalWeb"/>
        <w:spacing w:before="240" w:beforeAutospacing="0" w:after="0" w:afterAutospacing="0" w:line="360" w:lineRule="auto"/>
        <w:ind w:left="-567"/>
        <w:jc w:val="both"/>
        <w:rPr>
          <w:sz w:val="22"/>
          <w:szCs w:val="22"/>
        </w:rPr>
      </w:pPr>
      <w:r w:rsidRPr="009A1682">
        <w:rPr>
          <w:rFonts w:ascii="Palatino Linotype" w:hAnsi="Palatino Linotype"/>
          <w:color w:val="000000"/>
          <w:sz w:val="22"/>
          <w:szCs w:val="22"/>
        </w:rPr>
        <w:t xml:space="preserve"> De la misma manera resulta aplicable el criterio sostenido por el Poder Judicial de la Federación de rubro </w:t>
      </w:r>
      <w:r w:rsidRPr="009A1682">
        <w:rPr>
          <w:rFonts w:ascii="Palatino Linotype" w:hAnsi="Palatino Linotype"/>
          <w:b/>
          <w:bCs/>
          <w:color w:val="000000"/>
          <w:sz w:val="22"/>
          <w:szCs w:val="22"/>
        </w:rPr>
        <w:t>ACTOS CONSENTIDOS TÁCITAMENTE</w:t>
      </w:r>
      <w:r w:rsidRPr="009A1682">
        <w:rPr>
          <w:rFonts w:ascii="Palatino Linotype" w:hAnsi="Palatino Linotype"/>
          <w:color w:val="000000"/>
          <w:sz w:val="22"/>
          <w:szCs w:val="22"/>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16CA0AA7" w14:textId="77777777" w:rsidR="008116EF" w:rsidRPr="009A1682" w:rsidRDefault="008116EF" w:rsidP="008116EF">
      <w:pPr>
        <w:pStyle w:val="NormalWeb"/>
        <w:spacing w:before="240" w:beforeAutospacing="0" w:after="0" w:afterAutospacing="0" w:line="360" w:lineRule="auto"/>
        <w:ind w:left="-567"/>
        <w:jc w:val="both"/>
        <w:rPr>
          <w:sz w:val="22"/>
          <w:szCs w:val="22"/>
        </w:rPr>
      </w:pPr>
      <w:r w:rsidRPr="009A1682">
        <w:rPr>
          <w:rFonts w:ascii="Palatino Linotype" w:hAnsi="Palatino Linotype"/>
          <w:color w:val="000000"/>
          <w:sz w:val="22"/>
          <w:szCs w:val="22"/>
        </w:rPr>
        <w:t>En ese sentido, en el caso de que la persona solicitante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tal como fue realizado, sin embargo, al no haber inconformidad ni estudio sobre las documentales remitidas en respuesta, resulta innecesario la vista citada.</w:t>
      </w:r>
    </w:p>
    <w:p w14:paraId="60075480" w14:textId="77777777" w:rsidR="00C93137" w:rsidRPr="009A1682" w:rsidRDefault="00C93137">
      <w:pPr>
        <w:tabs>
          <w:tab w:val="left" w:pos="4962"/>
        </w:tabs>
        <w:spacing w:before="240" w:after="240" w:line="360" w:lineRule="auto"/>
        <w:ind w:left="-426"/>
        <w:jc w:val="both"/>
        <w:rPr>
          <w:rFonts w:ascii="Palatino Linotype" w:eastAsia="Palatino Linotype" w:hAnsi="Palatino Linotype" w:cs="Palatino Linotype"/>
        </w:rPr>
      </w:pPr>
    </w:p>
    <w:p w14:paraId="1441964F" w14:textId="77777777" w:rsidR="00C93137" w:rsidRPr="009A1682" w:rsidRDefault="00C93137">
      <w:pPr>
        <w:tabs>
          <w:tab w:val="left" w:pos="4962"/>
        </w:tabs>
        <w:spacing w:before="240" w:after="240" w:line="360" w:lineRule="auto"/>
        <w:ind w:left="-426"/>
        <w:jc w:val="both"/>
        <w:rPr>
          <w:rFonts w:ascii="Palatino Linotype" w:eastAsia="Palatino Linotype" w:hAnsi="Palatino Linotype" w:cs="Palatino Linotype"/>
        </w:rPr>
      </w:pPr>
    </w:p>
    <w:p w14:paraId="33300614" w14:textId="77777777" w:rsidR="00C93137" w:rsidRPr="009A1682" w:rsidRDefault="00C93137">
      <w:pPr>
        <w:tabs>
          <w:tab w:val="left" w:pos="4962"/>
        </w:tabs>
        <w:spacing w:before="240" w:after="240" w:line="360" w:lineRule="auto"/>
        <w:ind w:left="-426"/>
        <w:jc w:val="both"/>
        <w:rPr>
          <w:rFonts w:ascii="Palatino Linotype" w:eastAsia="Palatino Linotype" w:hAnsi="Palatino Linotype" w:cs="Palatino Linotype"/>
        </w:rPr>
      </w:pPr>
    </w:p>
    <w:p w14:paraId="5465FBA4" w14:textId="77777777" w:rsidR="00C93137" w:rsidRPr="009A1682" w:rsidRDefault="00C93137">
      <w:pPr>
        <w:tabs>
          <w:tab w:val="left" w:pos="4962"/>
        </w:tabs>
        <w:spacing w:before="240" w:after="240" w:line="360" w:lineRule="auto"/>
        <w:ind w:left="-426"/>
        <w:jc w:val="both"/>
        <w:rPr>
          <w:rFonts w:ascii="Palatino Linotype" w:eastAsia="Palatino Linotype" w:hAnsi="Palatino Linotype" w:cs="Palatino Linotype"/>
        </w:rPr>
      </w:pPr>
    </w:p>
    <w:p w14:paraId="67739C44" w14:textId="77777777" w:rsidR="00C93137" w:rsidRPr="009A1682" w:rsidRDefault="00C93137">
      <w:pPr>
        <w:tabs>
          <w:tab w:val="left" w:pos="4962"/>
        </w:tabs>
        <w:spacing w:before="240" w:after="240" w:line="360" w:lineRule="auto"/>
        <w:ind w:left="-426"/>
        <w:jc w:val="both"/>
        <w:rPr>
          <w:rFonts w:ascii="Palatino Linotype" w:eastAsia="Palatino Linotype" w:hAnsi="Palatino Linotype" w:cs="Palatino Linotype"/>
        </w:rPr>
      </w:pPr>
    </w:p>
    <w:p w14:paraId="593EC6CD" w14:textId="77777777" w:rsidR="00C93137" w:rsidRPr="009A1682" w:rsidRDefault="00C93137">
      <w:pPr>
        <w:tabs>
          <w:tab w:val="left" w:pos="4962"/>
        </w:tabs>
        <w:spacing w:before="240" w:after="240" w:line="360" w:lineRule="auto"/>
        <w:ind w:left="-426"/>
        <w:jc w:val="both"/>
        <w:rPr>
          <w:rFonts w:ascii="Palatino Linotype" w:eastAsia="Palatino Linotype" w:hAnsi="Palatino Linotype" w:cs="Palatino Linotype"/>
        </w:rPr>
      </w:pPr>
    </w:p>
    <w:p w14:paraId="585D881A" w14:textId="77777777" w:rsidR="00C93137" w:rsidRPr="009A1682" w:rsidRDefault="00C93137">
      <w:pPr>
        <w:tabs>
          <w:tab w:val="left" w:pos="4962"/>
        </w:tabs>
        <w:spacing w:before="240" w:after="240" w:line="360" w:lineRule="auto"/>
        <w:ind w:left="-426"/>
        <w:jc w:val="both"/>
        <w:rPr>
          <w:rFonts w:ascii="Palatino Linotype" w:eastAsia="Palatino Linotype" w:hAnsi="Palatino Linotype" w:cs="Palatino Linotype"/>
        </w:rPr>
      </w:pPr>
    </w:p>
    <w:p w14:paraId="173B414A" w14:textId="77777777" w:rsidR="00C93137" w:rsidRPr="009A1682" w:rsidRDefault="00C93137">
      <w:pPr>
        <w:tabs>
          <w:tab w:val="left" w:pos="4962"/>
        </w:tabs>
        <w:spacing w:before="240" w:after="240" w:line="360" w:lineRule="auto"/>
        <w:ind w:left="-426"/>
        <w:jc w:val="both"/>
        <w:rPr>
          <w:rFonts w:ascii="Palatino Linotype" w:eastAsia="Palatino Linotype" w:hAnsi="Palatino Linotype" w:cs="Palatino Linotype"/>
        </w:rPr>
      </w:pPr>
    </w:p>
    <w:p w14:paraId="57446050" w14:textId="77777777" w:rsidR="00C93137" w:rsidRPr="009A1682" w:rsidRDefault="00C93137">
      <w:pPr>
        <w:tabs>
          <w:tab w:val="left" w:pos="4962"/>
        </w:tabs>
        <w:spacing w:before="240" w:after="240" w:line="360" w:lineRule="auto"/>
        <w:ind w:left="-426"/>
        <w:jc w:val="both"/>
        <w:rPr>
          <w:rFonts w:ascii="Palatino Linotype" w:eastAsia="Palatino Linotype" w:hAnsi="Palatino Linotype" w:cs="Palatino Linotype"/>
        </w:rPr>
      </w:pPr>
    </w:p>
    <w:p w14:paraId="752FD23F"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bookmarkStart w:id="3" w:name="_heading=h.2et92p0" w:colFirst="0" w:colLast="0"/>
      <w:bookmarkEnd w:id="3"/>
    </w:p>
    <w:p w14:paraId="46A1BE63"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4611AD69"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2F367FFE"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58D90DDC"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19F5A1EB"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7F51648C"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708B4731"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2A371837"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1EA8C1BC"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4B1D1546"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35C5FF50"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07E07496"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61680A16"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6F57E580" w14:textId="77777777" w:rsidR="00C93137" w:rsidRPr="009A1682" w:rsidRDefault="00C93137">
      <w:pPr>
        <w:tabs>
          <w:tab w:val="left" w:pos="851"/>
        </w:tabs>
        <w:spacing w:before="120" w:after="120" w:line="240" w:lineRule="auto"/>
        <w:ind w:right="902"/>
        <w:jc w:val="both"/>
        <w:rPr>
          <w:rFonts w:ascii="Palatino Linotype" w:eastAsia="Palatino Linotype" w:hAnsi="Palatino Linotype" w:cs="Palatino Linotype"/>
          <w:i/>
        </w:rPr>
      </w:pPr>
    </w:p>
    <w:p w14:paraId="1A0C54D7" w14:textId="77777777" w:rsidR="00C93137" w:rsidRPr="009A1682" w:rsidRDefault="00C93137">
      <w:pPr>
        <w:spacing w:after="0" w:line="360" w:lineRule="auto"/>
        <w:ind w:right="423"/>
        <w:jc w:val="both"/>
        <w:rPr>
          <w:rFonts w:ascii="Palatino Linotype" w:eastAsia="Palatino Linotype" w:hAnsi="Palatino Linotype" w:cs="Palatino Linotype"/>
        </w:rPr>
      </w:pPr>
      <w:bookmarkStart w:id="4" w:name="_heading=h.30j0zll" w:colFirst="0" w:colLast="0"/>
      <w:bookmarkEnd w:id="4"/>
    </w:p>
    <w:sectPr w:rsidR="00C93137" w:rsidRPr="009A1682">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F2CBA" w14:textId="77777777" w:rsidR="007D3C11" w:rsidRDefault="007D3C11">
      <w:pPr>
        <w:spacing w:after="0" w:line="240" w:lineRule="auto"/>
      </w:pPr>
      <w:r>
        <w:separator/>
      </w:r>
    </w:p>
  </w:endnote>
  <w:endnote w:type="continuationSeparator" w:id="0">
    <w:p w14:paraId="76499FD0" w14:textId="77777777" w:rsidR="007D3C11" w:rsidRDefault="007D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2072" w14:textId="77777777" w:rsidR="00C93137" w:rsidRDefault="003E73A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A769E">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A769E">
      <w:rPr>
        <w:rFonts w:ascii="Arial" w:eastAsia="Arial" w:hAnsi="Arial" w:cs="Arial"/>
        <w:b/>
        <w:noProof/>
        <w:color w:val="000000"/>
        <w:sz w:val="20"/>
        <w:szCs w:val="20"/>
      </w:rPr>
      <w:t>11</w:t>
    </w:r>
    <w:r>
      <w:rPr>
        <w:rFonts w:ascii="Arial" w:eastAsia="Arial" w:hAnsi="Arial" w:cs="Arial"/>
        <w:b/>
        <w:color w:val="000000"/>
        <w:sz w:val="20"/>
        <w:szCs w:val="20"/>
      </w:rPr>
      <w:fldChar w:fldCharType="end"/>
    </w:r>
  </w:p>
  <w:p w14:paraId="17E2927A" w14:textId="77777777" w:rsidR="00C93137" w:rsidRDefault="00C9313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EC195" w14:textId="77777777" w:rsidR="007D3C11" w:rsidRDefault="007D3C11">
      <w:pPr>
        <w:spacing w:after="0" w:line="240" w:lineRule="auto"/>
      </w:pPr>
      <w:r>
        <w:separator/>
      </w:r>
    </w:p>
  </w:footnote>
  <w:footnote w:type="continuationSeparator" w:id="0">
    <w:p w14:paraId="33B335D2" w14:textId="77777777" w:rsidR="007D3C11" w:rsidRDefault="007D3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96B9" w14:textId="77777777" w:rsidR="00C93137" w:rsidRDefault="003E73A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79E94896" wp14:editId="059296A3">
          <wp:simplePos x="0" y="0"/>
          <wp:positionH relativeFrom="column">
            <wp:posOffset>-1171566</wp:posOffset>
          </wp:positionH>
          <wp:positionV relativeFrom="paragraph">
            <wp:posOffset>-486399</wp:posOffset>
          </wp:positionV>
          <wp:extent cx="7510628" cy="988377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6073275F" w14:textId="77777777" w:rsidR="00C93137" w:rsidRDefault="003E73A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3CBA647E" w14:textId="77777777" w:rsidR="00C93137" w:rsidRDefault="003E73A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D43CE9">
      <w:rPr>
        <w:rFonts w:ascii="Palatino Linotype" w:eastAsia="Palatino Linotype" w:hAnsi="Palatino Linotype" w:cs="Palatino Linotype"/>
        <w:b/>
        <w:color w:val="000000"/>
        <w:sz w:val="20"/>
        <w:szCs w:val="20"/>
      </w:rPr>
      <w:t>51</w:t>
    </w:r>
    <w:r w:rsidR="00636AC3">
      <w:rPr>
        <w:rFonts w:ascii="Palatino Linotype" w:eastAsia="Palatino Linotype" w:hAnsi="Palatino Linotype" w:cs="Palatino Linotype"/>
        <w:b/>
        <w:color w:val="000000"/>
        <w:sz w:val="20"/>
        <w:szCs w:val="20"/>
      </w:rPr>
      <w:t>80</w:t>
    </w:r>
    <w:r>
      <w:rPr>
        <w:rFonts w:ascii="Palatino Linotype" w:eastAsia="Palatino Linotype" w:hAnsi="Palatino Linotype" w:cs="Palatino Linotype"/>
        <w:b/>
        <w:color w:val="000000"/>
        <w:sz w:val="20"/>
        <w:szCs w:val="20"/>
      </w:rPr>
      <w:t>/INFOEM/IP/RR/2024</w:t>
    </w:r>
  </w:p>
  <w:p w14:paraId="55AE0EB6" w14:textId="77777777" w:rsidR="00C93137" w:rsidRDefault="003E73A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636AC3" w:rsidRPr="00636AC3">
      <w:rPr>
        <w:rFonts w:ascii="Palatino Linotype" w:eastAsia="Palatino Linotype" w:hAnsi="Palatino Linotype" w:cs="Palatino Linotype"/>
        <w:b/>
        <w:color w:val="000000"/>
        <w:sz w:val="20"/>
        <w:szCs w:val="20"/>
      </w:rPr>
      <w:t>Universidad Mexiquense del Bicentenario</w:t>
    </w:r>
  </w:p>
  <w:p w14:paraId="11774D43" w14:textId="77777777" w:rsidR="00C93137" w:rsidRDefault="003E73A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Comisionada Ponente: </w:t>
    </w:r>
    <w:r w:rsidR="007E25A0">
      <w:rPr>
        <w:rFonts w:ascii="Palatino Linotype" w:eastAsia="Palatino Linotype" w:hAnsi="Palatino Linotype" w:cs="Palatino Linotype"/>
        <w:b/>
        <w:color w:val="000000"/>
        <w:sz w:val="20"/>
        <w:szCs w:val="20"/>
      </w:rPr>
      <w:t>José Martínez Vilchis</w:t>
    </w:r>
  </w:p>
  <w:p w14:paraId="28DBC175" w14:textId="77777777" w:rsidR="00C93137" w:rsidRDefault="00C9313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37"/>
    <w:rsid w:val="0000442B"/>
    <w:rsid w:val="0023589A"/>
    <w:rsid w:val="00293BBE"/>
    <w:rsid w:val="003E73A7"/>
    <w:rsid w:val="004A7493"/>
    <w:rsid w:val="00593D10"/>
    <w:rsid w:val="00636AC3"/>
    <w:rsid w:val="00735B81"/>
    <w:rsid w:val="007D3C11"/>
    <w:rsid w:val="007E25A0"/>
    <w:rsid w:val="008116EF"/>
    <w:rsid w:val="008D723A"/>
    <w:rsid w:val="009730E3"/>
    <w:rsid w:val="009A1682"/>
    <w:rsid w:val="00AA1FEB"/>
    <w:rsid w:val="00AA3E70"/>
    <w:rsid w:val="00B739CA"/>
    <w:rsid w:val="00BA769E"/>
    <w:rsid w:val="00BF1529"/>
    <w:rsid w:val="00C93137"/>
    <w:rsid w:val="00D02971"/>
    <w:rsid w:val="00D04E84"/>
    <w:rsid w:val="00D05801"/>
    <w:rsid w:val="00D34A8D"/>
    <w:rsid w:val="00D43CE9"/>
    <w:rsid w:val="00D92005"/>
    <w:rsid w:val="00E56AD7"/>
    <w:rsid w:val="00F43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EDBF9"/>
  <w15:docId w15:val="{FBD2BC64-50E6-4127-838D-52CD185F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paragraph" w:styleId="NormalWeb">
    <w:name w:val="Normal (Web)"/>
    <w:basedOn w:val="Normal"/>
    <w:uiPriority w:val="99"/>
    <w:semiHidden/>
    <w:unhideWhenUsed/>
    <w:rsid w:val="008116EF"/>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81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43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iXhTuO789a2F070tSauxGzQw==">CgMxLjAyCGguZ2pkZ3hzMg5oLnNlem5rMHYza3dkcDIOaC54ZXpyMG9rZDU3dG4yCWguMmV0OTJwMDIJaC4zMGowemxsOAByITFJTjZPY2wyRFVEcm1KbmE3UjNLaGlsbkRVei1MQVhfeA==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2644</Words>
  <Characters>14546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4</cp:revision>
  <cp:lastPrinted>2024-10-21T19:15:00Z</cp:lastPrinted>
  <dcterms:created xsi:type="dcterms:W3CDTF">2024-11-15T20:14:00Z</dcterms:created>
  <dcterms:modified xsi:type="dcterms:W3CDTF">2025-01-20T05:51:00Z</dcterms:modified>
</cp:coreProperties>
</file>