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E4EF" w14:textId="5524E84C" w:rsidR="00F77FE3" w:rsidRPr="008D03F7" w:rsidRDefault="00E763E0" w:rsidP="00C70E5A">
      <w:pPr>
        <w:spacing w:after="0" w:line="360" w:lineRule="auto"/>
        <w:jc w:val="both"/>
        <w:rPr>
          <w:rFonts w:ascii="Palatino Linotype" w:eastAsia="Palatino Linotype" w:hAnsi="Palatino Linotype" w:cs="Palatino Linotype"/>
          <w:b/>
          <w:sz w:val="24"/>
          <w:szCs w:val="24"/>
        </w:rPr>
      </w:pPr>
      <w:bookmarkStart w:id="0" w:name="_heading=h.u5yn92xmpz4a" w:colFirst="0" w:colLast="0"/>
      <w:bookmarkEnd w:id="0"/>
      <w:r w:rsidRPr="008D03F7">
        <w:rPr>
          <w:rFonts w:ascii="Palatino Linotype" w:eastAsia="Palatino Linotype" w:hAnsi="Palatino Linotype" w:cs="Palatino Linotype"/>
          <w:b/>
          <w:sz w:val="24"/>
          <w:szCs w:val="24"/>
        </w:rPr>
        <w:t>V</w:t>
      </w:r>
      <w:r w:rsidR="00BF35EC">
        <w:rPr>
          <w:rFonts w:ascii="Palatino Linotype" w:eastAsia="Palatino Linotype" w:hAnsi="Palatino Linotype" w:cs="Palatino Linotype"/>
          <w:b/>
          <w:sz w:val="24"/>
          <w:szCs w:val="24"/>
        </w:rPr>
        <w:t>OTO PARTICULAR QUE FORMULA</w:t>
      </w:r>
      <w:r w:rsidRPr="008D03F7">
        <w:rPr>
          <w:rFonts w:ascii="Palatino Linotype" w:eastAsia="Palatino Linotype" w:hAnsi="Palatino Linotype" w:cs="Palatino Linotype"/>
          <w:b/>
          <w:sz w:val="24"/>
          <w:szCs w:val="24"/>
        </w:rPr>
        <w:t xml:space="preserve"> L</w:t>
      </w:r>
      <w:r w:rsidR="00BF35EC">
        <w:rPr>
          <w:rFonts w:ascii="Palatino Linotype" w:eastAsia="Palatino Linotype" w:hAnsi="Palatino Linotype" w:cs="Palatino Linotype"/>
          <w:b/>
          <w:sz w:val="24"/>
          <w:szCs w:val="24"/>
        </w:rPr>
        <w:t>A</w:t>
      </w:r>
      <w:r w:rsidRPr="008D03F7">
        <w:rPr>
          <w:rFonts w:ascii="Palatino Linotype" w:eastAsia="Palatino Linotype" w:hAnsi="Palatino Linotype" w:cs="Palatino Linotype"/>
          <w:b/>
          <w:sz w:val="24"/>
          <w:szCs w:val="24"/>
        </w:rPr>
        <w:t xml:space="preserve"> COMISIONAD</w:t>
      </w:r>
      <w:r w:rsidR="00BF35EC">
        <w:rPr>
          <w:rFonts w:ascii="Palatino Linotype" w:eastAsia="Palatino Linotype" w:hAnsi="Palatino Linotype" w:cs="Palatino Linotype"/>
          <w:b/>
          <w:sz w:val="24"/>
          <w:szCs w:val="24"/>
        </w:rPr>
        <w:t>A</w:t>
      </w:r>
      <w:r w:rsidRPr="008D03F7">
        <w:rPr>
          <w:rFonts w:ascii="Palatino Linotype" w:eastAsia="Palatino Linotype" w:hAnsi="Palatino Linotype" w:cs="Palatino Linotype"/>
          <w:b/>
          <w:sz w:val="24"/>
          <w:szCs w:val="24"/>
        </w:rPr>
        <w:t xml:space="preserve"> GUADALUPE RAMÍREZ PEÑA, EN RELACIÓN CON LA RESOLUCIÓN DICTADA POR EL PLENO DEL INSTITUTO DE TRANSPARENCIA, ACCESO A LA INFORMACIÓN PÚBLICA Y PROTECCIÓN DE DATOS PERSONALES DEL ESTADO DE MÉXICO Y MUNICIPIOS, EN LA </w:t>
      </w:r>
      <w:r w:rsidR="0065652A" w:rsidRPr="008D03F7">
        <w:rPr>
          <w:rFonts w:ascii="Palatino Linotype" w:eastAsia="Palatino Linotype" w:hAnsi="Palatino Linotype" w:cs="Palatino Linotype"/>
          <w:b/>
          <w:sz w:val="24"/>
          <w:szCs w:val="24"/>
        </w:rPr>
        <w:t>NOVENA</w:t>
      </w:r>
      <w:r w:rsidRPr="008D03F7">
        <w:rPr>
          <w:rFonts w:ascii="Palatino Linotype" w:eastAsia="Palatino Linotype" w:hAnsi="Palatino Linotype" w:cs="Palatino Linotype"/>
          <w:b/>
          <w:sz w:val="24"/>
          <w:szCs w:val="24"/>
        </w:rPr>
        <w:t xml:space="preserve"> SESIÓN ORDINARIA CELEBRADA EL </w:t>
      </w:r>
      <w:r w:rsidR="0065652A" w:rsidRPr="008D03F7">
        <w:rPr>
          <w:rFonts w:ascii="Palatino Linotype" w:eastAsia="Palatino Linotype" w:hAnsi="Palatino Linotype" w:cs="Palatino Linotype"/>
          <w:b/>
          <w:sz w:val="24"/>
          <w:szCs w:val="24"/>
        </w:rPr>
        <w:t>TRECE</w:t>
      </w:r>
      <w:r w:rsidRPr="008D03F7">
        <w:rPr>
          <w:rFonts w:ascii="Palatino Linotype" w:eastAsia="Palatino Linotype" w:hAnsi="Palatino Linotype" w:cs="Palatino Linotype"/>
          <w:b/>
          <w:sz w:val="24"/>
          <w:szCs w:val="24"/>
        </w:rPr>
        <w:t xml:space="preserve"> DE </w:t>
      </w:r>
      <w:r w:rsidR="0065652A" w:rsidRPr="008D03F7">
        <w:rPr>
          <w:rFonts w:ascii="Palatino Linotype" w:eastAsia="Palatino Linotype" w:hAnsi="Palatino Linotype" w:cs="Palatino Linotype"/>
          <w:b/>
          <w:sz w:val="24"/>
          <w:szCs w:val="24"/>
        </w:rPr>
        <w:t>MARZO</w:t>
      </w:r>
      <w:r w:rsidRPr="008D03F7">
        <w:rPr>
          <w:rFonts w:ascii="Palatino Linotype" w:eastAsia="Palatino Linotype" w:hAnsi="Palatino Linotype" w:cs="Palatino Linotype"/>
          <w:b/>
          <w:sz w:val="24"/>
          <w:szCs w:val="24"/>
        </w:rPr>
        <w:t xml:space="preserve"> DE DOS MIL VEINTICUATRO, EN </w:t>
      </w:r>
      <w:r w:rsidR="0065652A" w:rsidRPr="008D03F7">
        <w:rPr>
          <w:rFonts w:ascii="Palatino Linotype" w:eastAsia="Palatino Linotype" w:hAnsi="Palatino Linotype" w:cs="Palatino Linotype"/>
          <w:b/>
          <w:sz w:val="24"/>
          <w:szCs w:val="24"/>
        </w:rPr>
        <w:t>L</w:t>
      </w:r>
      <w:r w:rsidR="008914C0">
        <w:rPr>
          <w:rFonts w:ascii="Palatino Linotype" w:eastAsia="Palatino Linotype" w:hAnsi="Palatino Linotype" w:cs="Palatino Linotype"/>
          <w:b/>
          <w:sz w:val="24"/>
          <w:szCs w:val="24"/>
        </w:rPr>
        <w:t>OS</w:t>
      </w:r>
      <w:r w:rsidRPr="008D03F7">
        <w:rPr>
          <w:rFonts w:ascii="Palatino Linotype" w:eastAsia="Palatino Linotype" w:hAnsi="Palatino Linotype" w:cs="Palatino Linotype"/>
          <w:b/>
          <w:sz w:val="24"/>
          <w:szCs w:val="24"/>
        </w:rPr>
        <w:t xml:space="preserve"> RECURSO</w:t>
      </w:r>
      <w:r w:rsidR="008914C0">
        <w:rPr>
          <w:rFonts w:ascii="Palatino Linotype" w:eastAsia="Palatino Linotype" w:hAnsi="Palatino Linotype" w:cs="Palatino Linotype"/>
          <w:b/>
          <w:sz w:val="24"/>
          <w:szCs w:val="24"/>
        </w:rPr>
        <w:t>S</w:t>
      </w:r>
      <w:r w:rsidRPr="008D03F7">
        <w:rPr>
          <w:rFonts w:ascii="Palatino Linotype" w:eastAsia="Palatino Linotype" w:hAnsi="Palatino Linotype" w:cs="Palatino Linotype"/>
          <w:b/>
          <w:sz w:val="24"/>
          <w:szCs w:val="24"/>
        </w:rPr>
        <w:t xml:space="preserve"> DE REVISIÓN 0</w:t>
      </w:r>
      <w:r w:rsidR="00BF35EC">
        <w:rPr>
          <w:rFonts w:ascii="Palatino Linotype" w:eastAsia="Palatino Linotype" w:hAnsi="Palatino Linotype" w:cs="Palatino Linotype"/>
          <w:b/>
          <w:sz w:val="24"/>
          <w:szCs w:val="24"/>
        </w:rPr>
        <w:t>2021</w:t>
      </w:r>
      <w:r w:rsidRPr="008D03F7">
        <w:rPr>
          <w:rFonts w:ascii="Palatino Linotype" w:eastAsia="Palatino Linotype" w:hAnsi="Palatino Linotype" w:cs="Palatino Linotype"/>
          <w:b/>
          <w:sz w:val="24"/>
          <w:szCs w:val="24"/>
        </w:rPr>
        <w:t>/INFOEM/IP/RR/2023</w:t>
      </w:r>
      <w:r w:rsidR="00BF35EC">
        <w:rPr>
          <w:rFonts w:ascii="Palatino Linotype" w:eastAsia="Palatino Linotype" w:hAnsi="Palatino Linotype" w:cs="Palatino Linotype"/>
          <w:b/>
          <w:sz w:val="24"/>
          <w:szCs w:val="24"/>
        </w:rPr>
        <w:t xml:space="preserve"> Y </w:t>
      </w:r>
      <w:r w:rsidR="00BF35EC" w:rsidRPr="008D03F7">
        <w:rPr>
          <w:rFonts w:ascii="Palatino Linotype" w:eastAsia="Palatino Linotype" w:hAnsi="Palatino Linotype" w:cs="Palatino Linotype"/>
          <w:b/>
          <w:sz w:val="24"/>
          <w:szCs w:val="24"/>
        </w:rPr>
        <w:t>0</w:t>
      </w:r>
      <w:r w:rsidR="00BF35EC">
        <w:rPr>
          <w:rFonts w:ascii="Palatino Linotype" w:eastAsia="Palatino Linotype" w:hAnsi="Palatino Linotype" w:cs="Palatino Linotype"/>
          <w:b/>
          <w:sz w:val="24"/>
          <w:szCs w:val="24"/>
        </w:rPr>
        <w:t>2209</w:t>
      </w:r>
      <w:r w:rsidR="00BF35EC" w:rsidRPr="008D03F7">
        <w:rPr>
          <w:rFonts w:ascii="Palatino Linotype" w:eastAsia="Palatino Linotype" w:hAnsi="Palatino Linotype" w:cs="Palatino Linotype"/>
          <w:b/>
          <w:sz w:val="24"/>
          <w:szCs w:val="24"/>
        </w:rPr>
        <w:t>/INFOEM/IP/RR/2023</w:t>
      </w:r>
      <w:r w:rsidR="00265549">
        <w:rPr>
          <w:rFonts w:ascii="Palatino Linotype" w:eastAsia="Palatino Linotype" w:hAnsi="Palatino Linotype" w:cs="Palatino Linotype"/>
          <w:b/>
          <w:sz w:val="24"/>
          <w:szCs w:val="24"/>
        </w:rPr>
        <w:t>,</w:t>
      </w:r>
      <w:r w:rsidR="00BF35EC">
        <w:rPr>
          <w:rFonts w:ascii="Palatino Linotype" w:eastAsia="Palatino Linotype" w:hAnsi="Palatino Linotype" w:cs="Palatino Linotype"/>
          <w:b/>
          <w:sz w:val="24"/>
          <w:szCs w:val="24"/>
        </w:rPr>
        <w:t xml:space="preserve"> ACUMULADOS</w:t>
      </w:r>
      <w:r w:rsidRPr="008D03F7">
        <w:rPr>
          <w:rFonts w:ascii="Palatino Linotype" w:eastAsia="Palatino Linotype" w:hAnsi="Palatino Linotype" w:cs="Palatino Linotype"/>
          <w:b/>
          <w:sz w:val="24"/>
          <w:szCs w:val="24"/>
        </w:rPr>
        <w:t>.</w:t>
      </w:r>
    </w:p>
    <w:p w14:paraId="60747A3E" w14:textId="03F07CC3" w:rsidR="00F77FE3" w:rsidRPr="008D03F7" w:rsidRDefault="00E763E0" w:rsidP="001A00DC">
      <w:pPr>
        <w:spacing w:before="240"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El Pleno del Instituto de Transparencia, Acceso a la Información Pública y Protección de Datos Personales del Estado de México resolvió por unanimidad de votos, la Resolución relativa a</w:t>
      </w:r>
      <w:r w:rsidR="00BF35EC">
        <w:rPr>
          <w:rFonts w:ascii="Palatino Linotype" w:eastAsia="Palatino Linotype" w:hAnsi="Palatino Linotype" w:cs="Palatino Linotype"/>
          <w:sz w:val="24"/>
          <w:szCs w:val="24"/>
        </w:rPr>
        <w:t xml:space="preserve"> </w:t>
      </w:r>
      <w:r w:rsidR="001A00DC" w:rsidRPr="008D03F7">
        <w:rPr>
          <w:rFonts w:ascii="Palatino Linotype" w:eastAsia="Palatino Linotype" w:hAnsi="Palatino Linotype" w:cs="Palatino Linotype"/>
          <w:sz w:val="24"/>
          <w:szCs w:val="24"/>
        </w:rPr>
        <w:t>l</w:t>
      </w:r>
      <w:r w:rsidR="00BF35EC">
        <w:rPr>
          <w:rFonts w:ascii="Palatino Linotype" w:eastAsia="Palatino Linotype" w:hAnsi="Palatino Linotype" w:cs="Palatino Linotype"/>
          <w:sz w:val="24"/>
          <w:szCs w:val="24"/>
        </w:rPr>
        <w:t>os</w:t>
      </w:r>
      <w:r w:rsidRPr="008D03F7">
        <w:rPr>
          <w:rFonts w:ascii="Palatino Linotype" w:eastAsia="Palatino Linotype" w:hAnsi="Palatino Linotype" w:cs="Palatino Linotype"/>
          <w:sz w:val="24"/>
          <w:szCs w:val="24"/>
        </w:rPr>
        <w:t xml:space="preserve"> </w:t>
      </w:r>
      <w:r w:rsidR="001A00DC" w:rsidRPr="008D03F7">
        <w:rPr>
          <w:rFonts w:ascii="Palatino Linotype" w:eastAsia="Palatino Linotype" w:hAnsi="Palatino Linotype" w:cs="Palatino Linotype"/>
          <w:sz w:val="24"/>
          <w:szCs w:val="24"/>
        </w:rPr>
        <w:t>r</w:t>
      </w:r>
      <w:r w:rsidRPr="008D03F7">
        <w:rPr>
          <w:rFonts w:ascii="Palatino Linotype" w:eastAsia="Palatino Linotype" w:hAnsi="Palatino Linotype" w:cs="Palatino Linotype"/>
          <w:sz w:val="24"/>
          <w:szCs w:val="24"/>
        </w:rPr>
        <w:t>ecurs</w:t>
      </w:r>
      <w:r w:rsidR="001A00DC" w:rsidRPr="008D03F7">
        <w:rPr>
          <w:rFonts w:ascii="Palatino Linotype" w:eastAsia="Palatino Linotype" w:hAnsi="Palatino Linotype" w:cs="Palatino Linotype"/>
          <w:sz w:val="24"/>
          <w:szCs w:val="24"/>
        </w:rPr>
        <w:t>o</w:t>
      </w:r>
      <w:r w:rsidR="00BF35EC">
        <w:rPr>
          <w:rFonts w:ascii="Palatino Linotype" w:eastAsia="Palatino Linotype" w:hAnsi="Palatino Linotype" w:cs="Palatino Linotype"/>
          <w:sz w:val="24"/>
          <w:szCs w:val="24"/>
        </w:rPr>
        <w:t>s</w:t>
      </w:r>
      <w:r w:rsidRPr="008D03F7">
        <w:rPr>
          <w:rFonts w:ascii="Palatino Linotype" w:eastAsia="Palatino Linotype" w:hAnsi="Palatino Linotype" w:cs="Palatino Linotype"/>
          <w:sz w:val="24"/>
          <w:szCs w:val="24"/>
        </w:rPr>
        <w:t xml:space="preserve"> de revisión </w:t>
      </w:r>
      <w:r w:rsidR="00BF35EC">
        <w:rPr>
          <w:rFonts w:ascii="Palatino Linotype" w:eastAsia="Palatino Linotype" w:hAnsi="Palatino Linotype" w:cs="Palatino Linotype"/>
          <w:b/>
          <w:sz w:val="24"/>
          <w:szCs w:val="24"/>
        </w:rPr>
        <w:t xml:space="preserve">02021/INFOEM/IP/RR/2023 </w:t>
      </w:r>
      <w:r w:rsidR="00BF35EC">
        <w:rPr>
          <w:rFonts w:ascii="Palatino Linotype" w:eastAsia="Palatino Linotype" w:hAnsi="Palatino Linotype" w:cs="Palatino Linotype"/>
          <w:sz w:val="24"/>
          <w:szCs w:val="24"/>
        </w:rPr>
        <w:t>y</w:t>
      </w:r>
      <w:r w:rsidR="00BF35EC" w:rsidRPr="00BF35EC">
        <w:rPr>
          <w:rFonts w:ascii="Palatino Linotype" w:eastAsia="Palatino Linotype" w:hAnsi="Palatino Linotype" w:cs="Palatino Linotype"/>
          <w:b/>
          <w:sz w:val="24"/>
          <w:szCs w:val="24"/>
        </w:rPr>
        <w:t xml:space="preserve"> 02209/INFOEM/IP/RR/2023</w:t>
      </w:r>
      <w:r w:rsidR="00265549">
        <w:rPr>
          <w:rFonts w:ascii="Palatino Linotype" w:eastAsia="Palatino Linotype" w:hAnsi="Palatino Linotype" w:cs="Palatino Linotype"/>
          <w:b/>
          <w:sz w:val="24"/>
          <w:szCs w:val="24"/>
        </w:rPr>
        <w:t>,</w:t>
      </w:r>
      <w:r w:rsidR="00BF35EC" w:rsidRPr="00BF35EC">
        <w:rPr>
          <w:rFonts w:ascii="Palatino Linotype" w:eastAsia="Palatino Linotype" w:hAnsi="Palatino Linotype" w:cs="Palatino Linotype"/>
          <w:b/>
          <w:sz w:val="24"/>
          <w:szCs w:val="24"/>
        </w:rPr>
        <w:t xml:space="preserve"> ACUMULADOS</w:t>
      </w:r>
      <w:r w:rsidR="00BF35EC">
        <w:rPr>
          <w:rFonts w:ascii="Palatino Linotype" w:eastAsia="Palatino Linotype" w:hAnsi="Palatino Linotype" w:cs="Palatino Linotype"/>
          <w:sz w:val="24"/>
          <w:szCs w:val="24"/>
        </w:rPr>
        <w:t>, presentada por el</w:t>
      </w:r>
      <w:r w:rsidRPr="008D03F7">
        <w:rPr>
          <w:rFonts w:ascii="Palatino Linotype" w:eastAsia="Palatino Linotype" w:hAnsi="Palatino Linotype" w:cs="Palatino Linotype"/>
          <w:sz w:val="24"/>
          <w:szCs w:val="24"/>
        </w:rPr>
        <w:t xml:space="preserve"> Comisionad</w:t>
      </w:r>
      <w:r w:rsidR="00BF35EC">
        <w:rPr>
          <w:rFonts w:ascii="Palatino Linotype" w:eastAsia="Palatino Linotype" w:hAnsi="Palatino Linotype" w:cs="Palatino Linotype"/>
          <w:sz w:val="24"/>
          <w:szCs w:val="24"/>
        </w:rPr>
        <w:t>o</w:t>
      </w:r>
      <w:r w:rsidRPr="008D03F7">
        <w:rPr>
          <w:rFonts w:ascii="Palatino Linotype" w:eastAsia="Palatino Linotype" w:hAnsi="Palatino Linotype" w:cs="Palatino Linotype"/>
          <w:sz w:val="24"/>
          <w:szCs w:val="24"/>
        </w:rPr>
        <w:t xml:space="preserve"> </w:t>
      </w:r>
      <w:r w:rsidR="00BF35EC">
        <w:rPr>
          <w:rFonts w:ascii="Palatino Linotype" w:eastAsia="Palatino Linotype" w:hAnsi="Palatino Linotype" w:cs="Palatino Linotype"/>
          <w:bCs/>
          <w:sz w:val="24"/>
          <w:szCs w:val="24"/>
        </w:rPr>
        <w:t>Luis Gustavo Parra Noriega</w:t>
      </w:r>
      <w:r w:rsidR="00BF35EC">
        <w:rPr>
          <w:rFonts w:ascii="Palatino Linotype" w:eastAsia="Palatino Linotype" w:hAnsi="Palatino Linotype" w:cs="Palatino Linotype"/>
          <w:sz w:val="24"/>
          <w:szCs w:val="24"/>
        </w:rPr>
        <w:t>, respecto de la cual, quien</w:t>
      </w:r>
      <w:r w:rsidRPr="008D03F7">
        <w:rPr>
          <w:rFonts w:ascii="Palatino Linotype" w:eastAsia="Palatino Linotype" w:hAnsi="Palatino Linotype" w:cs="Palatino Linotype"/>
          <w:sz w:val="24"/>
          <w:szCs w:val="24"/>
        </w:rPr>
        <w:t xml:space="preserve"> suscribe, emite </w:t>
      </w:r>
      <w:r w:rsidR="00E67132" w:rsidRPr="008D03F7">
        <w:rPr>
          <w:rFonts w:ascii="Palatino Linotype" w:eastAsia="Palatino Linotype" w:hAnsi="Palatino Linotype" w:cs="Palatino Linotype"/>
          <w:b/>
          <w:sz w:val="24"/>
          <w:szCs w:val="24"/>
        </w:rPr>
        <w:t>Voto Particular</w:t>
      </w:r>
      <w:r w:rsidRPr="008D03F7">
        <w:rPr>
          <w:rFonts w:ascii="Palatino Linotype" w:eastAsia="Palatino Linotype" w:hAnsi="Palatino Linotype" w:cs="Palatino Linotype"/>
          <w:sz w:val="24"/>
          <w:szCs w:val="24"/>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68C6D275" w14:textId="58ADF895" w:rsidR="00BF35EC" w:rsidRDefault="00E763E0" w:rsidP="001A00DC">
      <w:pPr>
        <w:spacing w:before="240"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lastRenderedPageBreak/>
        <w:t xml:space="preserve">Como se advierte en los antecedentes de la resolución del Recurso de Revisión que nos ocupa, </w:t>
      </w:r>
      <w:r w:rsidR="007E10FF" w:rsidRPr="008D03F7">
        <w:rPr>
          <w:rFonts w:ascii="Palatino Linotype" w:eastAsia="Palatino Linotype" w:hAnsi="Palatino Linotype" w:cs="Palatino Linotype"/>
          <w:sz w:val="24"/>
          <w:szCs w:val="24"/>
        </w:rPr>
        <w:t xml:space="preserve">la persona solicitante requirió </w:t>
      </w:r>
      <w:r w:rsidR="00BF35EC">
        <w:rPr>
          <w:rFonts w:ascii="Palatino Linotype" w:eastAsia="Palatino Linotype" w:hAnsi="Palatino Linotype" w:cs="Palatino Linotype"/>
          <w:sz w:val="24"/>
          <w:szCs w:val="24"/>
        </w:rPr>
        <w:t>n</w:t>
      </w:r>
      <w:r w:rsidR="00BF35EC" w:rsidRPr="00BF35EC">
        <w:rPr>
          <w:rFonts w:ascii="Palatino Linotype" w:eastAsia="Palatino Linotype" w:hAnsi="Palatino Linotype" w:cs="Palatino Linotype"/>
          <w:sz w:val="24"/>
          <w:szCs w:val="24"/>
        </w:rPr>
        <w:t>ombramiento, currículum, título universitario o comprobante del último grado de estudios de la Titular de la Dirección de Protección Animal</w:t>
      </w:r>
      <w:r w:rsidR="008914C0">
        <w:rPr>
          <w:rFonts w:ascii="Palatino Linotype" w:eastAsia="Palatino Linotype" w:hAnsi="Palatino Linotype" w:cs="Palatino Linotype"/>
          <w:sz w:val="24"/>
          <w:szCs w:val="24"/>
        </w:rPr>
        <w:t xml:space="preserve"> y </w:t>
      </w:r>
      <w:r w:rsidR="00BF35EC" w:rsidRPr="00BF35EC">
        <w:rPr>
          <w:rFonts w:ascii="Palatino Linotype" w:eastAsia="Palatino Linotype" w:hAnsi="Palatino Linotype" w:cs="Palatino Linotype"/>
          <w:sz w:val="24"/>
          <w:szCs w:val="24"/>
        </w:rPr>
        <w:t>el</w:t>
      </w:r>
      <w:r w:rsidR="00BF35EC">
        <w:rPr>
          <w:rFonts w:ascii="Palatino Linotype" w:eastAsia="Palatino Linotype" w:hAnsi="Palatino Linotype" w:cs="Palatino Linotype"/>
          <w:sz w:val="24"/>
          <w:szCs w:val="24"/>
        </w:rPr>
        <w:t xml:space="preserve"> perfil para ocupar dicho cargo; asimismo, s</w:t>
      </w:r>
      <w:r w:rsidR="00BF35EC" w:rsidRPr="00BF35EC">
        <w:rPr>
          <w:rFonts w:ascii="Palatino Linotype" w:eastAsia="Palatino Linotype" w:hAnsi="Palatino Linotype" w:cs="Palatino Linotype"/>
          <w:sz w:val="24"/>
          <w:szCs w:val="24"/>
        </w:rPr>
        <w:t>olicit</w:t>
      </w:r>
      <w:r w:rsidR="00BF35EC">
        <w:rPr>
          <w:rFonts w:ascii="Palatino Linotype" w:eastAsia="Palatino Linotype" w:hAnsi="Palatino Linotype" w:cs="Palatino Linotype"/>
          <w:sz w:val="24"/>
          <w:szCs w:val="24"/>
        </w:rPr>
        <w:t>ó</w:t>
      </w:r>
      <w:r w:rsidR="00BF35EC" w:rsidRPr="00BF35EC">
        <w:rPr>
          <w:rFonts w:ascii="Palatino Linotype" w:eastAsia="Palatino Linotype" w:hAnsi="Palatino Linotype" w:cs="Palatino Linotype"/>
          <w:sz w:val="24"/>
          <w:szCs w:val="24"/>
        </w:rPr>
        <w:t xml:space="preserve"> los certificados de competencia laboral de los directores o titulares a que hace referencia </w:t>
      </w:r>
      <w:r w:rsidR="00BF35EC">
        <w:rPr>
          <w:rFonts w:ascii="Palatino Linotype" w:eastAsia="Palatino Linotype" w:hAnsi="Palatino Linotype" w:cs="Palatino Linotype"/>
          <w:sz w:val="24"/>
          <w:szCs w:val="24"/>
        </w:rPr>
        <w:t xml:space="preserve">el </w:t>
      </w:r>
      <w:r w:rsidR="00BF35EC" w:rsidRPr="00BF35EC">
        <w:rPr>
          <w:rFonts w:ascii="Palatino Linotype" w:eastAsia="Palatino Linotype" w:hAnsi="Palatino Linotype" w:cs="Palatino Linotype"/>
          <w:sz w:val="24"/>
          <w:szCs w:val="24"/>
        </w:rPr>
        <w:t>artículo 32 de la Ley Orgánica Municipal</w:t>
      </w:r>
      <w:r w:rsidR="00BF35EC">
        <w:rPr>
          <w:rFonts w:ascii="Palatino Linotype" w:eastAsia="Palatino Linotype" w:hAnsi="Palatino Linotype" w:cs="Palatino Linotype"/>
          <w:sz w:val="24"/>
          <w:szCs w:val="24"/>
        </w:rPr>
        <w:t xml:space="preserve">. </w:t>
      </w:r>
    </w:p>
    <w:p w14:paraId="5579BEBE" w14:textId="2CE7FBB3" w:rsidR="00E7269F" w:rsidRPr="008D03F7" w:rsidRDefault="00E763E0" w:rsidP="001A00DC">
      <w:pPr>
        <w:spacing w:before="240"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En </w:t>
      </w:r>
      <w:r w:rsidR="00E7269F" w:rsidRPr="008D03F7">
        <w:rPr>
          <w:rFonts w:ascii="Palatino Linotype" w:eastAsia="Palatino Linotype" w:hAnsi="Palatino Linotype" w:cs="Palatino Linotype"/>
          <w:sz w:val="24"/>
          <w:szCs w:val="24"/>
        </w:rPr>
        <w:t>atención a la solicitud,</w:t>
      </w:r>
      <w:r w:rsidRPr="008D03F7">
        <w:rPr>
          <w:rFonts w:ascii="Palatino Linotype" w:eastAsia="Palatino Linotype" w:hAnsi="Palatino Linotype" w:cs="Palatino Linotype"/>
          <w:sz w:val="24"/>
          <w:szCs w:val="24"/>
        </w:rPr>
        <w:t xml:space="preserve"> el </w:t>
      </w:r>
      <w:r w:rsidRPr="008D03F7">
        <w:rPr>
          <w:rFonts w:ascii="Palatino Linotype" w:eastAsia="Palatino Linotype" w:hAnsi="Palatino Linotype" w:cs="Palatino Linotype"/>
          <w:b/>
          <w:sz w:val="24"/>
          <w:szCs w:val="24"/>
        </w:rPr>
        <w:t xml:space="preserve">Sujeto Obligado, </w:t>
      </w:r>
      <w:r w:rsidR="001A00DC" w:rsidRPr="008D03F7">
        <w:rPr>
          <w:rFonts w:ascii="Palatino Linotype" w:eastAsia="Palatino Linotype" w:hAnsi="Palatino Linotype" w:cs="Palatino Linotype"/>
          <w:sz w:val="24"/>
          <w:szCs w:val="24"/>
        </w:rPr>
        <w:t>hizo entrega de</w:t>
      </w:r>
      <w:r w:rsidR="003C6EA1">
        <w:rPr>
          <w:rFonts w:ascii="Palatino Linotype" w:eastAsia="Palatino Linotype" w:hAnsi="Palatino Linotype" w:cs="Palatino Linotype"/>
          <w:sz w:val="24"/>
          <w:szCs w:val="24"/>
        </w:rPr>
        <w:t xml:space="preserve">l Currículum Vitae y Nombramiento de la Titular de la </w:t>
      </w:r>
      <w:r w:rsidR="003C6EA1" w:rsidRPr="003C6EA1">
        <w:rPr>
          <w:rFonts w:ascii="Palatino Linotype" w:eastAsia="Palatino Linotype" w:hAnsi="Palatino Linotype" w:cs="Palatino Linotype"/>
          <w:sz w:val="24"/>
          <w:szCs w:val="24"/>
        </w:rPr>
        <w:t>Unidad Municipal de Control y Bienestar Animal</w:t>
      </w:r>
      <w:r w:rsidR="003C6EA1">
        <w:rPr>
          <w:rFonts w:ascii="Palatino Linotype" w:eastAsia="Palatino Linotype" w:hAnsi="Palatino Linotype" w:cs="Palatino Linotype"/>
          <w:sz w:val="24"/>
          <w:szCs w:val="24"/>
        </w:rPr>
        <w:t>; a</w:t>
      </w:r>
      <w:r w:rsidR="008914C0">
        <w:rPr>
          <w:rFonts w:ascii="Palatino Linotype" w:eastAsia="Palatino Linotype" w:hAnsi="Palatino Linotype" w:cs="Palatino Linotype"/>
          <w:sz w:val="24"/>
          <w:szCs w:val="24"/>
        </w:rPr>
        <w:t>unado a ello,</w:t>
      </w:r>
      <w:r w:rsidR="003C6EA1">
        <w:rPr>
          <w:rFonts w:ascii="Palatino Linotype" w:eastAsia="Palatino Linotype" w:hAnsi="Palatino Linotype" w:cs="Palatino Linotype"/>
          <w:sz w:val="24"/>
          <w:szCs w:val="24"/>
        </w:rPr>
        <w:t xml:space="preserve"> hizo del conocimiento del particular los servidores públicos que cuentan con certificado de competencia laboral, no entregando la expresión documental; </w:t>
      </w:r>
      <w:r w:rsidR="001A00DC" w:rsidRPr="008D03F7">
        <w:rPr>
          <w:rFonts w:ascii="Palatino Linotype" w:eastAsia="Palatino Linotype" w:hAnsi="Palatino Linotype" w:cs="Palatino Linotype"/>
          <w:sz w:val="24"/>
          <w:szCs w:val="24"/>
        </w:rPr>
        <w:t xml:space="preserve">sin embargo, la persona solicitante, al no estar conforme con los términos de dicha respuesta, presentó el recurso de revisión que se resolvió, donde manifestó </w:t>
      </w:r>
      <w:r w:rsidR="00E7269F" w:rsidRPr="008D03F7">
        <w:rPr>
          <w:rFonts w:ascii="Palatino Linotype" w:eastAsia="Palatino Linotype" w:hAnsi="Palatino Linotype" w:cs="Palatino Linotype"/>
          <w:sz w:val="24"/>
          <w:szCs w:val="24"/>
        </w:rPr>
        <w:t xml:space="preserve">como motivo de inconformidad </w:t>
      </w:r>
      <w:r w:rsidR="001A00DC" w:rsidRPr="008D03F7">
        <w:rPr>
          <w:rFonts w:ascii="Palatino Linotype" w:eastAsia="Palatino Linotype" w:hAnsi="Palatino Linotype" w:cs="Palatino Linotype"/>
          <w:sz w:val="24"/>
          <w:szCs w:val="24"/>
        </w:rPr>
        <w:t xml:space="preserve">que no se le entregó </w:t>
      </w:r>
      <w:r w:rsidR="003C6EA1">
        <w:rPr>
          <w:rFonts w:ascii="Palatino Linotype" w:eastAsia="Palatino Linotype" w:hAnsi="Palatino Linotype" w:cs="Palatino Linotype"/>
          <w:sz w:val="24"/>
          <w:szCs w:val="24"/>
        </w:rPr>
        <w:t>el comprobante de estudios, ni los certificados de competencia laboral</w:t>
      </w:r>
      <w:r w:rsidR="00E7269F" w:rsidRPr="008D03F7">
        <w:rPr>
          <w:rFonts w:ascii="Palatino Linotype" w:eastAsia="Palatino Linotype" w:hAnsi="Palatino Linotype" w:cs="Palatino Linotype"/>
          <w:sz w:val="24"/>
          <w:szCs w:val="24"/>
        </w:rPr>
        <w:t>.</w:t>
      </w:r>
    </w:p>
    <w:p w14:paraId="56F0091B" w14:textId="4132DDD9" w:rsidR="00F77FE3" w:rsidRPr="008D03F7" w:rsidRDefault="00E7269F" w:rsidP="001A00DC">
      <w:pPr>
        <w:spacing w:before="240"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A partir de estas actuaciones este Organismo Garante, consideró procedente dar vista a</w:t>
      </w:r>
      <w:r w:rsidR="008914C0">
        <w:rPr>
          <w:rFonts w:ascii="Palatino Linotype" w:eastAsia="Palatino Linotype" w:hAnsi="Palatino Linotype" w:cs="Palatino Linotype"/>
          <w:sz w:val="24"/>
          <w:szCs w:val="24"/>
        </w:rPr>
        <w:t xml:space="preserve"> la</w:t>
      </w:r>
      <w:r w:rsidRPr="008D03F7">
        <w:rPr>
          <w:rFonts w:ascii="Palatino Linotype" w:eastAsia="Palatino Linotype" w:hAnsi="Palatino Linotype" w:cs="Palatino Linotype"/>
          <w:sz w:val="24"/>
          <w:szCs w:val="24"/>
        </w:rPr>
        <w:t xml:space="preserve"> </w:t>
      </w:r>
      <w:r w:rsidR="008914C0" w:rsidRPr="008914C0">
        <w:rPr>
          <w:rFonts w:ascii="Palatino Linotype" w:eastAsia="Palatino Linotype" w:hAnsi="Palatino Linotype" w:cs="Palatino Linotype"/>
          <w:sz w:val="24"/>
          <w:szCs w:val="24"/>
        </w:rPr>
        <w:t>Dirección General de Protección de Datos Personales</w:t>
      </w:r>
      <w:r w:rsidR="00AF673A">
        <w:rPr>
          <w:rFonts w:ascii="Palatino Linotype" w:eastAsia="Palatino Linotype" w:hAnsi="Palatino Linotype" w:cs="Palatino Linotype"/>
          <w:sz w:val="24"/>
          <w:szCs w:val="24"/>
        </w:rPr>
        <w:t xml:space="preserve"> de este Instituto</w:t>
      </w:r>
      <w:r w:rsidRPr="008D03F7">
        <w:rPr>
          <w:rFonts w:ascii="Palatino Linotype" w:eastAsia="Palatino Linotype" w:hAnsi="Palatino Linotype" w:cs="Palatino Linotype"/>
          <w:sz w:val="24"/>
          <w:szCs w:val="24"/>
        </w:rPr>
        <w:t xml:space="preserve">; sin embargo, la parte </w:t>
      </w:r>
      <w:r w:rsidRPr="008D03F7">
        <w:rPr>
          <w:rFonts w:ascii="Palatino Linotype" w:eastAsia="Palatino Linotype" w:hAnsi="Palatino Linotype" w:cs="Palatino Linotype"/>
          <w:b/>
          <w:bCs/>
          <w:sz w:val="24"/>
          <w:szCs w:val="24"/>
        </w:rPr>
        <w:t xml:space="preserve">Recurrente </w:t>
      </w:r>
      <w:r w:rsidRPr="008D03F7">
        <w:rPr>
          <w:rFonts w:ascii="Palatino Linotype" w:eastAsia="Palatino Linotype" w:hAnsi="Palatino Linotype" w:cs="Palatino Linotype"/>
          <w:sz w:val="24"/>
          <w:szCs w:val="24"/>
        </w:rPr>
        <w:t xml:space="preserve">no se inconformó respecto de la información entregada, por esto, se aplicó lo señalado en los artículos </w:t>
      </w:r>
      <w:r w:rsidR="00E763E0" w:rsidRPr="008D03F7">
        <w:rPr>
          <w:rFonts w:ascii="Palatino Linotype" w:eastAsia="Palatino Linotype" w:hAnsi="Palatino Linotype" w:cs="Palatino Linotype"/>
          <w:sz w:val="24"/>
          <w:szCs w:val="24"/>
        </w:rPr>
        <w:t xml:space="preserve">202 al 205 de la Ley de Transparencia y Acceso a la Información Pública del Estado de México y Municipios, sirve de referencia el criterio con clave de control SO/001/2020, emitido por el Instituto </w:t>
      </w:r>
      <w:r w:rsidR="00E763E0" w:rsidRPr="008D03F7">
        <w:rPr>
          <w:rFonts w:ascii="Palatino Linotype" w:eastAsia="Palatino Linotype" w:hAnsi="Palatino Linotype" w:cs="Palatino Linotype"/>
          <w:sz w:val="24"/>
          <w:szCs w:val="24"/>
        </w:rPr>
        <w:lastRenderedPageBreak/>
        <w:t>Nacional de Transparencia, Acceso a la Información y Protección de Datos Personales:</w:t>
      </w:r>
    </w:p>
    <w:p w14:paraId="519A3A88" w14:textId="642D0AB4" w:rsidR="00F77FE3" w:rsidRPr="008D03F7" w:rsidRDefault="00E763E0" w:rsidP="00E7269F">
      <w:pPr>
        <w:spacing w:before="120" w:after="120" w:line="240" w:lineRule="auto"/>
        <w:ind w:left="851" w:right="992"/>
        <w:jc w:val="both"/>
        <w:rPr>
          <w:rFonts w:ascii="Palatino Linotype" w:eastAsia="Palatino Linotype" w:hAnsi="Palatino Linotype" w:cs="Palatino Linotype"/>
          <w:i/>
          <w:szCs w:val="20"/>
        </w:rPr>
      </w:pPr>
      <w:r w:rsidRPr="008D03F7">
        <w:rPr>
          <w:rFonts w:ascii="Palatino Linotype" w:eastAsia="Palatino Linotype" w:hAnsi="Palatino Linotype" w:cs="Palatino Linotype"/>
          <w:b/>
          <w:i/>
          <w:szCs w:val="20"/>
        </w:rPr>
        <w:t>Actos consentidos tácitamente. Improcedencia de su análisis</w:t>
      </w:r>
      <w:r w:rsidRPr="008D03F7">
        <w:rPr>
          <w:rFonts w:ascii="Palatino Linotype" w:eastAsia="Palatino Linotype" w:hAnsi="Palatino Linotype" w:cs="Palatino Linotype"/>
          <w:i/>
          <w:szCs w:val="20"/>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4C45890" w14:textId="77777777" w:rsidR="00F77FE3"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De igual manera, la jurisprudencia, VI.2o. J/21., publicado en el Semanario Judicial de la Federación y su Gaceta. Tomo II, agosto de 1995, página 291, de la novena época, con registro digital 204707, define a los actos consentidos de la siguiente manera:</w:t>
      </w:r>
    </w:p>
    <w:p w14:paraId="3288A96D" w14:textId="33D6AEF0" w:rsidR="00C70E5A" w:rsidRPr="008D03F7" w:rsidRDefault="00E763E0" w:rsidP="00E7269F">
      <w:pPr>
        <w:spacing w:before="120" w:after="120" w:line="240" w:lineRule="auto"/>
        <w:ind w:left="851" w:right="992"/>
        <w:jc w:val="both"/>
        <w:rPr>
          <w:rFonts w:ascii="Palatino Linotype" w:eastAsia="Palatino Linotype" w:hAnsi="Palatino Linotype" w:cs="Palatino Linotype"/>
          <w:i/>
          <w:szCs w:val="20"/>
        </w:rPr>
      </w:pPr>
      <w:r w:rsidRPr="008D03F7">
        <w:rPr>
          <w:rFonts w:ascii="Palatino Linotype" w:eastAsia="Palatino Linotype" w:hAnsi="Palatino Linotype" w:cs="Palatino Linotype"/>
          <w:b/>
          <w:i/>
          <w:sz w:val="20"/>
          <w:szCs w:val="20"/>
        </w:rPr>
        <w:t xml:space="preserve"> </w:t>
      </w:r>
      <w:r w:rsidRPr="008D03F7">
        <w:rPr>
          <w:rFonts w:ascii="Palatino Linotype" w:eastAsia="Palatino Linotype" w:hAnsi="Palatino Linotype" w:cs="Palatino Linotype"/>
          <w:b/>
          <w:i/>
          <w:szCs w:val="20"/>
        </w:rPr>
        <w:t xml:space="preserve">ACTOS CONSENTIDOS TACITAMENTE. </w:t>
      </w:r>
      <w:r w:rsidRPr="008D03F7">
        <w:rPr>
          <w:rFonts w:ascii="Palatino Linotype" w:eastAsia="Palatino Linotype" w:hAnsi="Palatino Linotype" w:cs="Palatino Linotype"/>
          <w:i/>
          <w:szCs w:val="20"/>
        </w:rPr>
        <w:t>Se presumen así, para los efectos del amparo, los actos del orden civil y administrativo, que no hubieren sido reclamados en esa vía dentro de los plazos que la ley señala.</w:t>
      </w:r>
    </w:p>
    <w:p w14:paraId="7B4C4472" w14:textId="6F7E55A7" w:rsidR="00F77FE3"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Por ello, consider</w:t>
      </w:r>
      <w:r w:rsidR="00265549">
        <w:rPr>
          <w:rFonts w:ascii="Palatino Linotype" w:eastAsia="Palatino Linotype" w:hAnsi="Palatino Linotype" w:cs="Palatino Linotype"/>
          <w:sz w:val="24"/>
          <w:szCs w:val="24"/>
        </w:rPr>
        <w:t>o</w:t>
      </w:r>
      <w:r w:rsidRPr="008D03F7">
        <w:rPr>
          <w:rFonts w:ascii="Palatino Linotype" w:eastAsia="Palatino Linotype" w:hAnsi="Palatino Linotype" w:cs="Palatino Linotype"/>
          <w:sz w:val="24"/>
          <w:szCs w:val="24"/>
        </w:rPr>
        <w:t xml:space="preserve"> que, en el caso de hacer estudio de documentales, que no fueron recur</w:t>
      </w:r>
      <w:r w:rsidR="007E10FF" w:rsidRPr="008D03F7">
        <w:rPr>
          <w:rFonts w:ascii="Palatino Linotype" w:eastAsia="Palatino Linotype" w:hAnsi="Palatino Linotype" w:cs="Palatino Linotype"/>
          <w:sz w:val="24"/>
          <w:szCs w:val="24"/>
        </w:rPr>
        <w:t xml:space="preserve">ridos de manera específica por </w:t>
      </w:r>
      <w:r w:rsidRPr="008D03F7">
        <w:rPr>
          <w:rFonts w:ascii="Palatino Linotype" w:eastAsia="Palatino Linotype" w:hAnsi="Palatino Linotype" w:cs="Palatino Linotype"/>
          <w:sz w:val="24"/>
          <w:szCs w:val="24"/>
        </w:rPr>
        <w:t>l</w:t>
      </w:r>
      <w:r w:rsidR="007E10FF" w:rsidRPr="008D03F7">
        <w:rPr>
          <w:rFonts w:ascii="Palatino Linotype" w:eastAsia="Palatino Linotype" w:hAnsi="Palatino Linotype" w:cs="Palatino Linotype"/>
          <w:sz w:val="24"/>
          <w:szCs w:val="24"/>
        </w:rPr>
        <w:t>a parte</w:t>
      </w:r>
      <w:r w:rsidRPr="008D03F7">
        <w:rPr>
          <w:rFonts w:ascii="Palatino Linotype" w:eastAsia="Palatino Linotype" w:hAnsi="Palatino Linotype" w:cs="Palatino Linotype"/>
          <w:sz w:val="24"/>
          <w:szCs w:val="24"/>
        </w:rPr>
        <w:t xml:space="preserve"> </w:t>
      </w:r>
      <w:r w:rsidRPr="008D03F7">
        <w:rPr>
          <w:rFonts w:ascii="Palatino Linotype" w:eastAsia="Palatino Linotype" w:hAnsi="Palatino Linotype" w:cs="Palatino Linotype"/>
          <w:b/>
          <w:bCs/>
          <w:sz w:val="24"/>
          <w:szCs w:val="24"/>
        </w:rPr>
        <w:t>Recurrente</w:t>
      </w:r>
      <w:r w:rsidRPr="008D03F7">
        <w:rPr>
          <w:rFonts w:ascii="Palatino Linotype" w:eastAsia="Palatino Linotype" w:hAnsi="Palatino Linotype" w:cs="Palatino Linotype"/>
          <w:sz w:val="24"/>
          <w:szCs w:val="24"/>
        </w:rPr>
        <w:t>, se contrapone a lo señalado en la legislación de la materia, ya que al no haber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por lo que no debe girarse la vista</w:t>
      </w:r>
      <w:r w:rsidR="001A00DC" w:rsidRPr="008D03F7">
        <w:rPr>
          <w:rFonts w:ascii="Palatino Linotype" w:eastAsia="Palatino Linotype" w:hAnsi="Palatino Linotype" w:cs="Palatino Linotype"/>
          <w:sz w:val="24"/>
          <w:szCs w:val="24"/>
        </w:rPr>
        <w:t xml:space="preserve"> </w:t>
      </w:r>
      <w:r w:rsidR="00E7269F" w:rsidRPr="008D03F7">
        <w:rPr>
          <w:rFonts w:ascii="Palatino Linotype" w:eastAsia="Palatino Linotype" w:hAnsi="Palatino Linotype" w:cs="Palatino Linotype"/>
          <w:sz w:val="24"/>
          <w:szCs w:val="24"/>
        </w:rPr>
        <w:t>citada.</w:t>
      </w:r>
    </w:p>
    <w:p w14:paraId="1526EEA4" w14:textId="77777777" w:rsidR="00E7269F"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lastRenderedPageBreak/>
        <w:t>Aunado a lo anterior, es necesario precisar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órgano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los principios y bases establecidas en la Constitución Federal, Constitución Local, Ley General, así como lo previsto en esta Ley y demás disposiciones jurídicas aplicables.</w:t>
      </w:r>
    </w:p>
    <w:p w14:paraId="43F5335A" w14:textId="06696A7D" w:rsidR="00F77FE3"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En ese sentido, es de resaltar que el recurso de revisión es la garantía secundaria mediante la cual se pretende reparar cualquier posible afectación al derecho de acceso a la información pública, en donde las resoluciones de este Organismo Garante pueden:</w:t>
      </w:r>
    </w:p>
    <w:p w14:paraId="16F2F7BC" w14:textId="77777777" w:rsidR="00E7269F" w:rsidRPr="008D03F7" w:rsidRDefault="00E763E0" w:rsidP="00E7269F">
      <w:pPr>
        <w:numPr>
          <w:ilvl w:val="0"/>
          <w:numId w:val="12"/>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r w:rsidR="00E7269F" w:rsidRPr="008D03F7">
        <w:rPr>
          <w:rFonts w:ascii="Palatino Linotype" w:eastAsia="Palatino Linotype" w:hAnsi="Palatino Linotype" w:cs="Palatino Linotype"/>
          <w:sz w:val="24"/>
          <w:szCs w:val="24"/>
        </w:rPr>
        <w:t>Desechar o sobreseer el recurso</w:t>
      </w:r>
    </w:p>
    <w:p w14:paraId="02169216" w14:textId="77777777" w:rsidR="00E7269F" w:rsidRPr="008D03F7" w:rsidRDefault="00E7269F" w:rsidP="00E7269F">
      <w:pPr>
        <w:numPr>
          <w:ilvl w:val="0"/>
          <w:numId w:val="12"/>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Confirma la respuesta del sujeto obligado</w:t>
      </w:r>
    </w:p>
    <w:p w14:paraId="36EEFE9B" w14:textId="77777777" w:rsidR="00E7269F" w:rsidRPr="008D03F7" w:rsidRDefault="00E7269F" w:rsidP="00E7269F">
      <w:pPr>
        <w:numPr>
          <w:ilvl w:val="0"/>
          <w:numId w:val="12"/>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lastRenderedPageBreak/>
        <w:t xml:space="preserve">Revocar o modificar la respuesta del sujeto obligado; y </w:t>
      </w:r>
    </w:p>
    <w:p w14:paraId="09AA4506" w14:textId="77777777" w:rsidR="00E7269F" w:rsidRPr="008D03F7" w:rsidRDefault="00E7269F" w:rsidP="00E7269F">
      <w:pPr>
        <w:numPr>
          <w:ilvl w:val="0"/>
          <w:numId w:val="12"/>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Ordenar la entrega de la información</w:t>
      </w:r>
    </w:p>
    <w:p w14:paraId="450CA4AF" w14:textId="77777777" w:rsidR="00E7269F" w:rsidRPr="008D03F7" w:rsidRDefault="00E7269F"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Cabe agregar que las resoluciones que pronuncie este Instituto deben contener cuatro aspectos importantes:</w:t>
      </w:r>
    </w:p>
    <w:p w14:paraId="111696EF" w14:textId="77777777" w:rsidR="00E7269F" w:rsidRPr="008D03F7" w:rsidRDefault="00E7269F" w:rsidP="00E7269F">
      <w:pPr>
        <w:numPr>
          <w:ilvl w:val="0"/>
          <w:numId w:val="14"/>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Lugar, fecha, el nombre del recurrente y del tercero interesado en su caso, sujeto obligado y un extracto de los hechos cuestionados;</w:t>
      </w:r>
    </w:p>
    <w:p w14:paraId="2AA8FBA2" w14:textId="77777777" w:rsidR="00E7269F" w:rsidRPr="008D03F7" w:rsidRDefault="00E7269F" w:rsidP="00E7269F">
      <w:pPr>
        <w:numPr>
          <w:ilvl w:val="0"/>
          <w:numId w:val="14"/>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Los preceptos en que se fundamenten y las consideraciones que las sustenten;</w:t>
      </w:r>
    </w:p>
    <w:p w14:paraId="2FCA4128" w14:textId="77777777" w:rsidR="00E7269F" w:rsidRPr="008D03F7" w:rsidRDefault="00E7269F" w:rsidP="00E7269F">
      <w:pPr>
        <w:numPr>
          <w:ilvl w:val="0"/>
          <w:numId w:val="14"/>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Los alcances y efectos de la resolución, fijando con precisión, en su caso, los sujetos y órganos obligados a cumplirla; y</w:t>
      </w:r>
    </w:p>
    <w:p w14:paraId="7D32640F" w14:textId="77777777" w:rsidR="00E7269F" w:rsidRPr="008D03F7" w:rsidRDefault="00E7269F" w:rsidP="00E7269F">
      <w:pPr>
        <w:numPr>
          <w:ilvl w:val="0"/>
          <w:numId w:val="14"/>
        </w:num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Los puntos resolutivos.</w:t>
      </w:r>
    </w:p>
    <w:p w14:paraId="11358D10" w14:textId="77777777" w:rsidR="00E7269F" w:rsidRPr="008D03F7" w:rsidRDefault="00E7269F" w:rsidP="00E7269F">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Sobre este punto, se considera de suma importancia mencionar que, de la normatividad citada, se advierte que este Instituto está facultado entre otras cosas para:</w:t>
      </w:r>
    </w:p>
    <w:p w14:paraId="4E714ACB"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Conocer y resolver los recursos de revisión interpuestos por los particulares en contra de las resoluciones de los sujetos obligados en el ámbito estatal;</w:t>
      </w:r>
    </w:p>
    <w:p w14:paraId="6B4F3F7C"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Realizar de oficio y a petición de parte, análisis y recomendaciones o en su caso, lineamientos en relación con presuntos incumplimientos a las </w:t>
      </w:r>
      <w:r w:rsidRPr="008D03F7">
        <w:rPr>
          <w:rFonts w:ascii="Palatino Linotype" w:eastAsia="Palatino Linotype" w:hAnsi="Palatino Linotype" w:cs="Palatino Linotype"/>
          <w:sz w:val="24"/>
          <w:szCs w:val="24"/>
        </w:rPr>
        <w:lastRenderedPageBreak/>
        <w:t>disposiciones de la Ley, cuando existan elementos suficientes a juicio del Pleno del Instituto;</w:t>
      </w:r>
    </w:p>
    <w:p w14:paraId="5A436DE8"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Emitir comunicados públicos sobre el incumplimiento de sus resoluciones o por infracciones reiteradas a la Ley, en el ámbito de su competencia;</w:t>
      </w:r>
    </w:p>
    <w:p w14:paraId="67DC52D7"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Ordenar a los sujetos obligados la ejecutoría en la entrega de información en términos de la presente Ley;</w:t>
      </w:r>
    </w:p>
    <w:p w14:paraId="0A630216"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Imponer las medidas de apremio para asegurar el cumplimiento de sus determinaciones;</w:t>
      </w:r>
    </w:p>
    <w:p w14:paraId="1353C2C3" w14:textId="77777777" w:rsidR="00E7269F" w:rsidRPr="008D03F7" w:rsidRDefault="00E7269F" w:rsidP="00E7269F">
      <w:pPr>
        <w:numPr>
          <w:ilvl w:val="0"/>
          <w:numId w:val="13"/>
        </w:num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b/>
          <w:sz w:val="24"/>
          <w:szCs w:val="24"/>
          <w:u w:val="single"/>
        </w:rPr>
        <w:t>Hacer del conocimiento de la instancia competente la probable responsabilidad por el incumplimiento de las obligaciones</w:t>
      </w:r>
      <w:r w:rsidRPr="008D03F7">
        <w:rPr>
          <w:rFonts w:ascii="Palatino Linotype" w:eastAsia="Palatino Linotype" w:hAnsi="Palatino Linotype" w:cs="Palatino Linotype"/>
          <w:sz w:val="24"/>
          <w:szCs w:val="24"/>
        </w:rPr>
        <w:t xml:space="preserve"> previstas en la Ley y en las demás disposiciones aplicable.  </w:t>
      </w:r>
    </w:p>
    <w:p w14:paraId="6DFFBDD0" w14:textId="1A5E2EFC" w:rsidR="007E10FF" w:rsidRPr="008D03F7" w:rsidRDefault="00E763E0" w:rsidP="00E7269F">
      <w:pPr>
        <w:spacing w:before="240" w:after="24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Establecido lo anterior, debe tomarse en cuenta que la vista a la Dirección General de</w:t>
      </w:r>
      <w:r w:rsidR="00265549">
        <w:rPr>
          <w:rFonts w:ascii="Palatino Linotype" w:eastAsia="Palatino Linotype" w:hAnsi="Palatino Linotype" w:cs="Palatino Linotype"/>
          <w:sz w:val="24"/>
          <w:szCs w:val="24"/>
        </w:rPr>
        <w:t xml:space="preserve"> Protección de </w:t>
      </w:r>
      <w:r w:rsidRPr="008D03F7">
        <w:rPr>
          <w:rFonts w:ascii="Palatino Linotype" w:eastAsia="Palatino Linotype" w:hAnsi="Palatino Linotype" w:cs="Palatino Linotype"/>
          <w:sz w:val="24"/>
          <w:szCs w:val="24"/>
        </w:rPr>
        <w:t>Datos de este Instituto, no debió incluirse en los resolutivos de la resolución referida, toda vez que, el Particular no se inconformó sobre de la información proporcionada en respuesta, es decir, no forma parte de la litis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w:t>
      </w:r>
    </w:p>
    <w:p w14:paraId="0721D8F7" w14:textId="2A3D2DA0"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lastRenderedPageBreak/>
        <w:t xml:space="preserve">Lo anterior expone razones suficientes para la emisión y presentación del presente </w:t>
      </w:r>
      <w:r w:rsidR="003C6EA1">
        <w:rPr>
          <w:rFonts w:ascii="Palatino Linotype" w:eastAsia="Palatino Linotype" w:hAnsi="Palatino Linotype" w:cs="Palatino Linotype"/>
          <w:b/>
          <w:sz w:val="24"/>
          <w:szCs w:val="24"/>
        </w:rPr>
        <w:t>Voto Particular</w:t>
      </w:r>
      <w:r w:rsidRPr="008D03F7">
        <w:rPr>
          <w:rFonts w:ascii="Palatino Linotype" w:eastAsia="Palatino Linotype" w:hAnsi="Palatino Linotype" w:cs="Palatino Linotype"/>
          <w:sz w:val="24"/>
          <w:szCs w:val="24"/>
        </w:rPr>
        <w:t xml:space="preserve">, relacionado con </w:t>
      </w:r>
      <w:r w:rsidR="00E7269F" w:rsidRPr="008D03F7">
        <w:rPr>
          <w:rFonts w:ascii="Palatino Linotype" w:eastAsia="Palatino Linotype" w:hAnsi="Palatino Linotype" w:cs="Palatino Linotype"/>
          <w:sz w:val="24"/>
          <w:szCs w:val="24"/>
        </w:rPr>
        <w:t>resolución de</w:t>
      </w:r>
      <w:r w:rsidR="005D0328">
        <w:rPr>
          <w:rFonts w:ascii="Palatino Linotype" w:eastAsia="Palatino Linotype" w:hAnsi="Palatino Linotype" w:cs="Palatino Linotype"/>
          <w:sz w:val="24"/>
          <w:szCs w:val="24"/>
        </w:rPr>
        <w:t xml:space="preserve"> </w:t>
      </w:r>
      <w:r w:rsidR="00E7269F" w:rsidRPr="008D03F7">
        <w:rPr>
          <w:rFonts w:ascii="Palatino Linotype" w:eastAsia="Palatino Linotype" w:hAnsi="Palatino Linotype" w:cs="Palatino Linotype"/>
          <w:sz w:val="24"/>
          <w:szCs w:val="24"/>
        </w:rPr>
        <w:t>l</w:t>
      </w:r>
      <w:r w:rsidR="005D0328">
        <w:rPr>
          <w:rFonts w:ascii="Palatino Linotype" w:eastAsia="Palatino Linotype" w:hAnsi="Palatino Linotype" w:cs="Palatino Linotype"/>
          <w:sz w:val="24"/>
          <w:szCs w:val="24"/>
        </w:rPr>
        <w:t>os</w:t>
      </w:r>
      <w:r w:rsidR="00E7269F" w:rsidRPr="008D03F7">
        <w:rPr>
          <w:rFonts w:ascii="Palatino Linotype" w:eastAsia="Palatino Linotype" w:hAnsi="Palatino Linotype" w:cs="Palatino Linotype"/>
          <w:sz w:val="24"/>
          <w:szCs w:val="24"/>
        </w:rPr>
        <w:t xml:space="preserve"> Recurso</w:t>
      </w:r>
      <w:r w:rsidR="005D0328">
        <w:rPr>
          <w:rFonts w:ascii="Palatino Linotype" w:eastAsia="Palatino Linotype" w:hAnsi="Palatino Linotype" w:cs="Palatino Linotype"/>
          <w:sz w:val="24"/>
          <w:szCs w:val="24"/>
        </w:rPr>
        <w:t>s</w:t>
      </w:r>
      <w:r w:rsidR="00E7269F" w:rsidRPr="008D03F7">
        <w:rPr>
          <w:rFonts w:ascii="Palatino Linotype" w:eastAsia="Palatino Linotype" w:hAnsi="Palatino Linotype" w:cs="Palatino Linotype"/>
          <w:sz w:val="24"/>
          <w:szCs w:val="24"/>
        </w:rPr>
        <w:t xml:space="preserve"> de Revisión referido</w:t>
      </w:r>
      <w:r w:rsidR="005D0328">
        <w:rPr>
          <w:rFonts w:ascii="Palatino Linotype" w:eastAsia="Palatino Linotype" w:hAnsi="Palatino Linotype" w:cs="Palatino Linotype"/>
          <w:sz w:val="24"/>
          <w:szCs w:val="24"/>
        </w:rPr>
        <w:t>s</w:t>
      </w:r>
      <w:r w:rsidRPr="008D03F7">
        <w:rPr>
          <w:rFonts w:ascii="Palatino Linotype" w:eastAsia="Palatino Linotype" w:hAnsi="Palatino Linotype" w:cs="Palatino Linotype"/>
          <w:sz w:val="24"/>
          <w:szCs w:val="24"/>
        </w:rPr>
        <w:t>. --</w:t>
      </w:r>
    </w:p>
    <w:p w14:paraId="388D2DB5"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1B1F5884"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1C9378AD"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60894B94"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0E255897" w14:textId="77777777" w:rsidR="00F77FE3" w:rsidRPr="008D03F7" w:rsidRDefault="00E763E0" w:rsidP="00C70E5A">
      <w:pPr>
        <w:spacing w:after="0" w:line="360" w:lineRule="auto"/>
        <w:jc w:val="both"/>
        <w:rPr>
          <w:rFonts w:ascii="Palatino Linotype" w:eastAsia="Palatino Linotype" w:hAnsi="Palatino Linotype" w:cs="Palatino Linotype"/>
          <w:sz w:val="24"/>
          <w:szCs w:val="24"/>
        </w:rPr>
      </w:pPr>
      <w:r w:rsidRPr="008D03F7">
        <w:rPr>
          <w:rFonts w:ascii="Palatino Linotype" w:eastAsia="Palatino Linotype" w:hAnsi="Palatino Linotype" w:cs="Palatino Linotype"/>
          <w:sz w:val="24"/>
          <w:szCs w:val="24"/>
        </w:rPr>
        <w:t xml:space="preserve"> </w:t>
      </w:r>
    </w:p>
    <w:p w14:paraId="49C45AF1" w14:textId="77777777" w:rsidR="00F77FE3" w:rsidRPr="008D03F7" w:rsidRDefault="00F77FE3" w:rsidP="00C70E5A">
      <w:pPr>
        <w:spacing w:after="0" w:line="360" w:lineRule="auto"/>
        <w:jc w:val="both"/>
        <w:rPr>
          <w:rFonts w:ascii="Palatino Linotype" w:eastAsia="Palatino Linotype" w:hAnsi="Palatino Linotype" w:cs="Palatino Linotype"/>
          <w:sz w:val="24"/>
          <w:szCs w:val="24"/>
        </w:rPr>
      </w:pPr>
    </w:p>
    <w:p w14:paraId="0CE1B156" w14:textId="77777777" w:rsidR="00F77FE3" w:rsidRPr="008D03F7" w:rsidRDefault="00F77FE3" w:rsidP="00C70E5A">
      <w:pPr>
        <w:tabs>
          <w:tab w:val="left" w:pos="4962"/>
        </w:tabs>
        <w:spacing w:after="0" w:line="360" w:lineRule="auto"/>
        <w:jc w:val="both"/>
        <w:rPr>
          <w:rFonts w:ascii="Palatino Linotype" w:eastAsia="Palatino Linotype" w:hAnsi="Palatino Linotype" w:cs="Palatino Linotype"/>
          <w:b/>
          <w:sz w:val="24"/>
          <w:szCs w:val="24"/>
        </w:rPr>
      </w:pPr>
    </w:p>
    <w:p w14:paraId="495CE54B" w14:textId="3DC6C007" w:rsidR="00F77FE3" w:rsidRPr="008D03F7" w:rsidRDefault="00F77FE3" w:rsidP="00C70E5A">
      <w:pPr>
        <w:tabs>
          <w:tab w:val="left" w:pos="4962"/>
        </w:tabs>
        <w:spacing w:after="0" w:line="360" w:lineRule="auto"/>
        <w:jc w:val="both"/>
        <w:rPr>
          <w:rFonts w:ascii="Palatino Linotype" w:eastAsia="Palatino Linotype" w:hAnsi="Palatino Linotype" w:cs="Palatino Linotype"/>
          <w:b/>
          <w:sz w:val="24"/>
          <w:szCs w:val="24"/>
        </w:rPr>
      </w:pPr>
    </w:p>
    <w:p w14:paraId="0CC1A44A" w14:textId="7BC852E4"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4F20F4E1" w14:textId="3E5F45E9"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6809E43E" w14:textId="5E860E3D"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57DD33B1" w14:textId="5C14FEF7"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2C8638A0" w14:textId="3437255F"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42A17FC8" w14:textId="48B0066E"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23F37D95" w14:textId="4F258BE1"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6E740CE7" w14:textId="751FF5C6"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66249082" w14:textId="23C8B481"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65C17434" w14:textId="4993E9B3"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4A7946B4" w14:textId="299A3697"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1C2D1879" w14:textId="77777777" w:rsidR="008D03F7" w:rsidRPr="008D03F7" w:rsidRDefault="008D03F7" w:rsidP="00C70E5A">
      <w:pPr>
        <w:tabs>
          <w:tab w:val="left" w:pos="4962"/>
        </w:tabs>
        <w:spacing w:after="0" w:line="360" w:lineRule="auto"/>
        <w:jc w:val="both"/>
        <w:rPr>
          <w:rFonts w:ascii="Palatino Linotype" w:eastAsia="Palatino Linotype" w:hAnsi="Palatino Linotype" w:cs="Palatino Linotype"/>
          <w:b/>
          <w:sz w:val="24"/>
          <w:szCs w:val="24"/>
        </w:rPr>
      </w:pPr>
    </w:p>
    <w:p w14:paraId="0BD538CE" w14:textId="77777777" w:rsidR="00F77FE3" w:rsidRPr="008D03F7" w:rsidRDefault="00F77FE3" w:rsidP="00C70E5A">
      <w:pPr>
        <w:tabs>
          <w:tab w:val="left" w:pos="4962"/>
        </w:tabs>
        <w:spacing w:after="0" w:line="360" w:lineRule="auto"/>
        <w:jc w:val="both"/>
        <w:rPr>
          <w:rFonts w:ascii="Palatino Linotype" w:eastAsia="Palatino Linotype" w:hAnsi="Palatino Linotype" w:cs="Palatino Linotype"/>
          <w:b/>
          <w:sz w:val="24"/>
          <w:szCs w:val="24"/>
        </w:rPr>
      </w:pPr>
    </w:p>
    <w:p w14:paraId="0DF0E00D" w14:textId="77777777" w:rsidR="00F77FE3" w:rsidRPr="008D03F7" w:rsidRDefault="00F77FE3" w:rsidP="00C70E5A">
      <w:pPr>
        <w:tabs>
          <w:tab w:val="left" w:pos="4962"/>
        </w:tabs>
        <w:spacing w:after="0" w:line="360" w:lineRule="auto"/>
        <w:jc w:val="both"/>
        <w:rPr>
          <w:rFonts w:ascii="Palatino Linotype" w:eastAsia="Palatino Linotype" w:hAnsi="Palatino Linotype" w:cs="Palatino Linotype"/>
          <w:b/>
          <w:sz w:val="24"/>
          <w:szCs w:val="24"/>
        </w:rPr>
      </w:pPr>
    </w:p>
    <w:p w14:paraId="6CD00273" w14:textId="77777777" w:rsidR="00F77FE3" w:rsidRPr="008D03F7" w:rsidRDefault="00F77FE3" w:rsidP="00C70E5A">
      <w:pPr>
        <w:tabs>
          <w:tab w:val="left" w:pos="4962"/>
        </w:tabs>
        <w:spacing w:after="0" w:line="360" w:lineRule="auto"/>
        <w:jc w:val="both"/>
        <w:rPr>
          <w:rFonts w:ascii="Palatino Linotype" w:eastAsia="Palatino Linotype" w:hAnsi="Palatino Linotype" w:cs="Palatino Linotype"/>
          <w:sz w:val="24"/>
          <w:szCs w:val="24"/>
        </w:rPr>
      </w:pPr>
    </w:p>
    <w:p w14:paraId="02FAEAAB" w14:textId="77777777" w:rsidR="00F77FE3" w:rsidRPr="008D03F7" w:rsidRDefault="00F77FE3" w:rsidP="00C70E5A">
      <w:pPr>
        <w:spacing w:after="0" w:line="360" w:lineRule="auto"/>
        <w:ind w:right="423"/>
        <w:jc w:val="both"/>
        <w:rPr>
          <w:rFonts w:ascii="Palatino Linotype" w:eastAsia="Palatino Linotype" w:hAnsi="Palatino Linotype" w:cs="Palatino Linotype"/>
        </w:rPr>
      </w:pPr>
    </w:p>
    <w:sectPr w:rsidR="00F77FE3" w:rsidRPr="008D03F7">
      <w:head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EBD4" w14:textId="77777777" w:rsidR="00192BC5" w:rsidRDefault="00192BC5">
      <w:pPr>
        <w:spacing w:after="0" w:line="240" w:lineRule="auto"/>
      </w:pPr>
      <w:r>
        <w:separator/>
      </w:r>
    </w:p>
  </w:endnote>
  <w:endnote w:type="continuationSeparator" w:id="0">
    <w:p w14:paraId="3B3F1A68" w14:textId="77777777" w:rsidR="00192BC5" w:rsidRDefault="0019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7CCF" w14:textId="77777777" w:rsidR="00192BC5" w:rsidRDefault="00192BC5">
      <w:pPr>
        <w:spacing w:after="0" w:line="240" w:lineRule="auto"/>
      </w:pPr>
      <w:r>
        <w:separator/>
      </w:r>
    </w:p>
  </w:footnote>
  <w:footnote w:type="continuationSeparator" w:id="0">
    <w:p w14:paraId="7245562E" w14:textId="77777777" w:rsidR="00192BC5" w:rsidRDefault="00192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3247"/>
    </w:tblGrid>
    <w:tr w:rsidR="00E67132" w:rsidRPr="00E67132" w14:paraId="76A9FC2C" w14:textId="77777777" w:rsidTr="00E67132">
      <w:tc>
        <w:tcPr>
          <w:tcW w:w="5656" w:type="dxa"/>
          <w:gridSpan w:val="2"/>
          <w:vAlign w:val="center"/>
        </w:tcPr>
        <w:p w14:paraId="04100C06" w14:textId="558C8E80" w:rsidR="00E67132" w:rsidRPr="00E67132" w:rsidRDefault="00E67132" w:rsidP="00BF35E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tc>
    </w:tr>
    <w:tr w:rsidR="00E67132" w:rsidRPr="00E67132" w14:paraId="5ADEEFB7" w14:textId="77777777" w:rsidTr="00E67132">
      <w:tc>
        <w:tcPr>
          <w:tcW w:w="2409" w:type="dxa"/>
          <w:vAlign w:val="center"/>
        </w:tcPr>
        <w:p w14:paraId="723C1473" w14:textId="68F79194" w:rsidR="00E67132" w:rsidRPr="00E67132" w:rsidRDefault="00E67132" w:rsidP="00E67132">
          <w:pPr>
            <w:tabs>
              <w:tab w:val="center" w:pos="4419"/>
              <w:tab w:val="right" w:pos="8838"/>
            </w:tabs>
            <w:jc w:val="both"/>
            <w:rPr>
              <w:rFonts w:ascii="Palatino Linotype" w:eastAsia="Palatino Linotype" w:hAnsi="Palatino Linotype" w:cs="Palatino Linotype"/>
              <w:b/>
              <w:color w:val="000000"/>
              <w:sz w:val="20"/>
              <w:szCs w:val="20"/>
            </w:rPr>
          </w:pPr>
          <w:r w:rsidRPr="00E67132">
            <w:rPr>
              <w:rFonts w:ascii="Palatino Linotype" w:eastAsia="Palatino Linotype" w:hAnsi="Palatino Linotype" w:cs="Palatino Linotype"/>
              <w:b/>
              <w:color w:val="000000"/>
              <w:sz w:val="20"/>
              <w:szCs w:val="20"/>
            </w:rPr>
            <w:t>Recurso de Revisión:</w:t>
          </w:r>
        </w:p>
      </w:tc>
      <w:tc>
        <w:tcPr>
          <w:tcW w:w="3247" w:type="dxa"/>
        </w:tcPr>
        <w:p w14:paraId="67D46977" w14:textId="36DA4679" w:rsidR="00E67132" w:rsidRPr="00E67132" w:rsidRDefault="00E67132" w:rsidP="00BF35E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E67132">
            <w:rPr>
              <w:rFonts w:ascii="Palatino Linotype" w:eastAsia="Palatino Linotype" w:hAnsi="Palatino Linotype" w:cs="Palatino Linotype"/>
              <w:b/>
              <w:color w:val="000000"/>
              <w:sz w:val="20"/>
              <w:szCs w:val="20"/>
            </w:rPr>
            <w:t>0</w:t>
          </w:r>
          <w:r w:rsidR="00BF35EC">
            <w:rPr>
              <w:rFonts w:ascii="Palatino Linotype" w:eastAsia="Palatino Linotype" w:hAnsi="Palatino Linotype" w:cs="Palatino Linotype"/>
              <w:b/>
              <w:color w:val="000000"/>
              <w:sz w:val="20"/>
              <w:szCs w:val="20"/>
            </w:rPr>
            <w:t>2021</w:t>
          </w:r>
          <w:r w:rsidRPr="00E67132">
            <w:rPr>
              <w:rFonts w:ascii="Palatino Linotype" w:eastAsia="Palatino Linotype" w:hAnsi="Palatino Linotype" w:cs="Palatino Linotype"/>
              <w:b/>
              <w:color w:val="000000"/>
              <w:sz w:val="20"/>
              <w:szCs w:val="20"/>
            </w:rPr>
            <w:t>/INFOEM/IP/RR/2023</w:t>
          </w:r>
          <w:r w:rsidR="00C70E5A">
            <w:rPr>
              <w:rFonts w:ascii="Palatino Linotype" w:eastAsia="Palatino Linotype" w:hAnsi="Palatino Linotype" w:cs="Palatino Linotype"/>
              <w:b/>
              <w:color w:val="000000"/>
              <w:sz w:val="20"/>
              <w:szCs w:val="20"/>
            </w:rPr>
            <w:t xml:space="preserve"> </w:t>
          </w:r>
          <w:r w:rsidR="00BF35EC">
            <w:rPr>
              <w:rFonts w:ascii="Palatino Linotype" w:eastAsia="Palatino Linotype" w:hAnsi="Palatino Linotype" w:cs="Palatino Linotype"/>
              <w:b/>
              <w:color w:val="000000"/>
              <w:sz w:val="20"/>
              <w:szCs w:val="20"/>
            </w:rPr>
            <w:t>y acumulado</w:t>
          </w:r>
        </w:p>
      </w:tc>
    </w:tr>
    <w:tr w:rsidR="00E67132" w:rsidRPr="00E67132" w14:paraId="160B0AC7" w14:textId="77777777" w:rsidTr="00E67132">
      <w:tc>
        <w:tcPr>
          <w:tcW w:w="2409" w:type="dxa"/>
        </w:tcPr>
        <w:p w14:paraId="359F387E" w14:textId="77777777" w:rsidR="00E67132" w:rsidRPr="00E67132" w:rsidRDefault="00E67132" w:rsidP="00E67132">
          <w:pPr>
            <w:tabs>
              <w:tab w:val="center" w:pos="4419"/>
              <w:tab w:val="right" w:pos="8838"/>
            </w:tabs>
            <w:jc w:val="both"/>
            <w:rPr>
              <w:rFonts w:ascii="Palatino Linotype" w:eastAsia="Palatino Linotype" w:hAnsi="Palatino Linotype" w:cs="Palatino Linotype"/>
              <w:b/>
              <w:color w:val="000000"/>
              <w:sz w:val="20"/>
              <w:szCs w:val="20"/>
            </w:rPr>
          </w:pPr>
          <w:r w:rsidRPr="00E67132">
            <w:rPr>
              <w:rFonts w:ascii="Palatino Linotype" w:eastAsia="Palatino Linotype" w:hAnsi="Palatino Linotype" w:cs="Palatino Linotype"/>
              <w:b/>
              <w:color w:val="000000"/>
              <w:sz w:val="20"/>
              <w:szCs w:val="20"/>
            </w:rPr>
            <w:t>Sujeto Obligado:</w:t>
          </w:r>
        </w:p>
      </w:tc>
      <w:tc>
        <w:tcPr>
          <w:tcW w:w="3247" w:type="dxa"/>
        </w:tcPr>
        <w:p w14:paraId="3846FAAA" w14:textId="498436BF" w:rsidR="00E67132" w:rsidRPr="00E67132" w:rsidRDefault="00BF35EC" w:rsidP="00BF35EC">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Ayuntamiento </w:t>
          </w:r>
          <w:r w:rsidRPr="00BF35EC">
            <w:rPr>
              <w:rFonts w:ascii="Palatino Linotype" w:eastAsia="Palatino Linotype" w:hAnsi="Palatino Linotype" w:cs="Palatino Linotype"/>
              <w:b/>
              <w:color w:val="000000"/>
              <w:sz w:val="20"/>
              <w:szCs w:val="20"/>
            </w:rPr>
            <w:t>de Atizapán</w:t>
          </w:r>
        </w:p>
      </w:tc>
    </w:tr>
    <w:tr w:rsidR="00E67132" w:rsidRPr="00E67132" w14:paraId="06275700" w14:textId="77777777" w:rsidTr="00E67132">
      <w:tc>
        <w:tcPr>
          <w:tcW w:w="2409" w:type="dxa"/>
        </w:tcPr>
        <w:p w14:paraId="40A91E8E" w14:textId="77777777" w:rsidR="00E67132" w:rsidRPr="00E67132" w:rsidRDefault="00E67132" w:rsidP="00E67132">
          <w:pPr>
            <w:tabs>
              <w:tab w:val="center" w:pos="4419"/>
              <w:tab w:val="right" w:pos="8838"/>
            </w:tabs>
            <w:jc w:val="both"/>
            <w:rPr>
              <w:rFonts w:ascii="Palatino Linotype" w:eastAsia="Palatino Linotype" w:hAnsi="Palatino Linotype" w:cs="Palatino Linotype"/>
              <w:b/>
              <w:color w:val="000000"/>
              <w:sz w:val="20"/>
              <w:szCs w:val="20"/>
            </w:rPr>
          </w:pPr>
          <w:r w:rsidRPr="00E67132">
            <w:rPr>
              <w:rFonts w:ascii="Palatino Linotype" w:eastAsia="Palatino Linotype" w:hAnsi="Palatino Linotype" w:cs="Palatino Linotype"/>
              <w:b/>
              <w:color w:val="000000"/>
              <w:sz w:val="20"/>
              <w:szCs w:val="20"/>
            </w:rPr>
            <w:t>Comisionado Ponente:</w:t>
          </w:r>
        </w:p>
      </w:tc>
      <w:tc>
        <w:tcPr>
          <w:tcW w:w="3247" w:type="dxa"/>
        </w:tcPr>
        <w:p w14:paraId="4438FD02" w14:textId="061B937D" w:rsidR="00E67132" w:rsidRDefault="008914C0" w:rsidP="00E6713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Luis Gustavo Parra Noriega </w:t>
          </w:r>
        </w:p>
        <w:p w14:paraId="3305F225" w14:textId="77777777" w:rsidR="00C70E5A" w:rsidRPr="00E67132" w:rsidRDefault="00C70E5A" w:rsidP="00E6713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p>
      </w:tc>
    </w:tr>
  </w:tbl>
  <w:p w14:paraId="2E416182" w14:textId="77777777" w:rsidR="00F77FE3" w:rsidRDefault="00E67132" w:rsidP="00E6713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r>
      <w:rPr>
        <w:noProof/>
        <w:lang w:val="es-MX"/>
      </w:rPr>
      <w:drawing>
        <wp:anchor distT="0" distB="0" distL="0" distR="0" simplePos="0" relativeHeight="251658240" behindDoc="1" locked="0" layoutInCell="1" hidden="0" allowOverlap="1" wp14:anchorId="6F08A77C" wp14:editId="3A0E2606">
          <wp:simplePos x="0" y="0"/>
          <wp:positionH relativeFrom="page">
            <wp:align>left</wp:align>
          </wp:positionH>
          <wp:positionV relativeFrom="paragraph">
            <wp:posOffset>-1301115</wp:posOffset>
          </wp:positionV>
          <wp:extent cx="7510628" cy="9883775"/>
          <wp:effectExtent l="0" t="0" r="0" b="3175"/>
          <wp:wrapNone/>
          <wp:docPr id="2373134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02C"/>
    <w:multiLevelType w:val="multilevel"/>
    <w:tmpl w:val="FF6A2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F32520"/>
    <w:multiLevelType w:val="multilevel"/>
    <w:tmpl w:val="CF382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031951"/>
    <w:multiLevelType w:val="multilevel"/>
    <w:tmpl w:val="E23CA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273D66"/>
    <w:multiLevelType w:val="multilevel"/>
    <w:tmpl w:val="8A5C6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AC4A90"/>
    <w:multiLevelType w:val="multilevel"/>
    <w:tmpl w:val="50E85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1B01C2"/>
    <w:multiLevelType w:val="multilevel"/>
    <w:tmpl w:val="42ECE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C5A4A"/>
    <w:multiLevelType w:val="multilevel"/>
    <w:tmpl w:val="2CBCA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4D5FDF"/>
    <w:multiLevelType w:val="multilevel"/>
    <w:tmpl w:val="66F68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F76557"/>
    <w:multiLevelType w:val="multilevel"/>
    <w:tmpl w:val="EEEC7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CE765C"/>
    <w:multiLevelType w:val="multilevel"/>
    <w:tmpl w:val="01046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0A58D3"/>
    <w:multiLevelType w:val="multilevel"/>
    <w:tmpl w:val="C840C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27413A"/>
    <w:multiLevelType w:val="multilevel"/>
    <w:tmpl w:val="2C5C2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042820"/>
    <w:multiLevelType w:val="multilevel"/>
    <w:tmpl w:val="FE965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E729AA"/>
    <w:multiLevelType w:val="multilevel"/>
    <w:tmpl w:val="58565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5738280">
    <w:abstractNumId w:val="11"/>
  </w:num>
  <w:num w:numId="2" w16cid:durableId="1006713068">
    <w:abstractNumId w:val="12"/>
  </w:num>
  <w:num w:numId="3" w16cid:durableId="67699404">
    <w:abstractNumId w:val="6"/>
  </w:num>
  <w:num w:numId="4" w16cid:durableId="1624069916">
    <w:abstractNumId w:val="13"/>
  </w:num>
  <w:num w:numId="5" w16cid:durableId="1881744685">
    <w:abstractNumId w:val="3"/>
  </w:num>
  <w:num w:numId="6" w16cid:durableId="70395645">
    <w:abstractNumId w:val="8"/>
  </w:num>
  <w:num w:numId="7" w16cid:durableId="1752240662">
    <w:abstractNumId w:val="9"/>
  </w:num>
  <w:num w:numId="8" w16cid:durableId="1033116325">
    <w:abstractNumId w:val="2"/>
  </w:num>
  <w:num w:numId="9" w16cid:durableId="1316912375">
    <w:abstractNumId w:val="1"/>
  </w:num>
  <w:num w:numId="10" w16cid:durableId="1779331457">
    <w:abstractNumId w:val="4"/>
  </w:num>
  <w:num w:numId="11" w16cid:durableId="4215733">
    <w:abstractNumId w:val="0"/>
  </w:num>
  <w:num w:numId="12" w16cid:durableId="1678536800">
    <w:abstractNumId w:val="7"/>
  </w:num>
  <w:num w:numId="13" w16cid:durableId="1240673896">
    <w:abstractNumId w:val="10"/>
  </w:num>
  <w:num w:numId="14" w16cid:durableId="893933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E3"/>
    <w:rsid w:val="00113CA7"/>
    <w:rsid w:val="00192BC5"/>
    <w:rsid w:val="00195AFA"/>
    <w:rsid w:val="001A00DC"/>
    <w:rsid w:val="0020656E"/>
    <w:rsid w:val="00265549"/>
    <w:rsid w:val="003C6EA1"/>
    <w:rsid w:val="005B353B"/>
    <w:rsid w:val="005D0328"/>
    <w:rsid w:val="0065652A"/>
    <w:rsid w:val="007E10FF"/>
    <w:rsid w:val="008914C0"/>
    <w:rsid w:val="008D03F7"/>
    <w:rsid w:val="009B6E1E"/>
    <w:rsid w:val="00AF673A"/>
    <w:rsid w:val="00B053BC"/>
    <w:rsid w:val="00BF35EC"/>
    <w:rsid w:val="00C70E5A"/>
    <w:rsid w:val="00C87993"/>
    <w:rsid w:val="00CF00BA"/>
    <w:rsid w:val="00DF4414"/>
    <w:rsid w:val="00E67132"/>
    <w:rsid w:val="00E7269F"/>
    <w:rsid w:val="00E763E0"/>
    <w:rsid w:val="00EE61EA"/>
    <w:rsid w:val="00F77F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25943"/>
  <w15:docId w15:val="{B500C2F7-5B4B-40A1-B7EF-494AFF1B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F74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5F0"/>
  </w:style>
  <w:style w:type="paragraph" w:styleId="Encabezado">
    <w:name w:val="header"/>
    <w:basedOn w:val="Normal"/>
    <w:link w:val="EncabezadoCar"/>
    <w:uiPriority w:val="99"/>
    <w:unhideWhenUsed/>
    <w:rsid w:val="00F74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5F0"/>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300B"/>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300B"/>
    <w:rPr>
      <w:rFonts w:ascii="Times New Roman" w:eastAsia="Times New Roman" w:hAnsi="Times New Roman" w:cs="Times New Roman"/>
      <w:sz w:val="24"/>
      <w:szCs w:val="24"/>
      <w:lang w:val="es-MX" w:eastAsia="es-ES"/>
    </w:rPr>
  </w:style>
  <w:style w:type="table" w:styleId="Tablaconcuadrcula">
    <w:name w:val="Table Grid"/>
    <w:basedOn w:val="Tablanormal"/>
    <w:uiPriority w:val="59"/>
    <w:rsid w:val="008A3CC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rwiyY7Pn4YzgKO6xWrpylVK5w==">CgMxLjAyDmgubTF0ODYxajI2bWlzMg5oLnU1eW45MnhtcHo0YTgAciExNzBMYTd1UXpkQ0l4YUdkVkRDWE1mVjV3SjVtWXFJbGg=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1257</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SAFOVI</dc:creator>
  <cp:lastModifiedBy>inf03m619@outlook.com</cp:lastModifiedBy>
  <cp:revision>5</cp:revision>
  <cp:lastPrinted>2024-03-19T17:17:00Z</cp:lastPrinted>
  <dcterms:created xsi:type="dcterms:W3CDTF">2024-03-19T18:03:00Z</dcterms:created>
  <dcterms:modified xsi:type="dcterms:W3CDTF">2024-03-20T01:20:00Z</dcterms:modified>
</cp:coreProperties>
</file>