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93" w:rsidRDefault="00506093">
      <w:pPr>
        <w:spacing w:after="0" w:line="360" w:lineRule="auto"/>
        <w:jc w:val="both"/>
        <w:rPr>
          <w:rFonts w:ascii="Palatino Linotype" w:eastAsia="Palatino Linotype" w:hAnsi="Palatino Linotype" w:cs="Palatino Linotype"/>
          <w:b/>
        </w:rPr>
      </w:pPr>
      <w:bookmarkStart w:id="0" w:name="_heading=h.gjdgxs" w:colFirst="0" w:colLast="0"/>
      <w:bookmarkEnd w:id="0"/>
    </w:p>
    <w:p w:rsidR="00506093" w:rsidRDefault="008B4AB8">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PRIMERA SESIÓN ORDINARIA DEL TRES DE ABRIL DE DOS MIL VEINTICUATRO, EN EL RECURSO DE REVISIÓN 00734/INFOEM/IP/RR/2024</w:t>
      </w:r>
      <w:r>
        <w:rPr>
          <w:rFonts w:ascii="Palatino Linotype" w:eastAsia="Palatino Linotype" w:hAnsi="Palatino Linotype" w:cs="Palatino Linotype"/>
          <w:b/>
          <w:sz w:val="24"/>
          <w:szCs w:val="24"/>
        </w:rPr>
        <w:t xml:space="preserve">. </w:t>
      </w:r>
    </w:p>
    <w:p w:rsidR="00506093" w:rsidRDefault="008B4AB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w:t>
      </w:r>
      <w:r>
        <w:rPr>
          <w:rFonts w:ascii="Palatino Linotype" w:eastAsia="Palatino Linotype" w:hAnsi="Palatino Linotype" w:cs="Palatino Linotype"/>
        </w:rPr>
        <w:t>Información Pública y Protección de Datos Personales del Estado de México, la Comisionada</w:t>
      </w:r>
      <w:r>
        <w:rPr>
          <w:rFonts w:ascii="Palatino Linotype" w:eastAsia="Palatino Linotype" w:hAnsi="Palatino Linotype" w:cs="Palatino Linotype"/>
          <w:b/>
        </w:rPr>
        <w:t xml:space="preserve">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00734/INFOEM/IP/RR/2024</w:t>
      </w:r>
      <w:r>
        <w:rPr>
          <w:rFonts w:ascii="Palatino Linotype" w:eastAsia="Palatino Linotype" w:hAnsi="Palatino Linotype" w:cs="Palatino Linotype"/>
          <w:b/>
          <w:color w:val="000000"/>
        </w:rPr>
        <w:t>,</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pronunciada por el Pleno de e</w:t>
      </w:r>
      <w:r>
        <w:rPr>
          <w:rFonts w:ascii="Palatino Linotype" w:eastAsia="Palatino Linotype" w:hAnsi="Palatino Linotype" w:cs="Palatino Linotype"/>
          <w:color w:val="000000"/>
        </w:rPr>
        <w:t>ste Instituto ante el proyecto presentado por la suscrita, el cual fue engrosado conforme al criterio mayoritario que es del tenor siguiente:</w:t>
      </w:r>
    </w:p>
    <w:p w:rsidR="00506093" w:rsidRDefault="008B4AB8">
      <w:pPr>
        <w:numPr>
          <w:ilvl w:val="0"/>
          <w:numId w:val="1"/>
        </w:numPr>
        <w:spacing w:before="240" w:after="240"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506093" w:rsidRDefault="008B4AB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w:t>
      </w:r>
      <w:r>
        <w:rPr>
          <w:rFonts w:ascii="Palatino Linotype" w:eastAsia="Palatino Linotype" w:hAnsi="Palatino Linotype" w:cs="Palatino Linotype"/>
        </w:rPr>
        <w:t>uiente:</w:t>
      </w:r>
    </w:p>
    <w:p w:rsidR="00506093" w:rsidRDefault="008B4AB8">
      <w:pPr>
        <w:spacing w:before="120" w:after="120" w:line="240"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i/>
        </w:rPr>
        <w:t xml:space="preserve">“Copia de manera digital de la última nómina presentada al OSFEM por parte del Ayuntamiento de </w:t>
      </w:r>
      <w:proofErr w:type="spellStart"/>
      <w:r>
        <w:rPr>
          <w:rFonts w:ascii="Palatino Linotype" w:eastAsia="Palatino Linotype" w:hAnsi="Palatino Linotype" w:cs="Palatino Linotype"/>
          <w:i/>
        </w:rPr>
        <w:t>Calimaya</w:t>
      </w:r>
      <w:proofErr w:type="spellEnd"/>
      <w:r>
        <w:rPr>
          <w:rFonts w:ascii="Palatino Linotype" w:eastAsia="Palatino Linotype" w:hAnsi="Palatino Linotype" w:cs="Palatino Linotype"/>
          <w:i/>
        </w:rPr>
        <w:t>, de la que se observen la lista de trabajadores del ayuntamiento en nómina y aquellos que se encuentren en gratificación” (Sic)</w:t>
      </w:r>
    </w:p>
    <w:p w:rsidR="00506093" w:rsidRDefault="00506093">
      <w:pPr>
        <w:spacing w:after="0" w:line="276" w:lineRule="auto"/>
        <w:ind w:left="708" w:right="616"/>
        <w:jc w:val="both"/>
        <w:rPr>
          <w:rFonts w:ascii="Palatino Linotype" w:eastAsia="Palatino Linotype" w:hAnsi="Palatino Linotype" w:cs="Palatino Linotype"/>
          <w:i/>
          <w:color w:val="000000"/>
        </w:rPr>
      </w:pPr>
    </w:p>
    <w:p w:rsidR="00506093" w:rsidRDefault="008B4AB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respuesta, 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dio respuesta a la solicitud de información, a través de </w:t>
      </w:r>
      <w:proofErr w:type="gramStart"/>
      <w:r>
        <w:rPr>
          <w:rFonts w:ascii="Palatino Linotype" w:eastAsia="Palatino Linotype" w:hAnsi="Palatino Linotype" w:cs="Palatino Linotype"/>
        </w:rPr>
        <w:t>los</w:t>
      </w:r>
      <w:proofErr w:type="gramEnd"/>
      <w:r>
        <w:rPr>
          <w:rFonts w:ascii="Palatino Linotype" w:eastAsia="Palatino Linotype" w:hAnsi="Palatino Linotype" w:cs="Palatino Linotype"/>
        </w:rPr>
        <w:t xml:space="preserve"> archivos electrónicos que contienen la información siguiente:</w:t>
      </w:r>
    </w:p>
    <w:p w:rsidR="00506093" w:rsidRDefault="00506093">
      <w:pPr>
        <w:spacing w:after="0" w:line="360" w:lineRule="auto"/>
        <w:ind w:right="-7"/>
        <w:jc w:val="both"/>
        <w:rPr>
          <w:rFonts w:ascii="Palatino Linotype" w:eastAsia="Palatino Linotype" w:hAnsi="Palatino Linotype" w:cs="Palatino Linotype"/>
          <w:sz w:val="24"/>
          <w:szCs w:val="24"/>
        </w:rPr>
      </w:pPr>
    </w:p>
    <w:p w:rsidR="00506093" w:rsidRDefault="008B4AB8">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007-2024.pdf: </w:t>
      </w:r>
      <w:r>
        <w:rPr>
          <w:rFonts w:ascii="Palatino Linotype" w:eastAsia="Palatino Linotype" w:hAnsi="Palatino Linotype" w:cs="Palatino Linotype"/>
          <w:color w:val="000000"/>
        </w:rPr>
        <w:t xml:space="preserve">Archivo que contiene la versión pública de la conciliación de nómina del Ayuntamiento de </w:t>
      </w:r>
      <w:proofErr w:type="spellStart"/>
      <w:r>
        <w:rPr>
          <w:rFonts w:ascii="Palatino Linotype" w:eastAsia="Palatino Linotype" w:hAnsi="Palatino Linotype" w:cs="Palatino Linotype"/>
          <w:color w:val="000000"/>
        </w:rPr>
        <w:t>Calimaya</w:t>
      </w:r>
      <w:proofErr w:type="spellEnd"/>
      <w:r>
        <w:rPr>
          <w:rFonts w:ascii="Palatino Linotype" w:eastAsia="Palatino Linotype" w:hAnsi="Palatino Linotype" w:cs="Palatino Linotype"/>
          <w:color w:val="000000"/>
        </w:rPr>
        <w:t>, de la segunda quincena del mes de septiembre de dos mil veintitrés, que, entre otros datos, contiene los nombres completos de los servidores públicos adscrit</w:t>
      </w:r>
      <w:r>
        <w:rPr>
          <w:rFonts w:ascii="Palatino Linotype" w:eastAsia="Palatino Linotype" w:hAnsi="Palatino Linotype" w:cs="Palatino Linotype"/>
          <w:color w:val="000000"/>
        </w:rPr>
        <w:t>os a diversas áreas del ente público, su sueldo base, gratificaciones y otras percepciones.</w:t>
      </w:r>
    </w:p>
    <w:p w:rsidR="00506093" w:rsidRDefault="00506093">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rsidR="00506093" w:rsidRDefault="008B4AB8">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ACTA DE LA DÉCIMO SEPTIMA SESION ORDINARIA 2023.pdf: </w:t>
      </w:r>
      <w:r>
        <w:rPr>
          <w:rFonts w:ascii="Palatino Linotype" w:eastAsia="Palatino Linotype" w:hAnsi="Palatino Linotype" w:cs="Palatino Linotype"/>
          <w:color w:val="000000"/>
        </w:rPr>
        <w:t>Acta de la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Décima Séptima Sesión Ordinaria del Comité de Transparencia celebrada el catorce de junio de dos mil veintitrés, a través de la cual se emite, entre otro, el acuerdo de clasificación número CALIMAYA/CT/17ORD/046/2023, que señala el ente público que entrega</w:t>
      </w:r>
      <w:r>
        <w:rPr>
          <w:rFonts w:ascii="Palatino Linotype" w:eastAsia="Palatino Linotype" w:hAnsi="Palatino Linotype" w:cs="Palatino Linotype"/>
          <w:color w:val="000000"/>
        </w:rPr>
        <w:t>, con relación a la solicitud de información, no obstante se observa que el mismo no se relaciona con los datos clasificados en la conciliación de nómina entregada.</w:t>
      </w:r>
    </w:p>
    <w:p w:rsidR="00506093" w:rsidRDefault="00506093">
      <w:pPr>
        <w:spacing w:after="0" w:line="360" w:lineRule="auto"/>
        <w:jc w:val="both"/>
        <w:rPr>
          <w:rFonts w:ascii="Palatino Linotype" w:eastAsia="Palatino Linotype" w:hAnsi="Palatino Linotype" w:cs="Palatino Linotype"/>
        </w:rPr>
      </w:pPr>
    </w:p>
    <w:p w:rsidR="00506093" w:rsidRDefault="008B4AB8">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Derivado de la respuesta a la solicitud de información,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interpuso el r</w:t>
      </w:r>
      <w:r>
        <w:rPr>
          <w:rFonts w:ascii="Palatino Linotype" w:eastAsia="Palatino Linotype" w:hAnsi="Palatino Linotype" w:cs="Palatino Linotype"/>
        </w:rPr>
        <w:t>ecurso de revisión citado al rubro, en el que se advierte se inconformó sustancialmente por lo siguiente:</w:t>
      </w:r>
    </w:p>
    <w:p w:rsidR="00506093" w:rsidRDefault="00506093">
      <w:pPr>
        <w:spacing w:after="0" w:line="360" w:lineRule="auto"/>
        <w:jc w:val="both"/>
        <w:rPr>
          <w:rFonts w:ascii="Palatino Linotype" w:eastAsia="Palatino Linotype" w:hAnsi="Palatino Linotype" w:cs="Palatino Linotype"/>
          <w:sz w:val="8"/>
          <w:szCs w:val="8"/>
        </w:rPr>
      </w:pPr>
    </w:p>
    <w:p w:rsidR="00506093" w:rsidRDefault="008B4AB8">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 xml:space="preserve">“La negativa del Ayuntamiento de </w:t>
      </w:r>
      <w:proofErr w:type="spellStart"/>
      <w:r>
        <w:rPr>
          <w:rFonts w:ascii="Palatino Linotype" w:eastAsia="Palatino Linotype" w:hAnsi="Palatino Linotype" w:cs="Palatino Linotype"/>
          <w:i/>
          <w:color w:val="000000"/>
        </w:rPr>
        <w:t>Calimaya</w:t>
      </w:r>
      <w:proofErr w:type="spellEnd"/>
      <w:r>
        <w:rPr>
          <w:rFonts w:ascii="Palatino Linotype" w:eastAsia="Palatino Linotype" w:hAnsi="Palatino Linotype" w:cs="Palatino Linotype"/>
          <w:i/>
          <w:color w:val="000000"/>
        </w:rPr>
        <w:t xml:space="preserve"> a entregarme la información solicitada, en este caso la </w:t>
      </w:r>
      <w:proofErr w:type="spellStart"/>
      <w:r>
        <w:rPr>
          <w:rFonts w:ascii="Palatino Linotype" w:eastAsia="Palatino Linotype" w:hAnsi="Palatino Linotype" w:cs="Palatino Linotype"/>
          <w:i/>
          <w:color w:val="000000"/>
        </w:rPr>
        <w:t>nomina</w:t>
      </w:r>
      <w:proofErr w:type="spellEnd"/>
      <w:r>
        <w:rPr>
          <w:rFonts w:ascii="Palatino Linotype" w:eastAsia="Palatino Linotype" w:hAnsi="Palatino Linotype" w:cs="Palatino Linotype"/>
          <w:i/>
          <w:color w:val="000000"/>
        </w:rPr>
        <w:t xml:space="preserve"> en versión digital de la que</w:t>
      </w:r>
      <w:r>
        <w:rPr>
          <w:rFonts w:ascii="Palatino Linotype" w:eastAsia="Palatino Linotype" w:hAnsi="Palatino Linotype" w:cs="Palatino Linotype"/>
          <w:i/>
          <w:color w:val="000000"/>
        </w:rPr>
        <w:t xml:space="preserve"> se desprenden los trabajadores tanto de </w:t>
      </w:r>
      <w:proofErr w:type="spellStart"/>
      <w:r>
        <w:rPr>
          <w:rFonts w:ascii="Palatino Linotype" w:eastAsia="Palatino Linotype" w:hAnsi="Palatino Linotype" w:cs="Palatino Linotype"/>
          <w:i/>
          <w:color w:val="000000"/>
        </w:rPr>
        <w:t>nomina</w:t>
      </w:r>
      <w:proofErr w:type="spellEnd"/>
      <w:r>
        <w:rPr>
          <w:rFonts w:ascii="Palatino Linotype" w:eastAsia="Palatino Linotype" w:hAnsi="Palatino Linotype" w:cs="Palatino Linotype"/>
          <w:i/>
          <w:color w:val="000000"/>
        </w:rPr>
        <w:t xml:space="preserve"> como aquellos que están en </w:t>
      </w:r>
      <w:proofErr w:type="spellStart"/>
      <w:r>
        <w:rPr>
          <w:rFonts w:ascii="Palatino Linotype" w:eastAsia="Palatino Linotype" w:hAnsi="Palatino Linotype" w:cs="Palatino Linotype"/>
          <w:i/>
          <w:color w:val="000000"/>
        </w:rPr>
        <w:t>gratificicación</w:t>
      </w:r>
      <w:proofErr w:type="spellEnd"/>
      <w:r>
        <w:rPr>
          <w:rFonts w:ascii="Palatino Linotype" w:eastAsia="Palatino Linotype" w:hAnsi="Palatino Linotype" w:cs="Palatino Linotype"/>
          <w:i/>
          <w:color w:val="000000"/>
        </w:rPr>
        <w:t>.” (Sic)</w:t>
      </w:r>
    </w:p>
    <w:p w:rsidR="00506093" w:rsidRDefault="00506093">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rPr>
      </w:pPr>
    </w:p>
    <w:p w:rsidR="00506093" w:rsidRDefault="008B4AB8">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Razones o motivos de la inconformidad: </w:t>
      </w:r>
      <w:r>
        <w:rPr>
          <w:rFonts w:ascii="Palatino Linotype" w:eastAsia="Palatino Linotype" w:hAnsi="Palatino Linotype" w:cs="Palatino Linotype"/>
          <w:i/>
          <w:color w:val="000000"/>
        </w:rPr>
        <w:t>“La información de las percepciones de los servidores públicos debe ser pública, pues se paga con los impuestos que pagamos los ciudadanos.” (Sic)</w:t>
      </w:r>
    </w:p>
    <w:p w:rsidR="00506093" w:rsidRDefault="00506093">
      <w:pPr>
        <w:spacing w:line="360" w:lineRule="auto"/>
        <w:jc w:val="both"/>
        <w:rPr>
          <w:rFonts w:ascii="Palatino Linotype" w:eastAsia="Palatino Linotype" w:hAnsi="Palatino Linotype" w:cs="Palatino Linotype"/>
        </w:rPr>
      </w:pPr>
    </w:p>
    <w:p w:rsidR="00506093" w:rsidRDefault="008B4AB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de las constancias que obran en el expediente electrónico aperturado con motivo del presente medio de i</w:t>
      </w:r>
      <w:r>
        <w:rPr>
          <w:rFonts w:ascii="Palatino Linotype" w:eastAsia="Palatino Linotype" w:hAnsi="Palatino Linotype" w:cs="Palatino Linotype"/>
        </w:rPr>
        <w:t xml:space="preserve">mpugnación, se advierte que durante el periodo de manifestaciones el </w:t>
      </w:r>
      <w:r>
        <w:rPr>
          <w:rFonts w:ascii="Palatino Linotype" w:eastAsia="Palatino Linotype" w:hAnsi="Palatino Linotype" w:cs="Palatino Linotype"/>
          <w:b/>
        </w:rPr>
        <w:lastRenderedPageBreak/>
        <w:t xml:space="preserve">Sujeto Obligado </w:t>
      </w:r>
      <w:r>
        <w:rPr>
          <w:rFonts w:ascii="Palatino Linotype" w:eastAsia="Palatino Linotype" w:hAnsi="Palatino Linotype" w:cs="Palatino Linotype"/>
        </w:rPr>
        <w:t xml:space="preserve">fue omiso en rendir su informe justificado y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hacer valer manifestaciones que a su derecho resultaran convenientes.</w:t>
      </w:r>
    </w:p>
    <w:p w:rsidR="00506093" w:rsidRDefault="008B4AB8">
      <w:pPr>
        <w:spacing w:after="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rPr>
        <w:t>Así las cosas, el Pleno de este I</w:t>
      </w:r>
      <w:r>
        <w:rPr>
          <w:rFonts w:ascii="Palatino Linotype" w:eastAsia="Palatino Linotype" w:hAnsi="Palatino Linotype" w:cs="Palatino Linotype"/>
        </w:rPr>
        <w:t xml:space="preserve">nstituto </w:t>
      </w:r>
      <w:proofErr w:type="gramStart"/>
      <w:r>
        <w:rPr>
          <w:rFonts w:ascii="Palatino Linotype" w:eastAsia="Palatino Linotype" w:hAnsi="Palatino Linotype" w:cs="Palatino Linotype"/>
        </w:rPr>
        <w:t>consideró</w:t>
      </w:r>
      <w:proofErr w:type="gramEnd"/>
      <w:r>
        <w:rPr>
          <w:rFonts w:ascii="Palatino Linotype" w:eastAsia="Palatino Linotype" w:hAnsi="Palatino Linotype" w:cs="Palatino Linotype"/>
        </w:rPr>
        <w:t xml:space="preserve">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resultaban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506093" w:rsidRDefault="00506093">
      <w:pPr>
        <w:spacing w:after="0" w:line="276" w:lineRule="auto"/>
        <w:ind w:left="567" w:right="616"/>
        <w:jc w:val="both"/>
        <w:rPr>
          <w:rFonts w:ascii="Palatino Linotype" w:eastAsia="Palatino Linotype" w:hAnsi="Palatino Linotype" w:cs="Palatino Linotype"/>
          <w:b/>
          <w:i/>
          <w:sz w:val="20"/>
          <w:szCs w:val="20"/>
        </w:rPr>
      </w:pPr>
    </w:p>
    <w:p w:rsidR="00506093" w:rsidRDefault="008B4AB8">
      <w:pPr>
        <w:spacing w:after="0" w:line="276"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“Primero. </w:t>
      </w:r>
      <w:r>
        <w:rPr>
          <w:rFonts w:ascii="Palatino Linotype" w:eastAsia="Palatino Linotype" w:hAnsi="Palatino Linotype" w:cs="Palatino Linotype"/>
          <w:i/>
          <w:sz w:val="20"/>
          <w:szCs w:val="20"/>
        </w:rPr>
        <w:t xml:space="preserve">Resultan fundados los motivos de inconformidad hechos valer por la parte </w:t>
      </w:r>
      <w:r>
        <w:rPr>
          <w:rFonts w:ascii="Palatino Linotype" w:eastAsia="Palatino Linotype" w:hAnsi="Palatino Linotype" w:cs="Palatino Linotype"/>
          <w:b/>
          <w:i/>
          <w:sz w:val="20"/>
          <w:szCs w:val="20"/>
        </w:rPr>
        <w:t>Recurrente</w:t>
      </w:r>
      <w:r>
        <w:rPr>
          <w:rFonts w:ascii="Palatino Linotype" w:eastAsia="Palatino Linotype" w:hAnsi="Palatino Linotype" w:cs="Palatino Linotype"/>
          <w:i/>
          <w:sz w:val="20"/>
          <w:szCs w:val="20"/>
        </w:rPr>
        <w:t xml:space="preserve"> en el Recurso de Revisión </w:t>
      </w:r>
      <w:r>
        <w:rPr>
          <w:rFonts w:ascii="Palatino Linotype" w:eastAsia="Palatino Linotype" w:hAnsi="Palatino Linotype" w:cs="Palatino Linotype"/>
          <w:b/>
          <w:i/>
          <w:sz w:val="20"/>
          <w:szCs w:val="20"/>
        </w:rPr>
        <w:t xml:space="preserve">00734/INFOEM/IP/RR/2024, </w:t>
      </w:r>
      <w:r>
        <w:rPr>
          <w:rFonts w:ascii="Palatino Linotype" w:eastAsia="Palatino Linotype" w:hAnsi="Palatino Linotype" w:cs="Palatino Linotype"/>
          <w:i/>
          <w:sz w:val="20"/>
          <w:szCs w:val="20"/>
        </w:rPr>
        <w:t xml:space="preserve">por lo que, en términos del considerando </w:t>
      </w: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 xml:space="preserve">de esta resolución, se </w:t>
      </w:r>
      <w:r>
        <w:rPr>
          <w:rFonts w:ascii="Palatino Linotype" w:eastAsia="Palatino Linotype" w:hAnsi="Palatino Linotype" w:cs="Palatino Linotype"/>
          <w:b/>
          <w:i/>
          <w:sz w:val="20"/>
          <w:szCs w:val="20"/>
        </w:rPr>
        <w:t xml:space="preserve">Modifica </w:t>
      </w:r>
      <w:r>
        <w:rPr>
          <w:rFonts w:ascii="Palatino Linotype" w:eastAsia="Palatino Linotype" w:hAnsi="Palatino Linotype" w:cs="Palatino Linotype"/>
          <w:i/>
          <w:sz w:val="20"/>
          <w:szCs w:val="20"/>
        </w:rPr>
        <w:t xml:space="preserve">la respuesta emitida por el </w:t>
      </w:r>
      <w:r>
        <w:rPr>
          <w:rFonts w:ascii="Palatino Linotype" w:eastAsia="Palatino Linotype" w:hAnsi="Palatino Linotype" w:cs="Palatino Linotype"/>
          <w:b/>
          <w:i/>
          <w:sz w:val="20"/>
          <w:szCs w:val="20"/>
        </w:rPr>
        <w:t>Sujeto Obliga</w:t>
      </w:r>
      <w:r>
        <w:rPr>
          <w:rFonts w:ascii="Palatino Linotype" w:eastAsia="Palatino Linotype" w:hAnsi="Palatino Linotype" w:cs="Palatino Linotype"/>
          <w:b/>
          <w:i/>
          <w:sz w:val="20"/>
          <w:szCs w:val="20"/>
        </w:rPr>
        <w:t>do</w:t>
      </w:r>
      <w:r>
        <w:rPr>
          <w:rFonts w:ascii="Palatino Linotype" w:eastAsia="Palatino Linotype" w:hAnsi="Palatino Linotype" w:cs="Palatino Linotype"/>
          <w:i/>
          <w:sz w:val="20"/>
          <w:szCs w:val="20"/>
        </w:rPr>
        <w:t>.</w:t>
      </w:r>
    </w:p>
    <w:p w:rsidR="00506093" w:rsidRDefault="00506093">
      <w:pPr>
        <w:spacing w:after="0" w:line="276" w:lineRule="auto"/>
        <w:ind w:left="567" w:right="616"/>
        <w:jc w:val="both"/>
        <w:rPr>
          <w:rFonts w:ascii="Palatino Linotype" w:eastAsia="Palatino Linotype" w:hAnsi="Palatino Linotype" w:cs="Palatino Linotype"/>
          <w:i/>
          <w:sz w:val="20"/>
          <w:szCs w:val="20"/>
        </w:rPr>
      </w:pPr>
    </w:p>
    <w:p w:rsidR="00506093" w:rsidRDefault="008B4AB8">
      <w:pPr>
        <w:spacing w:after="0" w:line="276"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Se </w:t>
      </w:r>
      <w:r>
        <w:rPr>
          <w:rFonts w:ascii="Palatino Linotype" w:eastAsia="Palatino Linotype" w:hAnsi="Palatino Linotype" w:cs="Palatino Linotype"/>
          <w:b/>
          <w:i/>
          <w:sz w:val="20"/>
          <w:szCs w:val="20"/>
        </w:rPr>
        <w:t>ordena</w:t>
      </w:r>
      <w:r>
        <w:rPr>
          <w:rFonts w:ascii="Palatino Linotype" w:eastAsia="Palatino Linotype" w:hAnsi="Palatino Linotype" w:cs="Palatino Linotype"/>
          <w:i/>
          <w:sz w:val="20"/>
          <w:szCs w:val="20"/>
        </w:rPr>
        <w:t xml:space="preserve"> al </w:t>
      </w:r>
      <w:r>
        <w:rPr>
          <w:rFonts w:ascii="Palatino Linotype" w:eastAsia="Palatino Linotype" w:hAnsi="Palatino Linotype" w:cs="Palatino Linotype"/>
          <w:b/>
          <w:i/>
          <w:sz w:val="20"/>
          <w:szCs w:val="20"/>
        </w:rPr>
        <w:t>Sujeto Obligado</w:t>
      </w:r>
      <w:r>
        <w:rPr>
          <w:rFonts w:ascii="Palatino Linotype" w:eastAsia="Palatino Linotype" w:hAnsi="Palatino Linotype" w:cs="Palatino Linotype"/>
          <w:i/>
          <w:sz w:val="20"/>
          <w:szCs w:val="20"/>
        </w:rPr>
        <w:t xml:space="preserve"> que, en términos de los Considerandos </w:t>
      </w:r>
      <w:r>
        <w:rPr>
          <w:rFonts w:ascii="Palatino Linotype" w:eastAsia="Palatino Linotype" w:hAnsi="Palatino Linotype" w:cs="Palatino Linotype"/>
          <w:b/>
          <w:i/>
          <w:sz w:val="20"/>
          <w:szCs w:val="20"/>
        </w:rPr>
        <w:t>Cuarto y Quinto</w:t>
      </w:r>
      <w:r>
        <w:rPr>
          <w:rFonts w:ascii="Palatino Linotype" w:eastAsia="Palatino Linotype" w:hAnsi="Palatino Linotype" w:cs="Palatino Linotype"/>
          <w:i/>
          <w:sz w:val="20"/>
          <w:szCs w:val="20"/>
        </w:rPr>
        <w:t>, haga entrega vía Sistema de Acceso a la Información Mexiquense, lo siguiente:</w:t>
      </w:r>
    </w:p>
    <w:p w:rsidR="00506093" w:rsidRDefault="00506093">
      <w:pPr>
        <w:spacing w:after="0" w:line="276" w:lineRule="auto"/>
        <w:ind w:left="567" w:right="616"/>
        <w:jc w:val="both"/>
        <w:rPr>
          <w:rFonts w:ascii="Palatino Linotype" w:eastAsia="Palatino Linotype" w:hAnsi="Palatino Linotype" w:cs="Palatino Linotype"/>
          <w:i/>
          <w:sz w:val="20"/>
          <w:szCs w:val="20"/>
        </w:rPr>
      </w:pPr>
    </w:p>
    <w:p w:rsidR="00506093" w:rsidRDefault="008B4AB8">
      <w:pPr>
        <w:numPr>
          <w:ilvl w:val="0"/>
          <w:numId w:val="3"/>
        </w:numPr>
        <w:spacing w:after="0" w:line="276" w:lineRule="auto"/>
        <w:ind w:left="993"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De manera completa y en versión pública correcta, la conciliación de nómina de la segunda quincena del mes de septiembre de dos mil veintitrés entregada en respuesta, que incluya la información de los servidores públicos adscritos a las unidades administra</w:t>
      </w:r>
      <w:r>
        <w:rPr>
          <w:rFonts w:ascii="Palatino Linotype" w:eastAsia="Palatino Linotype" w:hAnsi="Palatino Linotype" w:cs="Palatino Linotype"/>
          <w:b/>
          <w:i/>
          <w:sz w:val="20"/>
          <w:szCs w:val="20"/>
        </w:rPr>
        <w:t>tivas faltantes.</w:t>
      </w:r>
    </w:p>
    <w:p w:rsidR="00506093" w:rsidRDefault="00506093">
      <w:pPr>
        <w:spacing w:after="0" w:line="276" w:lineRule="auto"/>
        <w:ind w:left="567" w:right="616"/>
        <w:jc w:val="both"/>
        <w:rPr>
          <w:rFonts w:ascii="Palatino Linotype" w:eastAsia="Palatino Linotype" w:hAnsi="Palatino Linotype" w:cs="Palatino Linotype"/>
          <w:i/>
          <w:sz w:val="20"/>
          <w:szCs w:val="20"/>
        </w:rPr>
      </w:pPr>
    </w:p>
    <w:p w:rsidR="00506093" w:rsidRDefault="008B4AB8">
      <w:pPr>
        <w:spacing w:after="0" w:line="276"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Para la entrega en versión pública, deberá emitir el Acuerdo del Comité de Transparencia en términos de la Ley de Transparencia y Acceso a la Información Pública del Estado de México y Municipios, en el que funde y motive las razones sobr</w:t>
      </w:r>
      <w:r>
        <w:rPr>
          <w:rFonts w:ascii="Palatino Linotype" w:eastAsia="Palatino Linotype" w:hAnsi="Palatino Linotype" w:cs="Palatino Linotype"/>
          <w:i/>
          <w:sz w:val="20"/>
          <w:szCs w:val="20"/>
        </w:rPr>
        <w:t xml:space="preserve">e los datos que se supriman o eliminen y se ponga a disposición de </w:t>
      </w:r>
      <w:r>
        <w:rPr>
          <w:rFonts w:ascii="Palatino Linotype" w:eastAsia="Palatino Linotype" w:hAnsi="Palatino Linotype" w:cs="Palatino Linotype"/>
          <w:b/>
          <w:i/>
          <w:sz w:val="20"/>
          <w:szCs w:val="20"/>
        </w:rPr>
        <w:t>la parte Recurrente</w:t>
      </w:r>
      <w:proofErr w:type="gramStart"/>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w:t>
      </w:r>
      <w:proofErr w:type="gramEnd"/>
      <w:r>
        <w:rPr>
          <w:rFonts w:ascii="Palatino Linotype" w:eastAsia="Palatino Linotype" w:hAnsi="Palatino Linotype" w:cs="Palatino Linotype"/>
          <w:i/>
          <w:color w:val="000000"/>
          <w:sz w:val="20"/>
          <w:szCs w:val="20"/>
        </w:rPr>
        <w:t>…]”</w:t>
      </w:r>
    </w:p>
    <w:p w:rsidR="00506093" w:rsidRDefault="00506093">
      <w:pPr>
        <w:spacing w:after="0" w:line="360" w:lineRule="auto"/>
        <w:ind w:right="-6"/>
        <w:jc w:val="both"/>
        <w:rPr>
          <w:rFonts w:ascii="Palatino Linotype" w:eastAsia="Palatino Linotype" w:hAnsi="Palatino Linotype" w:cs="Palatino Linotype"/>
        </w:rPr>
      </w:pPr>
    </w:p>
    <w:p w:rsidR="00506093" w:rsidRDefault="008B4AB8">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orden de ideas, resulta importante señalar que coincido con los términos generales planteados en la Resolución toda vez que por regla general, los nombres de los servidores públicos en el ejercicio de la función pública, se encuentran establecidas </w:t>
      </w:r>
      <w:r>
        <w:rPr>
          <w:rFonts w:ascii="Palatino Linotype" w:eastAsia="Palatino Linotype" w:hAnsi="Palatino Linotype" w:cs="Palatino Linotype"/>
        </w:rPr>
        <w:t xml:space="preserve">como una obligación de transparencia común, tanto en la Ley General como en la Ley Local, y de </w:t>
      </w:r>
      <w:r>
        <w:rPr>
          <w:rFonts w:ascii="Palatino Linotype" w:eastAsia="Palatino Linotype" w:hAnsi="Palatino Linotype" w:cs="Palatino Linotype"/>
        </w:rPr>
        <w:lastRenderedPageBreak/>
        <w:t>manera específica, el artículo 92, fracción VII de la Ley de Transparencia y Acceso a la Información Pública del Estado de México y Municipios; no obstante lo an</w:t>
      </w:r>
      <w:r>
        <w:rPr>
          <w:rFonts w:ascii="Palatino Linotype" w:eastAsia="Palatino Linotype" w:hAnsi="Palatino Linotype" w:cs="Palatino Linotype"/>
        </w:rPr>
        <w:t>terior, considero que dicha regla está sujeta a claro régimen de excepción, la cual concretamente se aprecia en el caso del personal que se encuentra adscrito a instituciones de seguridad pública con funciones operativas en atención a los consideraciones q</w:t>
      </w:r>
      <w:r>
        <w:rPr>
          <w:rFonts w:ascii="Palatino Linotype" w:eastAsia="Palatino Linotype" w:hAnsi="Palatino Linotype" w:cs="Palatino Linotype"/>
        </w:rPr>
        <w:t xml:space="preserve">ue a continuación se exponen. </w:t>
      </w:r>
    </w:p>
    <w:p w:rsidR="00506093" w:rsidRDefault="00506093">
      <w:pPr>
        <w:spacing w:after="0" w:line="360" w:lineRule="auto"/>
        <w:jc w:val="both"/>
        <w:rPr>
          <w:rFonts w:ascii="Palatino Linotype" w:eastAsia="Palatino Linotype" w:hAnsi="Palatino Linotype" w:cs="Palatino Linotype"/>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este punto, debemos partir desde la máxima establecida en nuestro texto Constitucional Federal pues el artículo 21 en su párrafo noveno reconoce que la seguridad pública es una función del Estado a cargo de la Federaci</w:t>
      </w:r>
      <w:r>
        <w:rPr>
          <w:rFonts w:ascii="Palatino Linotype" w:eastAsia="Palatino Linotype" w:hAnsi="Palatino Linotype" w:cs="Palatino Linotype"/>
          <w:sz w:val="24"/>
          <w:szCs w:val="24"/>
        </w:rPr>
        <w:t xml:space="preserve">ón, las Entidades Federativas y </w:t>
      </w:r>
      <w:r>
        <w:rPr>
          <w:rFonts w:ascii="Palatino Linotype" w:eastAsia="Palatino Linotype" w:hAnsi="Palatino Linotype" w:cs="Palatino Linotype"/>
          <w:b/>
          <w:sz w:val="24"/>
          <w:szCs w:val="24"/>
        </w:rPr>
        <w:t>los Municipios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sz w:val="24"/>
          <w:szCs w:val="24"/>
        </w:rPr>
        <w:t xml:space="preserve">. </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señala qu</w:t>
      </w:r>
      <w:r>
        <w:rPr>
          <w:rFonts w:ascii="Palatino Linotype" w:eastAsia="Palatino Linotype" w:hAnsi="Palatino Linotype" w:cs="Palatino Linotype"/>
          <w:sz w:val="24"/>
          <w:szCs w:val="24"/>
        </w:rPr>
        <w:t>e la actuación de las instituciones de seguridad pública se regirá por los principios de legalidad, objetividad, eficiencia, profesionalismo, honradez y respeto a los derechos humanos.</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Dicha circunstancia es replicada por la Ley de Seguridad del Estado de</w:t>
      </w:r>
      <w:r>
        <w:rPr>
          <w:rFonts w:ascii="Palatino Linotype" w:eastAsia="Palatino Linotype" w:hAnsi="Palatino Linotype" w:cs="Palatino Linotype"/>
          <w:sz w:val="24"/>
          <w:szCs w:val="24"/>
        </w:rPr>
        <w:t xml:space="preserve"> México en su artículo 1, fracciones II, III y V, las cuales señalan que dicho ordenamiento es de orden público, de interés social y de observancia general en todo el territorio del Estado de México y tiene por objeto establecer las bases de coordinación d</w:t>
      </w:r>
      <w:r>
        <w:rPr>
          <w:rFonts w:ascii="Palatino Linotype" w:eastAsia="Palatino Linotype" w:hAnsi="Palatino Linotype" w:cs="Palatino Linotype"/>
          <w:sz w:val="24"/>
          <w:szCs w:val="24"/>
        </w:rPr>
        <w:t xml:space="preserve">el Estado y los Municipios con la Federación, las Entidades Federativas, Municipios y Alcaldías de la Ciudad de México; integrar el Sistema Estatal de Seguridad Pública, </w:t>
      </w:r>
      <w:r>
        <w:rPr>
          <w:rFonts w:ascii="Palatino Linotype" w:eastAsia="Palatino Linotype" w:hAnsi="Palatino Linotype" w:cs="Palatino Linotype"/>
          <w:sz w:val="24"/>
          <w:szCs w:val="24"/>
        </w:rPr>
        <w:lastRenderedPageBreak/>
        <w:t>que a su vez contribuirá con el Sistema Nacional de Seguridad Pública; para la constru</w:t>
      </w:r>
      <w:r>
        <w:rPr>
          <w:rFonts w:ascii="Palatino Linotype" w:eastAsia="Palatino Linotype" w:hAnsi="Palatino Linotype" w:cs="Palatino Linotype"/>
          <w:sz w:val="24"/>
          <w:szCs w:val="24"/>
        </w:rPr>
        <w:t>cción de las bases para una plena seguridad ciudadana.</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eje central a la persona humana y, por ende, contribuyen al establecimiento de la seguridad ciudadana, la cual tie</w:t>
      </w:r>
      <w:r>
        <w:rPr>
          <w:rFonts w:ascii="Palatino Linotype" w:eastAsia="Palatino Linotype" w:hAnsi="Palatino Linotype" w:cs="Palatino Linotype"/>
          <w:sz w:val="24"/>
          <w:szCs w:val="24"/>
        </w:rPr>
        <w:t xml:space="preserve">ne por objeto proteger a las personas; asegurar el ejercicio de su ciudadanía, sus libertades y derechos fundamentales; establecer espacios de participación social corresponsable y armónica; propiciar la solución pacífica de los conflictos interpersonales </w:t>
      </w:r>
      <w:r>
        <w:rPr>
          <w:rFonts w:ascii="Palatino Linotype" w:eastAsia="Palatino Linotype" w:hAnsi="Palatino Linotype" w:cs="Palatino Linotype"/>
          <w:sz w:val="24"/>
          <w:szCs w:val="24"/>
        </w:rPr>
        <w:t>y sociales; fortalecer a las instituciones, y propiciar condiciones durables que permitan a los ciudadanos desarrollar sus capacidades, en un ambiente de paz y democracia.</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acreditado el objeto de la seguridad pública, así como los sujetos encargad</w:t>
      </w:r>
      <w:r>
        <w:rPr>
          <w:rFonts w:ascii="Palatino Linotype" w:eastAsia="Palatino Linotype" w:hAnsi="Palatino Linotype" w:cs="Palatino Linotype"/>
          <w:sz w:val="24"/>
          <w:szCs w:val="24"/>
        </w:rPr>
        <w:t>os de ejecutar las acciones para consumar esta función, podemos observar con claridad la importancia de los elementos operativos que ejecutan estas acciones encaminadas a preservar el orden dentro de la dinámica social y podemos partir de este punto para d</w:t>
      </w:r>
      <w:r>
        <w:rPr>
          <w:rFonts w:ascii="Palatino Linotype" w:eastAsia="Palatino Linotype" w:hAnsi="Palatino Linotype" w:cs="Palatino Linotype"/>
          <w:sz w:val="24"/>
          <w:szCs w:val="24"/>
        </w:rPr>
        <w:t xml:space="preserve">eterminar el riesgo de la divulgación de esta información y por ende, la procedencia de su clasificación como información reservada. </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momento podemos vislumbrar que el artículo 81, fracción II de la Ley de Seguridad del Estado de México dispone </w:t>
      </w:r>
      <w:r>
        <w:rPr>
          <w:rFonts w:ascii="Palatino Linotype" w:eastAsia="Palatino Linotype" w:hAnsi="Palatino Linotype" w:cs="Palatino Linotype"/>
          <w:sz w:val="24"/>
          <w:szCs w:val="24"/>
        </w:rPr>
        <w:t xml:space="preserve">de manera expresa que toda información para la seguridad pública generada o en poder de Instituciones de Seguridad Pública </w:t>
      </w:r>
      <w:r>
        <w:rPr>
          <w:rFonts w:ascii="Palatino Linotype" w:eastAsia="Palatino Linotype" w:hAnsi="Palatino Linotype" w:cs="Palatino Linotype"/>
          <w:sz w:val="24"/>
          <w:szCs w:val="24"/>
        </w:rPr>
        <w:lastRenderedPageBreak/>
        <w:t>o de cualquier instancia del Sistema Estatal debe clasificarse, sirve de referencia la siguiente cita:</w:t>
      </w:r>
    </w:p>
    <w:p w:rsidR="00506093" w:rsidRDefault="008B4AB8">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w:t>
      </w:r>
      <w:r>
        <w:rPr>
          <w:rFonts w:ascii="Palatino Linotype" w:eastAsia="Palatino Linotype" w:hAnsi="Palatino Linotype" w:cs="Palatino Linotype"/>
          <w:i/>
        </w:rPr>
        <w:t>n para la seguridad pública generada o en poder de Instituciones de Seguridad Pública o de cualquier instancia del Sistema Estatal debe registrarse, clasificarse y tratarse de conformidad con las disposiciones aplicables. No obstante lo anterior, esta info</w:t>
      </w:r>
      <w:r>
        <w:rPr>
          <w:rFonts w:ascii="Palatino Linotype" w:eastAsia="Palatino Linotype" w:hAnsi="Palatino Linotype" w:cs="Palatino Linotype"/>
          <w:i/>
        </w:rPr>
        <w:t>rmación se considerará reservada en los casos siguientes:</w:t>
      </w:r>
    </w:p>
    <w:p w:rsidR="00506093" w:rsidRDefault="008B4AB8">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506093" w:rsidRDefault="008B4AB8">
      <w:pP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506093" w:rsidRDefault="00506093">
      <w:pPr>
        <w:spacing w:after="0" w:line="360" w:lineRule="auto"/>
        <w:ind w:left="567" w:right="990"/>
        <w:jc w:val="both"/>
        <w:rPr>
          <w:rFonts w:ascii="Palatino Linotype" w:eastAsia="Palatino Linotype" w:hAnsi="Palatino Linotype" w:cs="Palatino Linotype"/>
          <w:b/>
          <w:i/>
          <w:u w:val="single"/>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disposición norma</w:t>
      </w:r>
      <w:r>
        <w:rPr>
          <w:rFonts w:ascii="Palatino Linotype" w:eastAsia="Palatino Linotype" w:hAnsi="Palatino Linotype" w:cs="Palatino Linotype"/>
          <w:sz w:val="24"/>
          <w:szCs w:val="24"/>
        </w:rPr>
        <w:t>tiva, la Ley General de Transparencia y Acceso a la Información Pública, en su artículo 113, fracción I señala que deberá reservarse la información que con su publicación se comprometa a la seguridad pública y cuente con un efecto demostrable, posteriormen</w:t>
      </w:r>
      <w:r>
        <w:rPr>
          <w:rFonts w:ascii="Palatino Linotype" w:eastAsia="Palatino Linotype" w:hAnsi="Palatino Linotype" w:cs="Palatino Linotype"/>
          <w:sz w:val="24"/>
          <w:szCs w:val="24"/>
        </w:rPr>
        <w:t xml:space="preserve">te el artículo 140 fracción I de la Ley de Transparencia Local replica esta circunstancia de reserva, que señalan: </w:t>
      </w:r>
    </w:p>
    <w:p w:rsidR="00506093" w:rsidRDefault="00506093">
      <w:pPr>
        <w:tabs>
          <w:tab w:val="left" w:pos="284"/>
        </w:tabs>
        <w:spacing w:after="0" w:line="240" w:lineRule="auto"/>
        <w:ind w:left="567" w:right="709"/>
        <w:jc w:val="both"/>
        <w:rPr>
          <w:rFonts w:ascii="Palatino Linotype" w:eastAsia="Palatino Linotype" w:hAnsi="Palatino Linotype" w:cs="Palatino Linotype"/>
          <w:i/>
        </w:rPr>
      </w:pPr>
    </w:p>
    <w:p w:rsidR="00506093" w:rsidRDefault="008B4AB8">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506093" w:rsidRDefault="008B4AB8">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506093" w:rsidRDefault="008B4AB8">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506093" w:rsidRDefault="008B4AB8">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506093" w:rsidRDefault="008B4AB8">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506093" w:rsidRDefault="008B4AB8">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pública y cuente con un propósito genuino y un efecto demostrable</w:t>
      </w:r>
      <w:r>
        <w:rPr>
          <w:rFonts w:ascii="Palatino Linotype" w:eastAsia="Palatino Linotype" w:hAnsi="Palatino Linotype" w:cs="Palatino Linotype"/>
          <w:i/>
        </w:rPr>
        <w:t>;”</w:t>
      </w: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Lineamientos Generales en Materia de Clasificación y Desclasificación de la Información, así como para la Elaboración de Versiones Púb</w:t>
      </w:r>
      <w:r>
        <w:rPr>
          <w:rFonts w:ascii="Palatino Linotype" w:eastAsia="Palatino Linotype" w:hAnsi="Palatino Linotype" w:cs="Palatino Linotype"/>
          <w:sz w:val="24"/>
          <w:szCs w:val="24"/>
        </w:rPr>
        <w:t>licas, publicados el 16 de abril de 2016 y reformados el 18 de noviembre de 2022 señalan en su numeral décimo octavo que podrá considerarse como información reservada, aquella que comprometa la seguridad pública, al poner en peligro las funciones a cargo d</w:t>
      </w:r>
      <w:r>
        <w:rPr>
          <w:rFonts w:ascii="Palatino Linotype" w:eastAsia="Palatino Linotype" w:hAnsi="Palatino Linotype" w:cs="Palatino Linotype"/>
          <w:sz w:val="24"/>
          <w:szCs w:val="24"/>
        </w:rPr>
        <w:t>e la Federación, la Ciudad de México, los Estados y los Municipios, tendientes a preservar y resguardar la vida, la salud, la integridad y el ejercicio de los derechos de las personas, así como para el mantenimiento del orden público.</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crucial señalar q</w:t>
      </w:r>
      <w:r>
        <w:rPr>
          <w:rFonts w:ascii="Palatino Linotype" w:eastAsia="Palatino Linotype" w:hAnsi="Palatino Linotype" w:cs="Palatino Linotype"/>
          <w:sz w:val="24"/>
          <w:szCs w:val="24"/>
        </w:rPr>
        <w:t xml:space="preserve">ue estos Lineamientos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w:t>
      </w:r>
      <w:r>
        <w:rPr>
          <w:rFonts w:ascii="Palatino Linotype" w:eastAsia="Palatino Linotype" w:hAnsi="Palatino Linotype" w:cs="Palatino Linotype"/>
          <w:sz w:val="24"/>
          <w:szCs w:val="24"/>
        </w:rPr>
        <w:t>ecnología, información, sistemas de comunicaciones.</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Hasta este punto tenemos que los instrumentos normativos que debemos observar en estricto sentido disponen puntualmente la reserva de información para los casos en los que se revele información que pueda</w:t>
      </w:r>
      <w:r>
        <w:rPr>
          <w:rFonts w:ascii="Palatino Linotype" w:eastAsia="Palatino Linotype" w:hAnsi="Palatino Linotype" w:cs="Palatino Linotype"/>
          <w:sz w:val="24"/>
          <w:szCs w:val="24"/>
        </w:rPr>
        <w:t xml:space="preserve"> ser empleada para conocer la capacidad de reacción, es decir, todo lo relativo a servidores públicos operativos que integran las instituciones de seguridad pública, ya que su divulgación podría ser utilizada </w:t>
      </w:r>
      <w:r>
        <w:rPr>
          <w:rFonts w:ascii="Palatino Linotype" w:eastAsia="Palatino Linotype" w:hAnsi="Palatino Linotype" w:cs="Palatino Linotype"/>
          <w:sz w:val="24"/>
          <w:szCs w:val="24"/>
        </w:rPr>
        <w:lastRenderedPageBreak/>
        <w:t>para actualizar o potenciar una amenaza para la</w:t>
      </w:r>
      <w:r>
        <w:rPr>
          <w:rFonts w:ascii="Palatino Linotype" w:eastAsia="Palatino Linotype" w:hAnsi="Palatino Linotype" w:cs="Palatino Linotype"/>
          <w:sz w:val="24"/>
          <w:szCs w:val="24"/>
        </w:rPr>
        <w:t xml:space="preserve"> seguridad pública de la sociedad; teniendo esto en cuenta y trasladando estas premisas al caso particular se estima que con la entrega de información de los servidores públicos con funciones operativas adscritos a instituciones de seguridad pública, revel</w:t>
      </w:r>
      <w:r>
        <w:rPr>
          <w:rFonts w:ascii="Palatino Linotype" w:eastAsia="Palatino Linotype" w:hAnsi="Palatino Linotype" w:cs="Palatino Linotype"/>
          <w:sz w:val="24"/>
          <w:szCs w:val="24"/>
        </w:rPr>
        <w:t>a información actualizada sobre el número de policías operativos en activo a la fecha de la solicitud de información y en consecuencia su estado de fuerza vigente, lo cual no sólo contraviene lo dispuesto expresamente por las disposiciones previamente inse</w:t>
      </w:r>
      <w:r>
        <w:rPr>
          <w:rFonts w:ascii="Palatino Linotype" w:eastAsia="Palatino Linotype" w:hAnsi="Palatino Linotype" w:cs="Palatino Linotype"/>
          <w:sz w:val="24"/>
          <w:szCs w:val="24"/>
        </w:rPr>
        <w:t>rtadas, sino que, además, pone en riesgo los valores jurídicos y los principios bajo los cuales de las instituciones de seguridad pública se debe regir como son la legalidad, objetividad, eficiencia, profesionalismo, honradez y respeto a los derechos human</w:t>
      </w:r>
      <w:r>
        <w:rPr>
          <w:rFonts w:ascii="Palatino Linotype" w:eastAsia="Palatino Linotype" w:hAnsi="Palatino Linotype" w:cs="Palatino Linotype"/>
          <w:sz w:val="24"/>
          <w:szCs w:val="24"/>
        </w:rPr>
        <w:t>os reconocidos en la Constitución General.</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rsidR="00506093" w:rsidRDefault="008B4AB8">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Se identifica en términos concretos cómo es que la información requerida podría comprometer el ejercicio de sus facultades const</w:t>
      </w:r>
      <w:r>
        <w:rPr>
          <w:rFonts w:ascii="Palatino Linotype" w:eastAsia="Palatino Linotype" w:hAnsi="Palatino Linotype" w:cs="Palatino Linotype"/>
          <w:sz w:val="24"/>
          <w:szCs w:val="24"/>
        </w:rPr>
        <w:t xml:space="preserve">itucionales y, con ello, la seguridad pública, en virtud de que: </w:t>
      </w:r>
    </w:p>
    <w:p w:rsidR="00506093" w:rsidRDefault="008B4AB8">
      <w:pPr>
        <w:spacing w:before="240" w:after="24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506093" w:rsidRDefault="008B4AB8">
      <w:pPr>
        <w:spacing w:before="240" w:after="240" w:line="360" w:lineRule="auto"/>
        <w:ind w:left="567" w:right="900"/>
        <w:jc w:val="both"/>
        <w:rPr>
          <w:rFonts w:ascii="Palatino Linotype" w:eastAsia="Palatino Linotype" w:hAnsi="Palatino Linotype" w:cs="Palatino Linotype"/>
          <w:sz w:val="24"/>
          <w:szCs w:val="24"/>
        </w:rPr>
      </w:pPr>
      <w:bookmarkStart w:id="3" w:name="_heading=h.1fob9te" w:colFirst="0" w:colLast="0"/>
      <w:bookmarkEnd w:id="3"/>
      <w:r>
        <w:rPr>
          <w:rFonts w:ascii="Palatino Linotype" w:eastAsia="Palatino Linotype" w:hAnsi="Palatino Linotype" w:cs="Palatino Linotype"/>
          <w:sz w:val="24"/>
          <w:szCs w:val="24"/>
        </w:rPr>
        <w:t>b) Con dicha información se revelarían a detalle las características funcionales del</w:t>
      </w:r>
      <w:r>
        <w:rPr>
          <w:rFonts w:ascii="Palatino Linotype" w:eastAsia="Palatino Linotype" w:hAnsi="Palatino Linotype" w:cs="Palatino Linotype"/>
          <w:sz w:val="24"/>
          <w:szCs w:val="24"/>
        </w:rPr>
        <w:t xml:space="preserve"> personal y con ello, su organización para el cumplimiento de sus funciones; y </w:t>
      </w:r>
    </w:p>
    <w:p w:rsidR="00506093" w:rsidRDefault="008B4AB8">
      <w:pPr>
        <w:spacing w:before="240" w:after="24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2. Existe una relación causal general entre la entrega de la información y la afectación a la seguridad pública, pues los grupos criminales estarían en posibilidad de obstaculi</w:t>
      </w:r>
      <w:r>
        <w:rPr>
          <w:rFonts w:ascii="Palatino Linotype" w:eastAsia="Palatino Linotype" w:hAnsi="Palatino Linotype" w:cs="Palatino Linotype"/>
          <w:sz w:val="24"/>
          <w:szCs w:val="24"/>
        </w:rPr>
        <w:t xml:space="preserve">zar o bloquear actividades encaminadas a preservar el orden dentro de la dinámica social. </w:t>
      </w:r>
    </w:p>
    <w:p w:rsidR="00506093" w:rsidRDefault="008B4AB8">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con que cuentan el Estado y Municipios, mayor es la probabilidad de que la inform</w:t>
      </w:r>
      <w:r>
        <w:rPr>
          <w:rFonts w:ascii="Palatino Linotype" w:eastAsia="Palatino Linotype" w:hAnsi="Palatino Linotype" w:cs="Palatino Linotype"/>
          <w:sz w:val="24"/>
          <w:szCs w:val="24"/>
        </w:rPr>
        <w:t>ación pueda implementarse como medio para actualizar o potenciar una amenaza en contra de la seguridad pública de los mismos.</w:t>
      </w:r>
    </w:p>
    <w:p w:rsidR="00506093" w:rsidRDefault="008B4AB8">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rsidR="00506093" w:rsidRDefault="008B4AB8">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w:t>
      </w:r>
      <w:r>
        <w:rPr>
          <w:rFonts w:ascii="Palatino Linotype" w:eastAsia="Palatino Linotype" w:hAnsi="Palatino Linotype" w:cs="Palatino Linotype"/>
          <w:sz w:val="24"/>
          <w:szCs w:val="24"/>
        </w:rPr>
        <w:t>nocer información estadística sobre el número de elementos de policía con los que cuentan los ayuntamientos, esta información no se encuentra actualizada, aunado a que no se hace una distinción entre el número de personal operativo y administrativo.</w:t>
      </w:r>
    </w:p>
    <w:p w:rsidR="00506093" w:rsidRDefault="00506093">
      <w:pPr>
        <w:spacing w:after="0" w:line="360" w:lineRule="auto"/>
        <w:ind w:right="139"/>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w:t>
      </w:r>
      <w:r>
        <w:rPr>
          <w:rFonts w:ascii="Palatino Linotype" w:eastAsia="Palatino Linotype" w:hAnsi="Palatino Linotype" w:cs="Palatino Linotype"/>
          <w:sz w:val="24"/>
          <w:szCs w:val="24"/>
        </w:rPr>
        <w:t xml:space="preserve">nsecuencia, la información de los elementos operativos adscrito a instituciones de seguridad pública,  deben recibir un tratamiento de carácter excepcional, y esto es en razón de que,  son los responsables de procurar el orden, la estabilidad y la defensa </w:t>
      </w:r>
      <w:r>
        <w:rPr>
          <w:rFonts w:ascii="Palatino Linotype" w:eastAsia="Palatino Linotype" w:hAnsi="Palatino Linotype" w:cs="Palatino Linotype"/>
          <w:sz w:val="24"/>
          <w:szCs w:val="24"/>
        </w:rPr>
        <w:t xml:space="preserve">de la sociedad a la que pertenecen, por lo que, se estima que al proporcionar documentales en las que se aprecie dicha información dicha información se revela el número de servidores públicos operativos con funciones de seguridad pública </w:t>
      </w:r>
      <w:r>
        <w:rPr>
          <w:rFonts w:ascii="Palatino Linotype" w:eastAsia="Palatino Linotype" w:hAnsi="Palatino Linotype" w:cs="Palatino Linotype"/>
          <w:sz w:val="24"/>
          <w:szCs w:val="24"/>
        </w:rPr>
        <w:lastRenderedPageBreak/>
        <w:t>activos en el Suje</w:t>
      </w:r>
      <w:r>
        <w:rPr>
          <w:rFonts w:ascii="Palatino Linotype" w:eastAsia="Palatino Linotype" w:hAnsi="Palatino Linotype" w:cs="Palatino Linotype"/>
          <w:sz w:val="24"/>
          <w:szCs w:val="24"/>
        </w:rPr>
        <w:t>to obligado; información con la que se da a conocer el estado de fuerza y la capacidad de reacción del órgano público.</w:t>
      </w:r>
    </w:p>
    <w:p w:rsidR="00506093" w:rsidRDefault="00506093">
      <w:pPr>
        <w:spacing w:after="0" w:line="360" w:lineRule="auto"/>
        <w:jc w:val="both"/>
        <w:rPr>
          <w:rFonts w:ascii="Palatino Linotype" w:eastAsia="Palatino Linotype" w:hAnsi="Palatino Linotype" w:cs="Palatino Linotype"/>
          <w:sz w:val="24"/>
          <w:szCs w:val="24"/>
        </w:rPr>
      </w:pPr>
    </w:p>
    <w:p w:rsidR="00506093" w:rsidRDefault="008B4AB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la suscrita considera que es de vital importancia señalar que para los casos en los que los particulares deseen conocer las remuneraciones de los elementos operativos de las instituciones de seguridad pública, estas se pueden otorgar mediante e</w:t>
      </w:r>
      <w:r>
        <w:rPr>
          <w:rFonts w:ascii="Palatino Linotype" w:eastAsia="Palatino Linotype" w:hAnsi="Palatino Linotype" w:cs="Palatino Linotype"/>
          <w:sz w:val="24"/>
          <w:szCs w:val="24"/>
        </w:rPr>
        <w:t>l tabulador de sueldos, pues en este soporte se asientan los puestos funcionales y las remuneraciones, lo anterior encuentra sustento en el Instructivo del módulo 4 para la entrega del informe trimestral 2024, en dicho documento obran los siguientes elemen</w:t>
      </w:r>
      <w:r>
        <w:rPr>
          <w:rFonts w:ascii="Palatino Linotype" w:eastAsia="Palatino Linotype" w:hAnsi="Palatino Linotype" w:cs="Palatino Linotype"/>
          <w:sz w:val="24"/>
          <w:szCs w:val="24"/>
        </w:rPr>
        <w:t>tos:</w:t>
      </w:r>
    </w:p>
    <w:p w:rsidR="00506093" w:rsidRDefault="008B4AB8">
      <w:pPr>
        <w:spacing w:before="240" w:after="240" w:line="360" w:lineRule="auto"/>
        <w:ind w:right="139"/>
        <w:jc w:val="both"/>
        <w:rPr>
          <w:rFonts w:ascii="Palatino Linotype" w:eastAsia="Palatino Linotype" w:hAnsi="Palatino Linotype" w:cs="Palatino Linotype"/>
        </w:rPr>
      </w:pPr>
      <w:bookmarkStart w:id="4" w:name="_heading=h.fald234fiuyg" w:colFirst="0" w:colLast="0"/>
      <w:bookmarkEnd w:id="4"/>
      <w:r>
        <w:rPr>
          <w:rFonts w:ascii="Palatino Linotype" w:eastAsia="Palatino Linotype" w:hAnsi="Palatino Linotype" w:cs="Palatino Linotype"/>
          <w:noProof/>
        </w:rPr>
        <w:drawing>
          <wp:inline distT="0" distB="0" distL="0" distR="0">
            <wp:extent cx="5637530" cy="3609975"/>
            <wp:effectExtent l="19050" t="19050" r="20320" b="28575"/>
            <wp:docPr id="2143108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8066" cy="3610318"/>
                    </a:xfrm>
                    <a:prstGeom prst="rect">
                      <a:avLst/>
                    </a:prstGeom>
                    <a:ln w="3175">
                      <a:solidFill>
                        <a:srgbClr val="000000"/>
                      </a:solidFill>
                      <a:prstDash val="solid"/>
                    </a:ln>
                  </pic:spPr>
                </pic:pic>
              </a:graphicData>
            </a:graphic>
          </wp:inline>
        </w:drawing>
      </w:r>
    </w:p>
    <w:p w:rsidR="00506093" w:rsidRDefault="00506093">
      <w:pPr>
        <w:spacing w:after="0" w:line="360" w:lineRule="auto"/>
        <w:jc w:val="both"/>
        <w:rPr>
          <w:rFonts w:ascii="Palatino Linotype" w:eastAsia="Palatino Linotype" w:hAnsi="Palatino Linotype" w:cs="Palatino Linotype"/>
          <w:sz w:val="24"/>
          <w:szCs w:val="24"/>
        </w:rPr>
      </w:pPr>
      <w:bookmarkStart w:id="5" w:name="_heading=h.6x66xkp9czwl" w:colFirst="0" w:colLast="0"/>
      <w:bookmarkEnd w:id="5"/>
    </w:p>
    <w:p w:rsidR="00506093" w:rsidRDefault="008B4AB8">
      <w:pPr>
        <w:spacing w:after="0" w:line="360" w:lineRule="auto"/>
        <w:ind w:right="139"/>
        <w:jc w:val="both"/>
        <w:rPr>
          <w:rFonts w:ascii="Palatino Linotype" w:eastAsia="Palatino Linotype" w:hAnsi="Palatino Linotype" w:cs="Palatino Linotype"/>
          <w:sz w:val="24"/>
          <w:szCs w:val="24"/>
        </w:rPr>
      </w:pPr>
      <w:bookmarkStart w:id="6" w:name="_heading=h.3znysh7" w:colFirst="0" w:colLast="0"/>
      <w:bookmarkEnd w:id="6"/>
      <w:r>
        <w:rPr>
          <w:rFonts w:ascii="Palatino Linotype" w:eastAsia="Palatino Linotype" w:hAnsi="Palatino Linotype" w:cs="Palatino Linotype"/>
          <w:sz w:val="24"/>
          <w:szCs w:val="24"/>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506093" w:rsidRDefault="00506093">
      <w:pPr>
        <w:spacing w:after="0" w:line="360" w:lineRule="auto"/>
        <w:ind w:right="139"/>
        <w:jc w:val="both"/>
        <w:rPr>
          <w:rFonts w:ascii="Palatino Linotype" w:eastAsia="Palatino Linotype" w:hAnsi="Palatino Linotype" w:cs="Palatino Linotype"/>
          <w:sz w:val="24"/>
          <w:szCs w:val="24"/>
        </w:rPr>
      </w:pPr>
    </w:p>
    <w:p w:rsidR="00506093" w:rsidRDefault="008B4AB8">
      <w:pPr>
        <w:spacing w:after="0" w:line="360" w:lineRule="auto"/>
        <w:ind w:right="139"/>
        <w:jc w:val="both"/>
        <w:rPr>
          <w:rFonts w:ascii="Palatino Linotype" w:eastAsia="Palatino Linotype" w:hAnsi="Palatino Linotype" w:cs="Palatino Linotype"/>
          <w:sz w:val="24"/>
          <w:szCs w:val="24"/>
        </w:rPr>
      </w:pPr>
      <w:bookmarkStart w:id="7" w:name="_heading=h.jkaxn8mgxy7q" w:colFirst="0" w:colLast="0"/>
      <w:bookmarkEnd w:id="7"/>
      <w:r>
        <w:rPr>
          <w:rFonts w:ascii="Palatino Linotype" w:eastAsia="Palatino Linotype" w:hAnsi="Palatino Linotype" w:cs="Palatino Linotype"/>
          <w:sz w:val="24"/>
          <w:szCs w:val="24"/>
        </w:rPr>
        <w:t>Es por todo lo anteriormente expuesto que considero que en las líneas argumentativas que anteceden, se acreditó de manera fehaciente que esta información debe ser reservada pues su entrega revela datos que pudieran ser aprovechados para conocer la capaci</w:t>
      </w:r>
      <w:r>
        <w:rPr>
          <w:rFonts w:ascii="Palatino Linotype" w:eastAsia="Palatino Linotype" w:hAnsi="Palatino Linotype" w:cs="Palatino Linotype"/>
          <w:sz w:val="24"/>
          <w:szCs w:val="24"/>
        </w:rPr>
        <w:t xml:space="preserve">dad de reacción de las instituciones encargadas de la seguridad pública y </w:t>
      </w:r>
      <w:r>
        <w:rPr>
          <w:rFonts w:ascii="Palatino Linotype" w:eastAsia="Palatino Linotype" w:hAnsi="Palatino Linotype" w:cs="Palatino Linotype"/>
          <w:b/>
          <w:sz w:val="24"/>
          <w:szCs w:val="24"/>
          <w:u w:val="single"/>
        </w:rPr>
        <w:t>facilitaría a las células delictivas el neutralizar las acciones implementadas o por implementar para la preservación de la paz pública, afectando así su estado de fuerza, o bien les</w:t>
      </w:r>
      <w:r>
        <w:rPr>
          <w:rFonts w:ascii="Palatino Linotype" w:eastAsia="Palatino Linotype" w:hAnsi="Palatino Linotype" w:cs="Palatino Linotype"/>
          <w:b/>
          <w:sz w:val="24"/>
          <w:szCs w:val="24"/>
          <w:u w:val="single"/>
        </w:rPr>
        <w:t xml:space="preserve"> permita </w:t>
      </w:r>
      <w:r>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w:t>
      </w:r>
      <w:r>
        <w:rPr>
          <w:rFonts w:ascii="Palatino Linotype" w:eastAsia="Palatino Linotype" w:hAnsi="Palatino Linotype" w:cs="Palatino Linotype"/>
          <w:sz w:val="24"/>
          <w:szCs w:val="24"/>
        </w:rPr>
        <w:t>cto del tratamiento que se le da a la información relativa a elementos operativos de instituciones de seguridad pública, y  por ende formula el presente voto particular.</w:t>
      </w:r>
    </w:p>
    <w:p w:rsidR="00506093" w:rsidRDefault="00506093">
      <w:pPr>
        <w:spacing w:before="240" w:after="240" w:line="360" w:lineRule="auto"/>
        <w:ind w:right="139"/>
        <w:jc w:val="both"/>
        <w:rPr>
          <w:rFonts w:ascii="Palatino Linotype" w:eastAsia="Palatino Linotype" w:hAnsi="Palatino Linotype" w:cs="Palatino Linotype"/>
        </w:rPr>
      </w:pPr>
      <w:bookmarkStart w:id="8" w:name="_GoBack"/>
      <w:bookmarkEnd w:id="8"/>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p w:rsidR="00506093" w:rsidRDefault="00506093">
      <w:pPr>
        <w:spacing w:before="240" w:after="240" w:line="360" w:lineRule="auto"/>
        <w:ind w:right="139"/>
        <w:jc w:val="both"/>
        <w:rPr>
          <w:rFonts w:ascii="Palatino Linotype" w:eastAsia="Palatino Linotype" w:hAnsi="Palatino Linotype" w:cs="Palatino Linotype"/>
        </w:rPr>
      </w:pPr>
    </w:p>
    <w:sectPr w:rsidR="00506093">
      <w:headerReference w:type="default" r:id="rId9"/>
      <w:footerReference w:type="default" r:id="rId10"/>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AB8" w:rsidRDefault="008B4AB8">
      <w:pPr>
        <w:spacing w:after="0" w:line="240" w:lineRule="auto"/>
      </w:pPr>
      <w:r>
        <w:separator/>
      </w:r>
    </w:p>
  </w:endnote>
  <w:endnote w:type="continuationSeparator" w:id="0">
    <w:p w:rsidR="008B4AB8" w:rsidRDefault="008B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93" w:rsidRDefault="008B4AB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9B5A1A">
      <w:rPr>
        <w:rFonts w:ascii="Times New Roman" w:eastAsia="Times New Roman" w:hAnsi="Times New Roman" w:cs="Times New Roman"/>
        <w:b/>
        <w:color w:val="000000"/>
        <w:sz w:val="24"/>
        <w:szCs w:val="24"/>
      </w:rPr>
      <w:fldChar w:fldCharType="separate"/>
    </w:r>
    <w:r w:rsidR="00E3771D">
      <w:rPr>
        <w:rFonts w:ascii="Times New Roman" w:eastAsia="Times New Roman" w:hAnsi="Times New Roman" w:cs="Times New Roman"/>
        <w:b/>
        <w:noProof/>
        <w:color w:val="000000"/>
        <w:sz w:val="24"/>
        <w:szCs w:val="24"/>
      </w:rPr>
      <w:t>12</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9B5A1A">
      <w:rPr>
        <w:rFonts w:ascii="Times New Roman" w:eastAsia="Times New Roman" w:hAnsi="Times New Roman" w:cs="Times New Roman"/>
        <w:b/>
        <w:color w:val="000000"/>
        <w:sz w:val="24"/>
        <w:szCs w:val="24"/>
      </w:rPr>
      <w:fldChar w:fldCharType="separate"/>
    </w:r>
    <w:r w:rsidR="00E3771D">
      <w:rPr>
        <w:rFonts w:ascii="Times New Roman" w:eastAsia="Times New Roman" w:hAnsi="Times New Roman" w:cs="Times New Roman"/>
        <w:b/>
        <w:noProof/>
        <w:color w:val="000000"/>
        <w:sz w:val="24"/>
        <w:szCs w:val="24"/>
      </w:rPr>
      <w:t>12</w:t>
    </w:r>
    <w:r>
      <w:rPr>
        <w:rFonts w:ascii="Times New Roman" w:eastAsia="Times New Roman" w:hAnsi="Times New Roman" w:cs="Times New Roman"/>
        <w:b/>
        <w:color w:val="000000"/>
        <w:sz w:val="24"/>
        <w:szCs w:val="24"/>
      </w:rPr>
      <w:fldChar w:fldCharType="end"/>
    </w:r>
  </w:p>
  <w:p w:rsidR="00506093" w:rsidRDefault="0050609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AB8" w:rsidRDefault="008B4AB8">
      <w:pPr>
        <w:spacing w:after="0" w:line="240" w:lineRule="auto"/>
      </w:pPr>
      <w:r>
        <w:separator/>
      </w:r>
    </w:p>
  </w:footnote>
  <w:footnote w:type="continuationSeparator" w:id="0">
    <w:p w:rsidR="008B4AB8" w:rsidRDefault="008B4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93" w:rsidRDefault="008B4A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-1341747</wp:posOffset>
          </wp:positionH>
          <wp:positionV relativeFrom="paragraph">
            <wp:posOffset>-453382</wp:posOffset>
          </wp:positionV>
          <wp:extent cx="7510145" cy="9883775"/>
          <wp:effectExtent l="0" t="0" r="0" b="0"/>
          <wp:wrapNone/>
          <wp:docPr id="21431082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506093" w:rsidRDefault="008B4A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506093" w:rsidRDefault="008B4A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00734/INFOEM/IP/RR/2024 </w:t>
    </w:r>
  </w:p>
  <w:p w:rsidR="00506093" w:rsidRDefault="0050609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76CC"/>
    <w:multiLevelType w:val="multilevel"/>
    <w:tmpl w:val="996A0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5A254F"/>
    <w:multiLevelType w:val="multilevel"/>
    <w:tmpl w:val="F14EC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B4C59CF"/>
    <w:multiLevelType w:val="multilevel"/>
    <w:tmpl w:val="283E3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93"/>
    <w:rsid w:val="00263C5A"/>
    <w:rsid w:val="00506093"/>
    <w:rsid w:val="008B4AB8"/>
    <w:rsid w:val="009B5A1A"/>
    <w:rsid w:val="00E3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C3BD0-A228-4D55-89BA-612B67C8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0KqAoil/ZgJVDKL9l1j2JsGAIA==">CgMxLjAyCGguZ2pkZ3hzMgloLjMwajB6bGwyCWguMmV0OTJwMDIJaC4xZm9iOXRlMg5oLmZhbGQyMzRmaXV5ZzIOaC42eDY2eGtwOWN6d2wyCWguM3pueXNoNzIOaC5qa2F4bjhtZ3h5N3E4AHIhMTFIZ29pNkRPZkQ5TXlXeGpFYjVSNUhQaTNvNGVYd3Fr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2434</Words>
  <Characters>13391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2024-04-08T20:05:00Z</cp:lastPrinted>
  <dcterms:created xsi:type="dcterms:W3CDTF">2024-04-08T20:05:00Z</dcterms:created>
  <dcterms:modified xsi:type="dcterms:W3CDTF">2024-04-08T20:06:00Z</dcterms:modified>
</cp:coreProperties>
</file>