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both"/>
        <w:rPr>
          <w:rFonts w:ascii="Palatino Linotype" w:cs="Palatino Linotype" w:eastAsia="Palatino Linotype" w:hAnsi="Palatino Linotype"/>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line="360" w:lineRule="auto"/>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TERCERA SESIÓN ORDINARIA DEL TREINTA Y UNO DE ENERO DE DOS MIL VEINTICUATRO, EN EL RECURSO DE REVISIÓN 03020/INFOEM/IP/RR/2023. </w:t>
      </w:r>
    </w:p>
    <w:p w:rsidR="00000000" w:rsidDel="00000000" w:rsidP="00000000" w:rsidRDefault="00000000" w:rsidRPr="00000000" w14:paraId="00000003">
      <w:pPr>
        <w:spacing w:after="0" w:line="360" w:lineRule="auto"/>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04">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Con fundamento en lo dispuesto por el artículo 14, fracciones X y XI, del Reglamento del Instituto de Transparencia, Acceso a la Información Pública y Protección de Datos Personales del Estado de México, </w:t>
      </w:r>
      <w:r w:rsidDel="00000000" w:rsidR="00000000" w:rsidRPr="00000000">
        <w:rPr>
          <w:rFonts w:ascii="Palatino Linotype" w:cs="Palatino Linotype" w:eastAsia="Palatino Linotype" w:hAnsi="Palatino Linotype"/>
          <w:b w:val="1"/>
          <w:rtl w:val="0"/>
        </w:rPr>
        <w:t xml:space="preserve">la Comisionada Guadalupe Ramírez Peña</w:t>
      </w:r>
      <w:r w:rsidDel="00000000" w:rsidR="00000000" w:rsidRPr="00000000">
        <w:rPr>
          <w:rFonts w:ascii="Palatino Linotype" w:cs="Palatino Linotype" w:eastAsia="Palatino Linotype" w:hAnsi="Palatino Linotype"/>
          <w:rtl w:val="0"/>
        </w:rPr>
        <w:t xml:space="preserve">, emite </w:t>
      </w:r>
      <w:r w:rsidDel="00000000" w:rsidR="00000000" w:rsidRPr="00000000">
        <w:rPr>
          <w:rFonts w:ascii="Palatino Linotype" w:cs="Palatino Linotype" w:eastAsia="Palatino Linotype" w:hAnsi="Palatino Linotype"/>
          <w:b w:val="1"/>
          <w:rtl w:val="0"/>
        </w:rPr>
        <w:t xml:space="preserve">VOTO PARTICULAR </w:t>
      </w:r>
      <w:r w:rsidDel="00000000" w:rsidR="00000000" w:rsidRPr="00000000">
        <w:rPr>
          <w:rFonts w:ascii="Palatino Linotype" w:cs="Palatino Linotype" w:eastAsia="Palatino Linotype" w:hAnsi="Palatino Linotype"/>
          <w:rtl w:val="0"/>
        </w:rPr>
        <w:t xml:space="preserve">respecto a la resolución dictada en el recurso de revisión número </w:t>
      </w:r>
      <w:r w:rsidDel="00000000" w:rsidR="00000000" w:rsidRPr="00000000">
        <w:rPr>
          <w:rFonts w:ascii="Palatino Linotype" w:cs="Palatino Linotype" w:eastAsia="Palatino Linotype" w:hAnsi="Palatino Linotype"/>
          <w:b w:val="1"/>
          <w:rtl w:val="0"/>
        </w:rPr>
        <w:t xml:space="preserve">03020/INFOEM/IP/RR/2023 </w:t>
      </w:r>
      <w:r w:rsidDel="00000000" w:rsidR="00000000" w:rsidRPr="00000000">
        <w:rPr>
          <w:rFonts w:ascii="Palatino Linotype" w:cs="Palatino Linotype" w:eastAsia="Palatino Linotype" w:hAnsi="Palatino Linotype"/>
          <w:rtl w:val="0"/>
        </w:rPr>
        <w:t xml:space="preserve">pronunciada por el Pleno de este Instituto ante el proyecto presentado por el Comisionado Presidente José Martínez Vilchis, el cual se formuló, conforme al tenor siguiente:</w:t>
      </w:r>
    </w:p>
    <w:p w:rsidR="00000000" w:rsidDel="00000000" w:rsidP="00000000" w:rsidRDefault="00000000" w:rsidRPr="00000000" w14:paraId="00000005">
      <w:pPr>
        <w:spacing w:after="0" w:line="360" w:lineRule="auto"/>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06">
      <w:pPr>
        <w:numPr>
          <w:ilvl w:val="0"/>
          <w:numId w:val="2"/>
        </w:numPr>
        <w:spacing w:after="0" w:line="360" w:lineRule="auto"/>
        <w:ind w:left="142" w:hanging="284"/>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Antecedentes.</w:t>
      </w:r>
    </w:p>
    <w:p w:rsidR="00000000" w:rsidDel="00000000" w:rsidP="00000000" w:rsidRDefault="00000000" w:rsidRPr="00000000" w14:paraId="00000007">
      <w:pPr>
        <w:spacing w:after="0" w:line="360" w:lineRule="auto"/>
        <w:ind w:left="142"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08">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el asunto que nos ocupa, la </w:t>
      </w:r>
      <w:r w:rsidDel="00000000" w:rsidR="00000000" w:rsidRPr="00000000">
        <w:rPr>
          <w:rFonts w:ascii="Palatino Linotype" w:cs="Palatino Linotype" w:eastAsia="Palatino Linotype" w:hAnsi="Palatino Linotype"/>
          <w:b w:val="1"/>
          <w:rtl w:val="0"/>
        </w:rPr>
        <w:t xml:space="preserve">parte</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b w:val="1"/>
          <w:rtl w:val="0"/>
        </w:rPr>
        <w:t xml:space="preserve">Recurrente</w:t>
      </w:r>
      <w:r w:rsidDel="00000000" w:rsidR="00000000" w:rsidRPr="00000000">
        <w:rPr>
          <w:rFonts w:ascii="Palatino Linotype" w:cs="Palatino Linotype" w:eastAsia="Palatino Linotype" w:hAnsi="Palatino Linotype"/>
          <w:rtl w:val="0"/>
        </w:rPr>
        <w:t xml:space="preserve"> solicitó al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le proporcionara lo siguiente:</w:t>
      </w:r>
    </w:p>
    <w:p w:rsidR="00000000" w:rsidDel="00000000" w:rsidP="00000000" w:rsidRDefault="00000000" w:rsidRPr="00000000" w14:paraId="00000009">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76" w:lineRule="auto"/>
        <w:ind w:left="567" w:right="706" w:firstLine="0"/>
        <w:jc w:val="both"/>
        <w:rPr>
          <w:rFonts w:ascii="Palatino Linotype" w:cs="Palatino Linotype" w:eastAsia="Palatino Linotype" w:hAnsi="Palatino Linotype"/>
          <w:i w:val="1"/>
          <w:color w:val="000000"/>
        </w:rPr>
      </w:pPr>
      <w:r w:rsidDel="00000000" w:rsidR="00000000" w:rsidRPr="00000000">
        <w:rPr>
          <w:rFonts w:ascii="Palatino Linotype" w:cs="Palatino Linotype" w:eastAsia="Palatino Linotype" w:hAnsi="Palatino Linotype"/>
          <w:i w:val="1"/>
          <w:color w:val="000000"/>
          <w:rtl w:val="0"/>
        </w:rPr>
        <w:t xml:space="preserve">“1--- Fundamento legal y documento que justifique y ampare el motivo por el cual las policías de transito estatales pueden estar estacionadas y deteniendo vehículos sobre la calle Emiliano Zapata (ver captura adjunta) en el Municipio de Chicoloapan, Barrio de Santa Rosa, Estado de México. 2--- Señale si las policías de transito estatales pueden estar deteniendo vehículos dentro de las avenidas principales del municipio de chicoloapan estado de México, 3--- Respecto del ultimo reten o como le quieran llamar (los sujetos obligados no estamos obligados a conocer sus términos), en el domicilio antes referido (calle Emiliano Zapata (ver captura adjunta) en el Municipio de Chicoloapan, Barrio de Santa Rosa, Estado de México), requiero el documento o expresión documental que ampare dicho reten o como le llamen, nombre de las policías de transito, número de placa, nombre del jefe inmediato y área de adscripción. 4--- Señale el fundamento legal y administrativo motivo por el cual los policías municipales hacen retenes o como le quieran llamar, en caso de que necesiten un permiso y/o autorización por parte de la secretaria de seguridad del estado de méxico etc.”</w:t>
      </w:r>
    </w:p>
    <w:p w:rsidR="00000000" w:rsidDel="00000000" w:rsidP="00000000" w:rsidRDefault="00000000" w:rsidRPr="00000000" w14:paraId="0000000B">
      <w:pPr>
        <w:spacing w:after="0" w:line="276"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C">
      <w:pPr>
        <w:spacing w:after="0" w:line="276" w:lineRule="auto"/>
        <w:ind w:left="567" w:right="900"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0D">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su respuesta, 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se pronunció sobre cada uno de los planteamientos formulados por la persona solicitante, en los siguientes términos. </w:t>
      </w:r>
    </w:p>
    <w:p w:rsidR="00000000" w:rsidDel="00000000" w:rsidP="00000000" w:rsidRDefault="00000000" w:rsidRPr="00000000" w14:paraId="0000000E">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F">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Respecto los numerales “</w:t>
      </w:r>
      <w:r w:rsidDel="00000000" w:rsidR="00000000" w:rsidRPr="00000000">
        <w:rPr>
          <w:rFonts w:ascii="Palatino Linotype" w:cs="Palatino Linotype" w:eastAsia="Palatino Linotype" w:hAnsi="Palatino Linotype"/>
          <w:i w:val="1"/>
          <w:rtl w:val="0"/>
        </w:rPr>
        <w:t xml:space="preserve">1--- Fundamento legal y documento que justifique y ampare el motivo por el cual las policías de transito estatales pueden estar estacionadas y deteniendo vehículos sobre la calle Emiliano Zapata (ver captura adjunta) en el Municipio de Chicoloapan, Barrio de Santa Rosa, Estado de México. 2--- Señale si las policías de transito estatales pueden estar deteniendo vehículos dentro de las avenidas principales del municipio de chicoloapan estado de México…” (Sic)</w:t>
      </w:r>
      <w:r w:rsidDel="00000000" w:rsidR="00000000" w:rsidRPr="00000000">
        <w:rPr>
          <w:rFonts w:ascii="Palatino Linotype" w:cs="Palatino Linotype" w:eastAsia="Palatino Linotype" w:hAnsi="Palatino Linotype"/>
          <w:rtl w:val="0"/>
        </w:rPr>
        <w:t xml:space="preserve">, se hace de su conocimiento que las agentes de tránsito adscritas a la Subsecretaría de Policía Estatal de la Secretaría de Seguridad están facultadas para imponer infracciones por faltas al Reglamento de Tránsito del Estado de México, de acuerdo a las funciones y atribuciones que les otorga el artículo 14 de dicho Reglamento, disponible en el siguiente link:</w:t>
      </w:r>
    </w:p>
    <w:p w:rsidR="00000000" w:rsidDel="00000000" w:rsidP="00000000" w:rsidRDefault="00000000" w:rsidRPr="00000000" w14:paraId="00000010">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1">
      <w:pPr>
        <w:spacing w:after="0" w:line="360" w:lineRule="auto"/>
        <w:jc w:val="both"/>
        <w:rPr>
          <w:rFonts w:ascii="Palatino Linotype" w:cs="Palatino Linotype" w:eastAsia="Palatino Linotype" w:hAnsi="Palatino Linotype"/>
        </w:rPr>
      </w:pPr>
      <w:hyperlink r:id="rId7">
        <w:r w:rsidDel="00000000" w:rsidR="00000000" w:rsidRPr="00000000">
          <w:rPr>
            <w:rFonts w:ascii="Palatino Linotype" w:cs="Palatino Linotype" w:eastAsia="Palatino Linotype" w:hAnsi="Palatino Linotype"/>
            <w:color w:val="0000ff"/>
            <w:u w:val="single"/>
            <w:rtl w:val="0"/>
          </w:rPr>
          <w:t xml:space="preserve">https://legislacion.edomex.gob.mx/sites/legislacion.edomex.gob.mx/files/files/pdf/rgl/vig/rglvig079.pdf</w:t>
        </w:r>
      </w:hyperlink>
      <w:r w:rsidDel="00000000" w:rsidR="00000000" w:rsidRPr="00000000">
        <w:rPr>
          <w:rtl w:val="0"/>
        </w:rPr>
      </w:r>
    </w:p>
    <w:p w:rsidR="00000000" w:rsidDel="00000000" w:rsidP="00000000" w:rsidRDefault="00000000" w:rsidRPr="00000000" w14:paraId="00000012">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cuanto hace a la información requerida en el numeral "</w:t>
      </w:r>
      <w:r w:rsidDel="00000000" w:rsidR="00000000" w:rsidRPr="00000000">
        <w:rPr>
          <w:rFonts w:ascii="Palatino Linotype" w:cs="Palatino Linotype" w:eastAsia="Palatino Linotype" w:hAnsi="Palatino Linotype"/>
          <w:i w:val="1"/>
          <w:rtl w:val="0"/>
        </w:rPr>
        <w:t xml:space="preserve">3--- Respecto del ultimo reten o como le quieran llamar (los sujetos obligados no estamos obligados a conocer sus términos), en el domicilio antes referido (calle Emiliano Zapata (ver captura adjunta) en el Municipio de Chicoloapan, Barrio de Santa Rosa, Estado de México), requiero el documento o expresión documental que ampare dicho reten o como le llamen, nombre de las policías de tránsito, número de placa, nombre del jefe inmediato y área de adscripción</w:t>
      </w:r>
      <w:r w:rsidDel="00000000" w:rsidR="00000000" w:rsidRPr="00000000">
        <w:rPr>
          <w:rFonts w:ascii="Palatino Linotype" w:cs="Palatino Linotype" w:eastAsia="Palatino Linotype" w:hAnsi="Palatino Linotype"/>
          <w:rtl w:val="0"/>
        </w:rPr>
        <w:t xml:space="preserve">..." (Sic), las agentes de tránsito adscritas a la Subsecretaría de Policía Estatal de la Secretaría de Seguridad no realizan retenes. Sin embargo, realizan labores en la vialidad durante los operativos que llevan a cabo la Secretarías de Movilidad y la Secretaría del Medio Ambiente.</w:t>
      </w:r>
    </w:p>
    <w:p w:rsidR="00000000" w:rsidDel="00000000" w:rsidP="00000000" w:rsidRDefault="00000000" w:rsidRPr="00000000" w14:paraId="00000013">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4">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Finalmente, por lo que respecta al numeral "</w:t>
      </w:r>
      <w:r w:rsidDel="00000000" w:rsidR="00000000" w:rsidRPr="00000000">
        <w:rPr>
          <w:rFonts w:ascii="Palatino Linotype" w:cs="Palatino Linotype" w:eastAsia="Palatino Linotype" w:hAnsi="Palatino Linotype"/>
          <w:i w:val="1"/>
          <w:rtl w:val="0"/>
        </w:rPr>
        <w:t xml:space="preserve">4.---Señale el fundamento legal y administrativo motivo por el cual los policías municipales hacen retenes o como le quieran llamar, en caso de que necesiten un permiso y/o autorización por parte de la secretaria de seguridad del estado de México etc.</w:t>
      </w:r>
      <w:r w:rsidDel="00000000" w:rsidR="00000000" w:rsidRPr="00000000">
        <w:rPr>
          <w:rFonts w:ascii="Palatino Linotype" w:cs="Palatino Linotype" w:eastAsia="Palatino Linotype" w:hAnsi="Palatino Linotype"/>
          <w:rtl w:val="0"/>
        </w:rPr>
        <w:t xml:space="preserve">" (Sic), es importante precisar que el servicio de seguridad pública y tránsito está a cargo de los municipios como lo marca la Ley Orgánica Municipal del Estado de México, artículo 125, fracción VIII, por se le sugiere respetuosamente dirigir su cuestionamiento al Módulo de Información Pública del Municipio de su interés, o bien a través del SAIMEX.</w:t>
      </w:r>
    </w:p>
    <w:p w:rsidR="00000000" w:rsidDel="00000000" w:rsidP="00000000" w:rsidRDefault="00000000" w:rsidRPr="00000000" w14:paraId="00000015">
      <w:pPr>
        <w:spacing w:after="0" w:line="360"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16">
      <w:pPr>
        <w:spacing w:after="0" w:line="360"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rtl w:val="0"/>
        </w:rPr>
        <w:t xml:space="preserve">Conocida la respuesta, </w:t>
      </w:r>
      <w:r w:rsidDel="00000000" w:rsidR="00000000" w:rsidRPr="00000000">
        <w:rPr>
          <w:rFonts w:ascii="Palatino Linotype" w:cs="Palatino Linotype" w:eastAsia="Palatino Linotype" w:hAnsi="Palatino Linotype"/>
          <w:b w:val="1"/>
          <w:rtl w:val="0"/>
        </w:rPr>
        <w:t xml:space="preserve">la parte Recurrente</w:t>
      </w:r>
      <w:r w:rsidDel="00000000" w:rsidR="00000000" w:rsidRPr="00000000">
        <w:rPr>
          <w:rFonts w:ascii="Palatino Linotype" w:cs="Palatino Linotype" w:eastAsia="Palatino Linotype" w:hAnsi="Palatino Linotype"/>
          <w:rtl w:val="0"/>
        </w:rPr>
        <w:t xml:space="preserve"> se inconformó en términos generales porque la respuesta no corresponde con lo solicitud. </w:t>
      </w:r>
      <w:r w:rsidDel="00000000" w:rsidR="00000000" w:rsidRPr="00000000">
        <w:rPr>
          <w:rtl w:val="0"/>
        </w:rPr>
      </w:r>
    </w:p>
    <w:p w:rsidR="00000000" w:rsidDel="00000000" w:rsidP="00000000" w:rsidRDefault="00000000" w:rsidRPr="00000000" w14:paraId="00000017">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8">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 las constancias que integran el expediente electrónico, se tiene que 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rindió su informe justificado en el que medularmente ratificó la respuesta inicial; por otro lado, la parte </w:t>
      </w:r>
      <w:r w:rsidDel="00000000" w:rsidR="00000000" w:rsidRPr="00000000">
        <w:rPr>
          <w:rFonts w:ascii="Palatino Linotype" w:cs="Palatino Linotype" w:eastAsia="Palatino Linotype" w:hAnsi="Palatino Linotype"/>
          <w:b w:val="1"/>
          <w:rtl w:val="0"/>
        </w:rPr>
        <w:t xml:space="preserve">Recurrente </w:t>
      </w:r>
      <w:r w:rsidDel="00000000" w:rsidR="00000000" w:rsidRPr="00000000">
        <w:rPr>
          <w:rFonts w:ascii="Palatino Linotype" w:cs="Palatino Linotype" w:eastAsia="Palatino Linotype" w:hAnsi="Palatino Linotype"/>
          <w:rtl w:val="0"/>
        </w:rPr>
        <w:t xml:space="preserve">omitió realizar manifestaciones. </w:t>
      </w:r>
    </w:p>
    <w:p w:rsidR="00000000" w:rsidDel="00000000" w:rsidP="00000000" w:rsidRDefault="00000000" w:rsidRPr="00000000" w14:paraId="00000019">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A">
      <w:pPr>
        <w:spacing w:after="0" w:line="360" w:lineRule="auto"/>
        <w:ind w:right="-6"/>
        <w:jc w:val="both"/>
        <w:rPr>
          <w:rFonts w:ascii="Palatino Linotype" w:cs="Palatino Linotype" w:eastAsia="Palatino Linotype" w:hAnsi="Palatino Linotype"/>
        </w:rPr>
      </w:pPr>
      <w:bookmarkStart w:colFirst="0" w:colLast="0" w:name="_heading=h.30j0zll" w:id="1"/>
      <w:bookmarkEnd w:id="1"/>
      <w:r w:rsidDel="00000000" w:rsidR="00000000" w:rsidRPr="00000000">
        <w:rPr>
          <w:rFonts w:ascii="Palatino Linotype" w:cs="Palatino Linotype" w:eastAsia="Palatino Linotype" w:hAnsi="Palatino Linotype"/>
          <w:rtl w:val="0"/>
        </w:rPr>
        <w:t xml:space="preserve">Así las cosas, se consideró que los motivos de inconformidad aducidos por la </w:t>
      </w:r>
      <w:r w:rsidDel="00000000" w:rsidR="00000000" w:rsidRPr="00000000">
        <w:rPr>
          <w:rFonts w:ascii="Palatino Linotype" w:cs="Palatino Linotype" w:eastAsia="Palatino Linotype" w:hAnsi="Palatino Linotype"/>
          <w:b w:val="1"/>
          <w:rtl w:val="0"/>
        </w:rPr>
        <w:t xml:space="preserve">parte</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b w:val="1"/>
          <w:rtl w:val="0"/>
        </w:rPr>
        <w:t xml:space="preserve">Recurrente </w:t>
      </w:r>
      <w:r w:rsidDel="00000000" w:rsidR="00000000" w:rsidRPr="00000000">
        <w:rPr>
          <w:rFonts w:ascii="Palatino Linotype" w:cs="Palatino Linotype" w:eastAsia="Palatino Linotype" w:hAnsi="Palatino Linotype"/>
          <w:rtl w:val="0"/>
        </w:rPr>
        <w:t xml:space="preserve">resultan parcialmente </w:t>
      </w:r>
      <w:r w:rsidDel="00000000" w:rsidR="00000000" w:rsidRPr="00000000">
        <w:rPr>
          <w:rFonts w:ascii="Palatino Linotype" w:cs="Palatino Linotype" w:eastAsia="Palatino Linotype" w:hAnsi="Palatino Linotype"/>
          <w:b w:val="1"/>
          <w:rtl w:val="0"/>
        </w:rPr>
        <w:t xml:space="preserve">fundados</w:t>
      </w:r>
      <w:r w:rsidDel="00000000" w:rsidR="00000000" w:rsidRPr="00000000">
        <w:rPr>
          <w:rFonts w:ascii="Palatino Linotype" w:cs="Palatino Linotype" w:eastAsia="Palatino Linotype" w:hAnsi="Palatino Linotype"/>
          <w:rtl w:val="0"/>
        </w:rPr>
        <w:t xml:space="preserve">, y determinó </w:t>
      </w:r>
      <w:r w:rsidDel="00000000" w:rsidR="00000000" w:rsidRPr="00000000">
        <w:rPr>
          <w:rFonts w:ascii="Palatino Linotype" w:cs="Palatino Linotype" w:eastAsia="Palatino Linotype" w:hAnsi="Palatino Linotype"/>
          <w:b w:val="1"/>
          <w:rtl w:val="0"/>
        </w:rPr>
        <w:t xml:space="preserve">modificar</w:t>
      </w:r>
      <w:r w:rsidDel="00000000" w:rsidR="00000000" w:rsidRPr="00000000">
        <w:rPr>
          <w:rFonts w:ascii="Palatino Linotype" w:cs="Palatino Linotype" w:eastAsia="Palatino Linotype" w:hAnsi="Palatino Linotype"/>
          <w:rtl w:val="0"/>
        </w:rPr>
        <w:t xml:space="preserve"> la respuesta del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ordenando lo siguiente: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851" w:right="706" w:firstLine="0"/>
        <w:jc w:val="both"/>
        <w:rPr>
          <w:rFonts w:ascii="Palatino Linotype" w:cs="Palatino Linotype" w:eastAsia="Palatino Linotype" w:hAnsi="Palatino Linotype"/>
          <w:b w:val="1"/>
          <w:i w:val="1"/>
          <w:color w:val="000000"/>
        </w:rPr>
      </w:pPr>
      <w:r w:rsidDel="00000000" w:rsidR="00000000" w:rsidRPr="00000000">
        <w:rPr>
          <w:rtl w:val="0"/>
        </w:rPr>
      </w:r>
    </w:p>
    <w:p w:rsidR="00000000" w:rsidDel="00000000" w:rsidP="00000000" w:rsidRDefault="00000000" w:rsidRPr="00000000" w14:paraId="0000001C">
      <w:pPr>
        <w:spacing w:line="276" w:lineRule="auto"/>
        <w:ind w:left="851" w:right="70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b w:val="1"/>
          <w:i w:val="1"/>
          <w:color w:val="000000"/>
          <w:rtl w:val="0"/>
        </w:rPr>
        <w:t xml:space="preserve">“</w:t>
      </w:r>
      <w:r w:rsidDel="00000000" w:rsidR="00000000" w:rsidRPr="00000000">
        <w:rPr>
          <w:rFonts w:ascii="Palatino Linotype" w:cs="Palatino Linotype" w:eastAsia="Palatino Linotype" w:hAnsi="Palatino Linotype"/>
          <w:b w:val="1"/>
          <w:i w:val="1"/>
          <w:rtl w:val="0"/>
        </w:rPr>
        <w:t xml:space="preserve">SEGUNDO.</w:t>
      </w:r>
      <w:r w:rsidDel="00000000" w:rsidR="00000000" w:rsidRPr="00000000">
        <w:rPr>
          <w:rFonts w:ascii="Palatino Linotype" w:cs="Palatino Linotype" w:eastAsia="Palatino Linotype" w:hAnsi="Palatino Linotype"/>
          <w:i w:val="1"/>
          <w:rtl w:val="0"/>
        </w:rPr>
        <w:t xml:space="preserve"> Se </w:t>
      </w:r>
      <w:r w:rsidDel="00000000" w:rsidR="00000000" w:rsidRPr="00000000">
        <w:rPr>
          <w:rFonts w:ascii="Palatino Linotype" w:cs="Palatino Linotype" w:eastAsia="Palatino Linotype" w:hAnsi="Palatino Linotype"/>
          <w:b w:val="1"/>
          <w:i w:val="1"/>
          <w:rtl w:val="0"/>
        </w:rPr>
        <w:t xml:space="preserve">ORDENA</w:t>
      </w:r>
      <w:r w:rsidDel="00000000" w:rsidR="00000000" w:rsidRPr="00000000">
        <w:rPr>
          <w:rFonts w:ascii="Palatino Linotype" w:cs="Palatino Linotype" w:eastAsia="Palatino Linotype" w:hAnsi="Palatino Linotype"/>
          <w:i w:val="1"/>
          <w:rtl w:val="0"/>
        </w:rPr>
        <w:t xml:space="preserve"> al </w:t>
      </w:r>
      <w:r w:rsidDel="00000000" w:rsidR="00000000" w:rsidRPr="00000000">
        <w:rPr>
          <w:rFonts w:ascii="Palatino Linotype" w:cs="Palatino Linotype" w:eastAsia="Palatino Linotype" w:hAnsi="Palatino Linotype"/>
          <w:b w:val="1"/>
          <w:i w:val="1"/>
          <w:rtl w:val="0"/>
        </w:rPr>
        <w:t xml:space="preserve">SUJETO OBLIGADO</w:t>
      </w:r>
      <w:r w:rsidDel="00000000" w:rsidR="00000000" w:rsidRPr="00000000">
        <w:rPr>
          <w:rFonts w:ascii="Palatino Linotype" w:cs="Palatino Linotype" w:eastAsia="Palatino Linotype" w:hAnsi="Palatino Linotype"/>
          <w:i w:val="1"/>
          <w:rtl w:val="0"/>
        </w:rPr>
        <w:t xml:space="preserve"> realizar una búsqueda exhaustiva y razonable a fin de entregar al </w:t>
      </w:r>
      <w:r w:rsidDel="00000000" w:rsidR="00000000" w:rsidRPr="00000000">
        <w:rPr>
          <w:rFonts w:ascii="Palatino Linotype" w:cs="Palatino Linotype" w:eastAsia="Palatino Linotype" w:hAnsi="Palatino Linotype"/>
          <w:b w:val="1"/>
          <w:i w:val="1"/>
          <w:rtl w:val="0"/>
        </w:rPr>
        <w:t xml:space="preserve">RECURRENTE, </w:t>
      </w:r>
      <w:r w:rsidDel="00000000" w:rsidR="00000000" w:rsidRPr="00000000">
        <w:rPr>
          <w:rFonts w:ascii="Palatino Linotype" w:cs="Palatino Linotype" w:eastAsia="Palatino Linotype" w:hAnsi="Palatino Linotype"/>
          <w:i w:val="1"/>
          <w:rtl w:val="0"/>
        </w:rPr>
        <w:t xml:space="preserve">en términos del Considerando </w:t>
      </w:r>
      <w:r w:rsidDel="00000000" w:rsidR="00000000" w:rsidRPr="00000000">
        <w:rPr>
          <w:rFonts w:ascii="Palatino Linotype" w:cs="Palatino Linotype" w:eastAsia="Palatino Linotype" w:hAnsi="Palatino Linotype"/>
          <w:b w:val="1"/>
          <w:i w:val="1"/>
          <w:rtl w:val="0"/>
        </w:rPr>
        <w:t xml:space="preserve">QUINTO </w:t>
      </w:r>
      <w:r w:rsidDel="00000000" w:rsidR="00000000" w:rsidRPr="00000000">
        <w:rPr>
          <w:rFonts w:ascii="Palatino Linotype" w:cs="Palatino Linotype" w:eastAsia="Palatino Linotype" w:hAnsi="Palatino Linotype"/>
          <w:i w:val="1"/>
          <w:rtl w:val="0"/>
        </w:rPr>
        <w:t xml:space="preserve">de esta resolución</w:t>
      </w:r>
      <w:r w:rsidDel="00000000" w:rsidR="00000000" w:rsidRPr="00000000">
        <w:rPr>
          <w:rFonts w:ascii="Palatino Linotype" w:cs="Palatino Linotype" w:eastAsia="Palatino Linotype" w:hAnsi="Palatino Linotype"/>
          <w:b w:val="1"/>
          <w:i w:val="1"/>
          <w:rtl w:val="0"/>
        </w:rPr>
        <w:t xml:space="preserve">, </w:t>
      </w:r>
      <w:r w:rsidDel="00000000" w:rsidR="00000000" w:rsidRPr="00000000">
        <w:rPr>
          <w:rFonts w:ascii="Palatino Linotype" w:cs="Palatino Linotype" w:eastAsia="Palatino Linotype" w:hAnsi="Palatino Linotype"/>
          <w:i w:val="1"/>
          <w:rtl w:val="0"/>
        </w:rPr>
        <w:t xml:space="preserve">a través del Sistema de Acceso a la Información Mexiquense </w:t>
      </w:r>
      <w:r w:rsidDel="00000000" w:rsidR="00000000" w:rsidRPr="00000000">
        <w:rPr>
          <w:rFonts w:ascii="Palatino Linotype" w:cs="Palatino Linotype" w:eastAsia="Palatino Linotype" w:hAnsi="Palatino Linotype"/>
          <w:b w:val="1"/>
          <w:i w:val="1"/>
          <w:rtl w:val="0"/>
        </w:rPr>
        <w:t xml:space="preserve">(SAIMEX)</w:t>
      </w:r>
      <w:r w:rsidDel="00000000" w:rsidR="00000000" w:rsidRPr="00000000">
        <w:rPr>
          <w:rFonts w:ascii="Palatino Linotype" w:cs="Palatino Linotype" w:eastAsia="Palatino Linotype" w:hAnsi="Palatino Linotype"/>
          <w:i w:val="1"/>
          <w:rtl w:val="0"/>
        </w:rPr>
        <w:t xml:space="preserve">, en su caso, en versión pública,</w:t>
      </w:r>
      <w:r w:rsidDel="00000000" w:rsidR="00000000" w:rsidRPr="00000000">
        <w:rPr>
          <w:rFonts w:ascii="Palatino Linotype" w:cs="Palatino Linotype" w:eastAsia="Palatino Linotype" w:hAnsi="Palatino Linotype"/>
          <w:b w:val="1"/>
          <w:i w:val="1"/>
          <w:rtl w:val="0"/>
        </w:rPr>
        <w:t xml:space="preserve"> </w:t>
      </w:r>
      <w:r w:rsidDel="00000000" w:rsidR="00000000" w:rsidRPr="00000000">
        <w:rPr>
          <w:rFonts w:ascii="Palatino Linotype" w:cs="Palatino Linotype" w:eastAsia="Palatino Linotype" w:hAnsi="Palatino Linotype"/>
          <w:i w:val="1"/>
          <w:rtl w:val="0"/>
        </w:rPr>
        <w:t xml:space="preserve">de lo siguiente: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706" w:firstLine="0"/>
        <w:jc w:val="both"/>
        <w:rPr>
          <w:rFonts w:ascii="Palatino Linotype" w:cs="Palatino Linotype" w:eastAsia="Palatino Linotype" w:hAnsi="Palatino Linotype"/>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706" w:firstLine="0"/>
        <w:jc w:val="both"/>
        <w:rPr>
          <w:rFonts w:ascii="Palatino Linotype" w:cs="Palatino Linotype" w:eastAsia="Palatino Linotype" w:hAnsi="Palatino Linotype"/>
          <w:b w:val="0"/>
          <w:i w:val="1"/>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2"/>
          <w:szCs w:val="22"/>
          <w:u w:val="none"/>
          <w:shd w:fill="auto" w:val="clear"/>
          <w:vertAlign w:val="baseline"/>
          <w:rtl w:val="0"/>
        </w:rPr>
        <w:t xml:space="preserve">Del último operativo, llevado a cabo por las Secretarías de Movilidad y del Medio Ambiente, desplegadas en la calle referida en la solicitud de información, en el que participaron policías de tránsito adscritas al sujeto obligado:</w:t>
      </w:r>
    </w:p>
    <w:p w:rsidR="00000000" w:rsidDel="00000000" w:rsidP="00000000" w:rsidRDefault="00000000" w:rsidRPr="00000000" w14:paraId="000000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851" w:right="706" w:firstLine="0"/>
        <w:jc w:val="both"/>
        <w:rPr>
          <w:rFonts w:ascii="Palatino Linotype" w:cs="Palatino Linotype" w:eastAsia="Palatino Linotype" w:hAnsi="Palatino Linotype"/>
          <w:b w:val="0"/>
          <w:i w:val="1"/>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2"/>
          <w:szCs w:val="22"/>
          <w:u w:val="none"/>
          <w:shd w:fill="auto" w:val="clear"/>
          <w:vertAlign w:val="baseline"/>
          <w:rtl w:val="0"/>
        </w:rPr>
        <w:t xml:space="preserve"> El documento o expresión documental que ampare las labores desplegadas de las policías de tránsito que intervinieron.</w:t>
      </w:r>
    </w:p>
    <w:p w:rsidR="00000000" w:rsidDel="00000000" w:rsidP="00000000" w:rsidRDefault="00000000" w:rsidRPr="00000000" w14:paraId="000000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851" w:right="706" w:firstLine="0"/>
        <w:jc w:val="both"/>
        <w:rPr>
          <w:rFonts w:ascii="Palatino Linotype" w:cs="Palatino Linotype" w:eastAsia="Palatino Linotype" w:hAnsi="Palatino Linotype"/>
          <w:b w:val="0"/>
          <w:i w:val="1"/>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2"/>
          <w:szCs w:val="22"/>
          <w:u w:val="none"/>
          <w:shd w:fill="auto" w:val="clear"/>
          <w:vertAlign w:val="baseline"/>
          <w:rtl w:val="0"/>
        </w:rPr>
        <w:t xml:space="preserve">Número de placa de las policías de tránsito que intervinieron.</w:t>
      </w:r>
    </w:p>
    <w:p w:rsidR="00000000" w:rsidDel="00000000" w:rsidP="00000000" w:rsidRDefault="00000000" w:rsidRPr="00000000" w14:paraId="0000002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851" w:right="706" w:firstLine="0"/>
        <w:jc w:val="both"/>
        <w:rPr>
          <w:rFonts w:ascii="Palatino Linotype" w:cs="Palatino Linotype" w:eastAsia="Palatino Linotype" w:hAnsi="Palatino Linotype"/>
          <w:b w:val="0"/>
          <w:i w:val="1"/>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2"/>
          <w:szCs w:val="22"/>
          <w:u w:val="none"/>
          <w:shd w:fill="auto" w:val="clear"/>
          <w:vertAlign w:val="baseline"/>
          <w:rtl w:val="0"/>
        </w:rPr>
        <w:t xml:space="preserve">Nombre del jefe inmediato de las policías de tránsito que intervinieron.</w:t>
      </w:r>
    </w:p>
    <w:p w:rsidR="00000000" w:rsidDel="00000000" w:rsidP="00000000" w:rsidRDefault="00000000" w:rsidRPr="00000000" w14:paraId="0000002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851" w:right="706" w:firstLine="0"/>
        <w:jc w:val="both"/>
        <w:rPr>
          <w:rFonts w:ascii="Palatino Linotype" w:cs="Palatino Linotype" w:eastAsia="Palatino Linotype" w:hAnsi="Palatino Linotype"/>
          <w:b w:val="0"/>
          <w:i w:val="1"/>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2"/>
          <w:szCs w:val="22"/>
          <w:u w:val="none"/>
          <w:shd w:fill="auto" w:val="clear"/>
          <w:vertAlign w:val="baseline"/>
          <w:rtl w:val="0"/>
        </w:rPr>
        <w:t xml:space="preserve">Área de adscripción de las policías de tránsito que intervinieron.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706" w:firstLine="0"/>
        <w:jc w:val="both"/>
        <w:rPr>
          <w:rFonts w:ascii="Palatino Linotype" w:cs="Palatino Linotype" w:eastAsia="Palatino Linotype" w:hAnsi="Palatino Linotype"/>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706" w:firstLine="0"/>
        <w:jc w:val="both"/>
        <w:rPr>
          <w:rFonts w:ascii="Palatino Linotype" w:cs="Palatino Linotype" w:eastAsia="Palatino Linotype" w:hAnsi="Palatino Linotype"/>
          <w:b w:val="1"/>
          <w:i w:val="1"/>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2"/>
          <w:szCs w:val="22"/>
          <w:u w:val="none"/>
          <w:shd w:fill="auto" w:val="clear"/>
          <w:vertAlign w:val="baseline"/>
          <w:rtl w:val="0"/>
        </w:rPr>
        <w:t xml:space="preserve">El Acuerdo de declaratoria de incompetencia referente al fundamento legal y administrativo por el cual los policías municipales hacen retenes u operativos, en términos de los artículos 49 fracción II y 167 último párrafo de Ley de Transparencia y Acceso a la Información Pública del Estado de México y Municipios.</w:t>
      </w:r>
      <w:r w:rsidDel="00000000" w:rsidR="00000000" w:rsidRPr="00000000">
        <w:rPr>
          <w:rtl w:val="0"/>
        </w:rPr>
      </w:r>
    </w:p>
    <w:p w:rsidR="00000000" w:rsidDel="00000000" w:rsidP="00000000" w:rsidRDefault="00000000" w:rsidRPr="00000000" w14:paraId="00000025">
      <w:pPr>
        <w:spacing w:line="276" w:lineRule="auto"/>
        <w:ind w:left="851" w:right="706"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6">
      <w:pPr>
        <w:spacing w:line="276" w:lineRule="auto"/>
        <w:ind w:left="851" w:right="70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Para el caso de la clasificación de la información, se deberá emitir el Acuerdo del Comité de Transparencia en términos de los artículos 49, fracción VIII, 122, 132 fracciones II y III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recurrente.</w:t>
      </w:r>
    </w:p>
    <w:p w:rsidR="00000000" w:rsidDel="00000000" w:rsidP="00000000" w:rsidRDefault="00000000" w:rsidRPr="00000000" w14:paraId="00000027">
      <w:pPr>
        <w:spacing w:line="276" w:lineRule="auto"/>
        <w:ind w:left="851" w:right="706"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8">
      <w:pPr>
        <w:spacing w:line="276" w:lineRule="auto"/>
        <w:ind w:left="851" w:right="70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Para el caso del punto uno (1), de no localizar la información que se está ordenando entregar, bastará que así lo haga saber al hoy recurrente de acuerdo al párrafo segundo del artículo 19 de la Ley de Transparencia y Acceso a la Información Pública del Estado de México y Municipios.</w:t>
      </w:r>
      <w:r w:rsidDel="00000000" w:rsidR="00000000" w:rsidRPr="00000000">
        <w:rPr>
          <w:rFonts w:ascii="Palatino Linotype" w:cs="Palatino Linotype" w:eastAsia="Palatino Linotype" w:hAnsi="Palatino Linotype"/>
          <w:i w:val="1"/>
          <w:color w:val="000000"/>
          <w:rtl w:val="0"/>
        </w:rPr>
        <w:t xml:space="preserve">”</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360" w:lineRule="auto"/>
        <w:ind w:left="284" w:firstLine="0"/>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after="0" w:line="360" w:lineRule="auto"/>
        <w:ind w:left="284" w:firstLine="0"/>
        <w:jc w:val="both"/>
        <w:rPr>
          <w:rFonts w:ascii="Palatino Linotype" w:cs="Palatino Linotype" w:eastAsia="Palatino Linotype" w:hAnsi="Palatino Linotype"/>
          <w:b w:val="1"/>
          <w:color w:val="000000"/>
        </w:rPr>
      </w:pPr>
      <w:r w:rsidDel="00000000" w:rsidR="00000000" w:rsidRPr="00000000">
        <w:rPr>
          <w:rFonts w:ascii="Palatino Linotype" w:cs="Palatino Linotype" w:eastAsia="Palatino Linotype" w:hAnsi="Palatino Linotype"/>
          <w:b w:val="1"/>
          <w:color w:val="000000"/>
          <w:rtl w:val="0"/>
        </w:rPr>
        <w:t xml:space="preserve">Razones del Voto Particular.</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360" w:lineRule="auto"/>
        <w:ind w:left="284" w:firstLine="0"/>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En este orden de ideas, resulta importante se</w:t>
      </w:r>
      <w:r w:rsidDel="00000000" w:rsidR="00000000" w:rsidRPr="00000000">
        <w:rPr>
          <w:rFonts w:ascii="Palatino Linotype" w:cs="Palatino Linotype" w:eastAsia="Palatino Linotype" w:hAnsi="Palatino Linotype"/>
          <w:rtl w:val="0"/>
        </w:rPr>
        <w:t xml:space="preserve">ñalar que coincido con los términos generales planteados en la Resolución toda vez que por regla general, los nombres de los servidores públicos en el ejercicio de la función pública, se encuentran establecidas como una obligación de transparencia común, tanto en la Ley General como en la Ley Local, y de manera específica, el artículo 92, fracción VII de la Ley de Transparencia y Acceso a la Información Pública del Estado de México y Municipios; no obstant</w:t>
      </w:r>
      <w:r w:rsidDel="00000000" w:rsidR="00000000" w:rsidRPr="00000000">
        <w:rPr>
          <w:rFonts w:ascii="Palatino Linotype" w:cs="Palatino Linotype" w:eastAsia="Palatino Linotype" w:hAnsi="Palatino Linotype"/>
          <w:color w:val="000000"/>
          <w:rtl w:val="0"/>
        </w:rPr>
        <w:t xml:space="preserve">e lo anterior, considero que dicha regla está sujeta a claro régimen de excepción, la cual concretamente se aprecia en el caso de los servidores públicos adscritos a instituciones de seguridad pública con funciones específicas en un evento determinado e identificado, en atención a los consideraciones que a continuación se exponen.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sidDel="00000000" w:rsidR="00000000" w:rsidRPr="00000000">
        <w:rPr>
          <w:rFonts w:ascii="Palatino Linotype" w:cs="Palatino Linotype" w:eastAsia="Palatino Linotype" w:hAnsi="Palatino Linotype"/>
          <w:b w:val="1"/>
          <w:color w:val="000000"/>
          <w:rtl w:val="0"/>
        </w:rPr>
        <w:t xml:space="preserve">los Municipios</w:t>
      </w:r>
      <w:r w:rsidDel="00000000" w:rsidR="00000000" w:rsidRPr="00000000">
        <w:rPr>
          <w:rFonts w:ascii="Palatino Linotype" w:cs="Palatino Linotype" w:eastAsia="Palatino Linotype" w:hAnsi="Palatino Linotype"/>
          <w:color w:val="000000"/>
          <w:rtl w:val="0"/>
        </w:rPr>
        <w:t xml:space="preserve">, </w:t>
      </w:r>
      <w:r w:rsidDel="00000000" w:rsidR="00000000" w:rsidRPr="00000000">
        <w:rPr>
          <w:rFonts w:ascii="Palatino Linotype" w:cs="Palatino Linotype" w:eastAsia="Palatino Linotype" w:hAnsi="Palatino Linotype"/>
          <w:b w:val="1"/>
          <w:color w:val="000000"/>
          <w:rtl w:val="0"/>
        </w:rPr>
        <w:t xml:space="preserve">cuyos fines son salvaguardar la vida, las libertades, la integridad y el patrimonio de las personas, así como contribuir a la generación y preservación del orden público y la paz social</w:t>
      </w:r>
      <w:r w:rsidDel="00000000" w:rsidR="00000000" w:rsidRPr="00000000">
        <w:rPr>
          <w:rFonts w:ascii="Palatino Linotype" w:cs="Palatino Linotype" w:eastAsia="Palatino Linotype" w:hAnsi="Palatino Linotype"/>
          <w:color w:val="000000"/>
          <w:rtl w:val="0"/>
        </w:rPr>
        <w:t xml:space="preserve">. Asimismo, señala que la actuación de las instituciones de seguridad pública se regirá por los principios de legalidad, objetividad, eficiencia, profesionalismo, honradez y respeto a los derechos humanos.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Una vez acreditado el objeto de la seguridad pública, es importante precisar que en el asunto que ahora se resuelve se trata de oficiales de tránsito que participaron en un operativo que se llevó a cabo en un lugar y fecha especificó; por lo que, es necesario citar que el Reglamento de Tránsito del Estado de México en su artículo 3 dispone: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360" w:lineRule="auto"/>
        <w:jc w:val="both"/>
        <w:rPr>
          <w:rFonts w:ascii="Palantino" w:cs="Palantino" w:eastAsia="Palantino" w:hAnsi="Palantino"/>
          <w:i w:val="1"/>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360" w:lineRule="auto"/>
        <w:jc w:val="both"/>
        <w:rPr>
          <w:rFonts w:ascii="Palantino" w:cs="Palantino" w:eastAsia="Palantino" w:hAnsi="Palantino"/>
          <w:i w:val="1"/>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360" w:lineRule="auto"/>
        <w:ind w:left="851" w:right="706" w:firstLine="0"/>
        <w:jc w:val="both"/>
        <w:rPr>
          <w:rFonts w:ascii="Palatino Linotype" w:cs="Palatino Linotype" w:eastAsia="Palatino Linotype" w:hAnsi="Palatino Linotype"/>
        </w:rPr>
      </w:pPr>
      <w:r w:rsidDel="00000000" w:rsidR="00000000" w:rsidRPr="00000000">
        <w:rPr>
          <w:rFonts w:ascii="Palantino" w:cs="Palantino" w:eastAsia="Palantino" w:hAnsi="Palantino"/>
          <w:i w:val="1"/>
          <w:rtl w:val="0"/>
        </w:rPr>
        <w:t xml:space="preserve">“</w:t>
      </w:r>
      <w:r w:rsidDel="00000000" w:rsidR="00000000" w:rsidRPr="00000000">
        <w:rPr>
          <w:rFonts w:ascii="Palantino" w:cs="Palantino" w:eastAsia="Palantino" w:hAnsi="Palantino"/>
          <w:b w:val="1"/>
          <w:i w:val="1"/>
          <w:rtl w:val="0"/>
        </w:rPr>
        <w:t xml:space="preserve">Artículo 3</w:t>
      </w:r>
      <w:r w:rsidDel="00000000" w:rsidR="00000000" w:rsidRPr="00000000">
        <w:rPr>
          <w:rFonts w:ascii="Palantino" w:cs="Palantino" w:eastAsia="Palantino" w:hAnsi="Palantino"/>
          <w:i w:val="1"/>
          <w:rtl w:val="0"/>
        </w:rPr>
        <w:t xml:space="preserve">.- Las autoridades de tránsito del Estado, en los términos establecidos en la ley de la materia están facultades para dictar las disposiciones necesarias a efecto de regular y planear el tránsito de peatones y de vehículos en las vías públicas de la Entidad, con objeto de </w:t>
      </w:r>
      <w:r w:rsidDel="00000000" w:rsidR="00000000" w:rsidRPr="00000000">
        <w:rPr>
          <w:rFonts w:ascii="Palantino" w:cs="Palantino" w:eastAsia="Palantino" w:hAnsi="Palantino"/>
          <w:b w:val="1"/>
          <w:i w:val="1"/>
          <w:u w:val="single"/>
          <w:rtl w:val="0"/>
        </w:rPr>
        <w:t xml:space="preserve">garantizar al máximo la seguridad de las personas, sus bienes, el medio ambiente y el orden público</w:t>
      </w:r>
      <w:r w:rsidDel="00000000" w:rsidR="00000000" w:rsidRPr="00000000">
        <w:rPr>
          <w:rFonts w:ascii="Palantino" w:cs="Palantino" w:eastAsia="Palantino" w:hAnsi="Palantino"/>
          <w:rtl w:val="0"/>
        </w:rPr>
        <w:t xml:space="preserve">.”</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este sentido, del ordenamiento previamente citado, se puede advertir que en términos generales las autoridades de tránsito, además de formar parte de Instituciones de Seguridad Pública tienen como objeto garantizar la seguridad de las personas, sus bienes, el medio ambiente y el orden público.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este entendido, se puede observar con claridad la importancia de la función de las autoridades de tránsito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567" w:right="61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w:t>
      </w:r>
      <w:r w:rsidDel="00000000" w:rsidR="00000000" w:rsidRPr="00000000">
        <w:rPr>
          <w:rFonts w:ascii="Palatino Linotype" w:cs="Palatino Linotype" w:eastAsia="Palatino Linotype" w:hAnsi="Palatino Linotype"/>
          <w:b w:val="1"/>
          <w:i w:val="1"/>
          <w:rtl w:val="0"/>
        </w:rPr>
        <w:t xml:space="preserve">Artículo 81.-</w:t>
      </w:r>
      <w:r w:rsidDel="00000000" w:rsidR="00000000" w:rsidRPr="00000000">
        <w:rPr>
          <w:rFonts w:ascii="Palatino Linotype" w:cs="Palatino Linotype" w:eastAsia="Palatino Linotype" w:hAnsi="Palatino Linotype"/>
          <w:i w:val="1"/>
          <w:rtl w:val="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567" w:right="61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567" w:right="616" w:firstLine="0"/>
        <w:jc w:val="both"/>
        <w:rPr>
          <w:rFonts w:ascii="Palatino Linotype" w:cs="Palatino Linotype" w:eastAsia="Palatino Linotype" w:hAnsi="Palatino Linotype"/>
          <w:b w:val="1"/>
          <w:i w:val="1"/>
          <w:u w:val="single"/>
        </w:rPr>
      </w:pPr>
      <w:r w:rsidDel="00000000" w:rsidR="00000000" w:rsidRPr="00000000">
        <w:rPr>
          <w:rFonts w:ascii="Palatino Linotype" w:cs="Palatino Linotype" w:eastAsia="Palatino Linotype" w:hAnsi="Palatino Linotype"/>
          <w:b w:val="1"/>
          <w:i w:val="1"/>
          <w:u w:val="single"/>
          <w:rtl w:val="0"/>
        </w:rPr>
        <w:t xml:space="preserve">II. La relativa a los servidores públicos integrantes de las instituciones de seguridad pública, cuya revelación pueda poner en riesgo su vida e integridad física con motivo de sus funciones;</w:t>
      </w:r>
      <w:r w:rsidDel="00000000" w:rsidR="00000000" w:rsidRPr="00000000">
        <w:rPr>
          <w:rFonts w:ascii="Palatino Linotype" w:cs="Palatino Linotype" w:eastAsia="Palatino Linotype" w:hAnsi="Palatino Linotype"/>
          <w:b w:val="1"/>
          <w:i w:val="1"/>
          <w:rtl w:val="0"/>
        </w:rPr>
        <w:t xml:space="preserve">”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360" w:lineRule="auto"/>
        <w:ind w:left="567" w:right="990" w:firstLine="0"/>
        <w:jc w:val="both"/>
        <w:rPr>
          <w:rFonts w:ascii="Palatino Linotype" w:cs="Palatino Linotype" w:eastAsia="Palatino Linotype" w:hAnsi="Palatino Linotype"/>
          <w:b w:val="1"/>
          <w:i w:val="1"/>
          <w:u w:val="single"/>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armonía con esta disposición normativa, la Ley General de Transparencia y Acceso a la Información Pública, en su artículo 113, fracción V señala que deberá reservarse la información que con su publicación se comprometa a la seguridad pública y cuente con un efecto demostrable, posteriormente el artículo 140 fracción IV de la Ley de Transparencia Local replica esta circunstancia de reserva, que señalan: </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284"/>
        </w:tabs>
        <w:spacing w:after="0" w:line="240" w:lineRule="auto"/>
        <w:ind w:left="567" w:right="709" w:firstLine="0"/>
        <w:jc w:val="both"/>
        <w:rPr>
          <w:rFonts w:ascii="Palatino Linotype" w:cs="Palatino Linotype" w:eastAsia="Palatino Linotype" w:hAnsi="Palatino Linotype"/>
          <w:i w:val="1"/>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76" w:lineRule="auto"/>
        <w:ind w:left="851" w:right="616" w:firstLine="0"/>
        <w:jc w:val="both"/>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“Ley General de Transparencia y Acceso a la Información Pública:</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76" w:lineRule="auto"/>
        <w:ind w:left="567" w:right="61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b w:val="1"/>
          <w:i w:val="1"/>
          <w:rtl w:val="0"/>
        </w:rPr>
        <w:t xml:space="preserve">Artículo 113</w:t>
      </w:r>
      <w:r w:rsidDel="00000000" w:rsidR="00000000" w:rsidRPr="00000000">
        <w:rPr>
          <w:rFonts w:ascii="Palatino Linotype" w:cs="Palatino Linotype" w:eastAsia="Palatino Linotype" w:hAnsi="Palatino Linotype"/>
          <w:i w:val="1"/>
          <w:rtl w:val="0"/>
        </w:rPr>
        <w:t xml:space="preserve">. Como información reservada podrá clasificarse aquella cuya publicación:</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76" w:lineRule="auto"/>
        <w:ind w:left="567" w:right="61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76" w:lineRule="auto"/>
        <w:ind w:left="567" w:right="61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b w:val="1"/>
          <w:i w:val="1"/>
          <w:rtl w:val="0"/>
        </w:rPr>
        <w:t xml:space="preserve">V. Pueda poner en riesgo la vida, seguridad o salud de una persona física;</w:t>
      </w:r>
      <w:r w:rsidDel="00000000" w:rsidR="00000000" w:rsidRPr="00000000">
        <w:rPr>
          <w:rFonts w:ascii="Palatino Linotype" w:cs="Palatino Linotype" w:eastAsia="Palatino Linotype" w:hAnsi="Palatino Linotype"/>
          <w:i w:val="1"/>
          <w:rtl w:val="0"/>
        </w:rPr>
        <w:t xml:space="preserve">”</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76" w:lineRule="auto"/>
        <w:ind w:left="567" w:right="61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b w:val="1"/>
          <w:i w:val="1"/>
          <w:rtl w:val="0"/>
        </w:rPr>
        <w:t xml:space="preserve">…</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76" w:lineRule="auto"/>
        <w:ind w:left="567" w:right="616"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76" w:lineRule="auto"/>
        <w:ind w:left="567" w:right="616"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76" w:lineRule="auto"/>
        <w:ind w:left="567" w:right="616" w:firstLine="0"/>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“Ley de Transparencia y Acceso a la Información Pública del Estado de México y Municipios: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76" w:lineRule="auto"/>
        <w:ind w:left="567" w:right="616"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76" w:lineRule="auto"/>
        <w:ind w:left="567" w:right="61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b w:val="1"/>
          <w:i w:val="1"/>
          <w:rtl w:val="0"/>
        </w:rPr>
        <w:t xml:space="preserve">Artículo 140</w:t>
      </w:r>
      <w:r w:rsidDel="00000000" w:rsidR="00000000" w:rsidRPr="00000000">
        <w:rPr>
          <w:rFonts w:ascii="Palatino Linotype" w:cs="Palatino Linotype" w:eastAsia="Palatino Linotype" w:hAnsi="Palatino Linotype"/>
          <w:i w:val="1"/>
          <w:rtl w:val="0"/>
        </w:rPr>
        <w:t xml:space="preserve">. El acceso a la información pública será restringido excepcionalmente, cuando por razones de interés público, ésta sea clasificada como reservada, conforme a los criterios siguientes:</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76" w:lineRule="auto"/>
        <w:ind w:left="567" w:right="61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76" w:lineRule="auto"/>
        <w:ind w:left="567" w:right="616" w:firstLine="0"/>
        <w:jc w:val="both"/>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 IV. Ponga en riesgo la vida, la seguridad o la salud de una persona física;</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76" w:lineRule="auto"/>
        <w:ind w:left="567" w:right="61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b w:val="1"/>
          <w:i w:val="1"/>
          <w:rtl w:val="0"/>
        </w:rPr>
        <w:t xml:space="preserve">…</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360" w:lineRule="auto"/>
        <w:ind w:left="567" w:right="900"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Correlativo a lo anterior, Lineamientos Generales en Materia de Clasificación y Desclasificación de la Información, así como para la Elaboración de Versiones Públicas, publicados el 16 de abril de 2016 y reformados el 18 de noviembre de 2022 señalan en su numeral vigésimo tercero que podrá considerarse como información reservada, cuando vínculo entre una o varias personas con la información que se solicita, pueda poner en riesgo su vida, seguridad o salud.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360" w:lineRule="auto"/>
        <w:jc w:val="both"/>
        <w:rPr/>
      </w:pPr>
      <w:r w:rsidDel="00000000" w:rsidR="00000000" w:rsidRPr="00000000">
        <w:rPr>
          <w:rFonts w:ascii="Palatino Linotype" w:cs="Palatino Linotype" w:eastAsia="Palatino Linotype" w:hAnsi="Palatino Linotype"/>
          <w:rtl w:val="0"/>
        </w:rPr>
        <w:t xml:space="preserve">Al respecto, el Pleno del Órgano Garante Nacional ha sostenido el criterio número </w:t>
      </w:r>
      <w:r w:rsidDel="00000000" w:rsidR="00000000" w:rsidRPr="00000000">
        <w:rPr>
          <w:rFonts w:ascii="Palatino Linotype" w:cs="Palatino Linotype" w:eastAsia="Palatino Linotype" w:hAnsi="Palatino Linotype"/>
          <w:b w:val="1"/>
          <w:rtl w:val="0"/>
        </w:rPr>
        <w:t xml:space="preserve">006/2009 </w:t>
      </w:r>
      <w:r w:rsidDel="00000000" w:rsidR="00000000" w:rsidRPr="00000000">
        <w:rPr>
          <w:rFonts w:ascii="Palatino Linotype" w:cs="Palatino Linotype" w:eastAsia="Palatino Linotype" w:hAnsi="Palatino Linotype"/>
          <w:rtl w:val="0"/>
        </w:rPr>
        <w:t xml:space="preserve">cuyo rubro y texto disponen a la literalidad lo siguiente: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567" w:right="333" w:firstLine="0"/>
        <w:jc w:val="both"/>
        <w:rPr/>
      </w:pPr>
      <w:r w:rsidDel="00000000" w:rsidR="00000000" w:rsidRPr="00000000">
        <w:rPr>
          <w:rFonts w:ascii="Palatino Linotype" w:cs="Palatino Linotype" w:eastAsia="Palatino Linotype" w:hAnsi="Palatino Linotype"/>
          <w:b w:val="1"/>
          <w:i w:val="1"/>
          <w:rtl w:val="0"/>
        </w:rPr>
        <w:t xml:space="preserve">“NOMBRES DE SERVIDORES PÚBLICOS DEDICADOS A ACTIVIDADES EN MATERIA DE SEGURIDAD, POR EXCEPCIÓN PUEDEN CONSIDERARSE INFORMACIÓN RESERVADA.</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567" w:right="333" w:firstLine="0"/>
        <w:jc w:val="both"/>
        <w:rPr/>
      </w:pPr>
      <w:r w:rsidDel="00000000" w:rsidR="00000000" w:rsidRPr="00000000">
        <w:rPr>
          <w:rFonts w:ascii="Palatino Linotype" w:cs="Palatino Linotype" w:eastAsia="Palatino Linotype" w:hAnsi="Palatino Linotype"/>
          <w:i w:val="1"/>
          <w:rtl w:val="0"/>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567" w:right="333" w:firstLine="0"/>
        <w:jc w:val="both"/>
        <w:rPr/>
      </w:pPr>
      <w:r w:rsidDel="00000000" w:rsidR="00000000" w:rsidRPr="00000000">
        <w:rPr>
          <w:rFonts w:ascii="Palatino Linotype" w:cs="Palatino Linotype" w:eastAsia="Palatino Linotype" w:hAnsi="Palatino Linotype"/>
          <w:i w:val="1"/>
          <w:rtl w:val="0"/>
        </w:rPr>
        <w:t xml:space="preserve">Precedentes:</w:t>
      </w:r>
      <w:r w:rsidDel="00000000" w:rsidR="00000000" w:rsidRPr="00000000">
        <w:rPr>
          <w:rtl w:val="0"/>
        </w:rPr>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pacing w:after="0" w:line="240" w:lineRule="auto"/>
        <w:ind w:left="993" w:right="333" w:hanging="360"/>
        <w:jc w:val="both"/>
        <w:rPr>
          <w:rFonts w:ascii="Noto Sans Symbols" w:cs="Noto Sans Symbols" w:eastAsia="Noto Sans Symbols" w:hAnsi="Noto Sans Symbols"/>
        </w:rPr>
      </w:pPr>
      <w:r w:rsidDel="00000000" w:rsidR="00000000" w:rsidRPr="00000000">
        <w:rPr>
          <w:rFonts w:ascii="Palatino Linotype" w:cs="Palatino Linotype" w:eastAsia="Palatino Linotype" w:hAnsi="Palatino Linotype"/>
          <w:i w:val="1"/>
          <w:rtl w:val="0"/>
        </w:rPr>
        <w:t xml:space="preserve">Acceso a la información pública. 4548/07. Sesión del 13 de febrero de 2008. Votación por unanimidad. Sin votos disidentes o particulares. Centro de Investigación y Seguridad Nacional. Comisionado Ponente Alonso Gómez-Robledo V.</w:t>
      </w:r>
      <w:r w:rsidDel="00000000" w:rsidR="00000000" w:rsidRPr="00000000">
        <w:rPr>
          <w:rtl w:val="0"/>
        </w:rPr>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pacing w:after="0" w:line="240" w:lineRule="auto"/>
        <w:ind w:left="993" w:right="333" w:hanging="360"/>
        <w:jc w:val="both"/>
        <w:rPr>
          <w:rFonts w:ascii="Noto Sans Symbols" w:cs="Noto Sans Symbols" w:eastAsia="Noto Sans Symbols" w:hAnsi="Noto Sans Symbols"/>
        </w:rPr>
      </w:pPr>
      <w:r w:rsidDel="00000000" w:rsidR="00000000" w:rsidRPr="00000000">
        <w:rPr>
          <w:rFonts w:ascii="Palatino Linotype" w:cs="Palatino Linotype" w:eastAsia="Palatino Linotype" w:hAnsi="Palatino Linotype"/>
          <w:i w:val="1"/>
          <w:rtl w:val="0"/>
        </w:rPr>
        <w:t xml:space="preserve">Acceso a la información pública. 4130/08. Sesión del 17 de diciembre de 2008. Votación por unanimidad. Sin votos disidentes o particulares. Policía Federal Preventiva. Comisionada Ponente Jacqueline Peschard Mariscal.</w:t>
      </w:r>
      <w:r w:rsidDel="00000000" w:rsidR="00000000" w:rsidRPr="00000000">
        <w:rPr>
          <w:rtl w:val="0"/>
        </w:rPr>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pacing w:after="0" w:line="240" w:lineRule="auto"/>
        <w:ind w:left="993" w:right="333" w:hanging="360"/>
        <w:jc w:val="both"/>
        <w:rPr>
          <w:rFonts w:ascii="Noto Sans Symbols" w:cs="Noto Sans Symbols" w:eastAsia="Noto Sans Symbols" w:hAnsi="Noto Sans Symbols"/>
        </w:rPr>
      </w:pPr>
      <w:r w:rsidDel="00000000" w:rsidR="00000000" w:rsidRPr="00000000">
        <w:rPr>
          <w:rFonts w:ascii="Palatino Linotype" w:cs="Palatino Linotype" w:eastAsia="Palatino Linotype" w:hAnsi="Palatino Linotype"/>
          <w:i w:val="1"/>
          <w:rtl w:val="0"/>
        </w:rPr>
        <w:t xml:space="preserve">Acceso a la información pública. 4441/08. Sesión del 14 de enero de 2009. Votación por unanimidad. Sin votos disidentes o particulares. Policía Federal Preventiva. Comisionado Ponente Alonso Gómez-Robledo V.</w:t>
      </w:r>
      <w:r w:rsidDel="00000000" w:rsidR="00000000" w:rsidRPr="00000000">
        <w:rPr>
          <w:rtl w:val="0"/>
        </w:rPr>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after="0" w:line="240" w:lineRule="auto"/>
        <w:ind w:left="993" w:right="333" w:hanging="360"/>
        <w:jc w:val="both"/>
        <w:rPr>
          <w:rFonts w:ascii="Noto Sans Symbols" w:cs="Noto Sans Symbols" w:eastAsia="Noto Sans Symbols" w:hAnsi="Noto Sans Symbols"/>
        </w:rPr>
      </w:pPr>
      <w:r w:rsidDel="00000000" w:rsidR="00000000" w:rsidRPr="00000000">
        <w:rPr>
          <w:rFonts w:ascii="Palatino Linotype" w:cs="Palatino Linotype" w:eastAsia="Palatino Linotype" w:hAnsi="Palatino Linotype"/>
          <w:i w:val="1"/>
          <w:rtl w:val="0"/>
        </w:rPr>
        <w:t xml:space="preserve">Acceso a la información pública. 5235/08. Sesión del 11 de febrero de 2009. Votación por unanimidad. Sin votos disidentes o particulares. Secretaría de la Defensa Nacional. Comisionada Ponente Jacqueline Peschard Mariscal.</w:t>
      </w:r>
      <w:r w:rsidDel="00000000" w:rsidR="00000000" w:rsidRPr="00000000">
        <w:rPr>
          <w:rtl w:val="0"/>
        </w:rPr>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pacing w:after="0" w:line="240" w:lineRule="auto"/>
        <w:ind w:left="993" w:right="333" w:hanging="360"/>
        <w:jc w:val="both"/>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i w:val="1"/>
          <w:rtl w:val="0"/>
        </w:rPr>
        <w:t xml:space="preserve">Acceso a la información pública. 2166/09. Sesión del 19 de agosto de 2009. Votación por unanimidad. Sin votos disidentes o particulares. Secretaría de Seguridad Pública. Comisionado Ponente Juan Pablo Guerrero Amparán.” </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360" w:lineRule="auto"/>
        <w:jc w:val="both"/>
        <w:rPr/>
      </w:pPr>
      <w:r w:rsidDel="00000000" w:rsidR="00000000" w:rsidRPr="00000000">
        <w:rPr>
          <w:rFonts w:ascii="Palatino Linotype" w:cs="Palatino Linotype" w:eastAsia="Palatino Linotype" w:hAnsi="Palatino Linotype"/>
          <w:rtl w:val="0"/>
        </w:rPr>
        <w:t xml:space="preserve">Así, en el presente asunto si bien se comparte que se considere la clasificación del nombre de las policías de tránsito en el operativo llevado a cabo en el lugar referido por la parte </w:t>
      </w:r>
      <w:r w:rsidDel="00000000" w:rsidR="00000000" w:rsidRPr="00000000">
        <w:rPr>
          <w:rFonts w:ascii="Palatino Linotype" w:cs="Palatino Linotype" w:eastAsia="Palatino Linotype" w:hAnsi="Palatino Linotype"/>
          <w:b w:val="1"/>
          <w:rtl w:val="0"/>
        </w:rPr>
        <w:t xml:space="preserve">Recurrente, </w:t>
      </w:r>
      <w:r w:rsidDel="00000000" w:rsidR="00000000" w:rsidRPr="00000000">
        <w:rPr>
          <w:rFonts w:ascii="Palatino Linotype" w:cs="Palatino Linotype" w:eastAsia="Palatino Linotype" w:hAnsi="Palatino Linotype"/>
          <w:rtl w:val="0"/>
        </w:rPr>
        <w:t xml:space="preserve">también lo es, que no comparto que se ordene el nombre del jefe inmediato de las policías de tránsito que intervinieron, toda vez que, al tratarse de un acto llevado a cabo en un lugar y fecha determinado, cuyo objeto es garantizar </w:t>
      </w:r>
      <w:r w:rsidDel="00000000" w:rsidR="00000000" w:rsidRPr="00000000">
        <w:rPr>
          <w:rFonts w:ascii="Palatino Linotype" w:cs="Palatino Linotype" w:eastAsia="Palatino Linotype" w:hAnsi="Palatino Linotype"/>
          <w:b w:val="1"/>
          <w:u w:val="single"/>
          <w:rtl w:val="0"/>
        </w:rPr>
        <w:t xml:space="preserve">la seguridad de las personas, sus bienes, el medio ambiente y el orden público</w:t>
      </w:r>
      <w:r w:rsidDel="00000000" w:rsidR="00000000" w:rsidRPr="00000000">
        <w:rPr>
          <w:rFonts w:ascii="Palatino Linotype" w:cs="Palatino Linotype" w:eastAsia="Palatino Linotype" w:hAnsi="Palatino Linotype"/>
          <w:rtl w:val="0"/>
        </w:rPr>
        <w:t xml:space="preserve">, a través de acciones preventivas y correctivas, encaminadas a la prevención y corrección conductas que algunos caso constitutivos de un delito, podría poner en riesgo la vida y seguridad del servidor público al momento de hacerlo identificable.  </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rPr>
      </w:pPr>
      <w:bookmarkStart w:colFirst="0" w:colLast="0" w:name="_heading=h.3znysh7" w:id="2"/>
      <w:bookmarkEnd w:id="2"/>
      <w:r w:rsidDel="00000000" w:rsidR="00000000" w:rsidRPr="00000000">
        <w:rPr>
          <w:rFonts w:ascii="Palatino Linotype" w:cs="Palatino Linotype" w:eastAsia="Palatino Linotype" w:hAnsi="Palatino Linotype"/>
          <w:rtl w:val="0"/>
        </w:rPr>
        <w:t xml:space="preserve">De tal forma que revelar la información de las autoridades de tránsito que intervinieron en el operativo de la fecha y día señalados, atenta de forma directa contra sus funciones de independencia y autonomía, a su libertad de actuación libre de coacción o interferencia, incluso, los inhibe a actuar bajo el criterio de objetividad; </w:t>
      </w:r>
      <w:r w:rsidDel="00000000" w:rsidR="00000000" w:rsidRPr="00000000">
        <w:rPr>
          <w:rFonts w:ascii="Palatino Linotype" w:cs="Palatino Linotype" w:eastAsia="Palatino Linotype" w:hAnsi="Palatino Linotype"/>
          <w:b w:val="1"/>
          <w:rtl w:val="0"/>
        </w:rPr>
        <w:t xml:space="preserve">por lo que, el nombre jefe inmediato de las oficiales de tránsito que participaron en el operativo, que obre en el documento que dé cuenta de lo requerido por la persona solicitante, es susceptible de reservarse,</w:t>
      </w:r>
      <w:r w:rsidDel="00000000" w:rsidR="00000000" w:rsidRPr="00000000">
        <w:rPr>
          <w:rFonts w:ascii="Palatino Linotype" w:cs="Palatino Linotype" w:eastAsia="Palatino Linotype" w:hAnsi="Palatino Linotype"/>
          <w:rtl w:val="0"/>
        </w:rPr>
        <w:t xml:space="preserve"> en términos del artículo 113, fracción V de la Ley General de Transparencia y Acceso a la Información Pública, así como del artículo 140, fracción IV de la Ley de Transparencia y Acceso a la Información Pública del Estado de México y Municipios,</w:t>
      </w:r>
      <w:r w:rsidDel="00000000" w:rsidR="00000000" w:rsidRPr="00000000">
        <w:rPr>
          <w:rFonts w:ascii="Palatino Linotype" w:cs="Palatino Linotype" w:eastAsia="Palatino Linotype" w:hAnsi="Palatino Linotype"/>
          <w:sz w:val="24"/>
          <w:szCs w:val="24"/>
          <w:rtl w:val="0"/>
        </w:rPr>
        <w:t xml:space="preserve"> por lo tanto la suscrita no comparte las consideraciones vertidas en la resolución respecto del tratamiento que se le da a la información relativa al nombre del jefe inmediato de las policías de tránsito que participaron en el operativo descrito en la solicitud; toda vez, que al hacerlo identificable pondría en riesgo su vida, salud o seguridad, consideraciones por la que formulo el presente voto particular. </w:t>
      </w:r>
      <w:r w:rsidDel="00000000" w:rsidR="00000000" w:rsidRPr="00000000">
        <w:rPr>
          <w:rtl w:val="0"/>
        </w:rPr>
      </w:r>
    </w:p>
    <w:p w:rsidR="00000000" w:rsidDel="00000000" w:rsidP="00000000" w:rsidRDefault="00000000" w:rsidRPr="00000000" w14:paraId="00000061">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2">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3">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4">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5">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6">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7">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8">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9">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A">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B">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C">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D">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E">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F">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0">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1">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2">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3">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4">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5">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6">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7">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8">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9">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A">
      <w:pPr>
        <w:spacing w:after="0" w:line="360" w:lineRule="auto"/>
        <w:ind w:right="139"/>
        <w:jc w:val="both"/>
        <w:rPr>
          <w:rFonts w:ascii="Palatino Linotype" w:cs="Palatino Linotype" w:eastAsia="Palatino Linotype" w:hAnsi="Palatino Linotype"/>
        </w:rPr>
      </w:pPr>
      <w:r w:rsidDel="00000000" w:rsidR="00000000" w:rsidRPr="00000000">
        <w:rPr>
          <w:rtl w:val="0"/>
        </w:rPr>
      </w:r>
    </w:p>
    <w:sectPr>
      <w:headerReference r:id="rId8" w:type="default"/>
      <w:footerReference r:id="rId9" w:type="default"/>
      <w:pgSz w:h="15840" w:w="12240" w:orient="portrait"/>
      <w:pgMar w:bottom="2836" w:top="1871" w:left="1985" w:right="1327" w:header="709" w:footer="5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Palantin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de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Times New Roman" w:cs="Times New Roman" w:eastAsia="Times New Roman" w:hAnsi="Times New Roman"/>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b w:val="1"/>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-1341748</wp:posOffset>
          </wp:positionH>
          <wp:positionV relativeFrom="paragraph">
            <wp:posOffset>-453383</wp:posOffset>
          </wp:positionV>
          <wp:extent cx="7510145" cy="9883775"/>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10145" cy="9883775"/>
                  </a:xfrm>
                  <a:prstGeom prst="rect"/>
                  <a:ln/>
                </pic:spPr>
              </pic:pic>
            </a:graphicData>
          </a:graphic>
        </wp:anchor>
      </w:drawing>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VOTO PARTICULAR</w:t>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RECURSO DE REVISIÓN: 03020/INFOEM/IP/RR/2023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80" w:hanging="360"/>
      </w:pPr>
      <w:rPr>
        <w:rFonts w:ascii="Palatino Linotype" w:cs="Palatino Linotype" w:eastAsia="Palatino Linotype" w:hAnsi="Palatino Linotype"/>
        <w:b w:val="0"/>
      </w:rPr>
    </w:lvl>
    <w:lvl w:ilvl="1">
      <w:start w:val="1"/>
      <w:numFmt w:val="decimal"/>
      <w:lvlText w:val="%1.%2."/>
      <w:lvlJc w:val="left"/>
      <w:pPr>
        <w:ind w:left="1080" w:hanging="360"/>
      </w:pPr>
      <w:rPr/>
    </w:lvl>
    <w:lvl w:ilvl="2">
      <w:start w:val="1"/>
      <w:numFmt w:val="decimal"/>
      <w:lvlText w:val="%1.%2.%3."/>
      <w:lvlJc w:val="left"/>
      <w:pPr>
        <w:ind w:left="1440" w:hanging="720"/>
      </w:pPr>
      <w:rPr/>
    </w:lvl>
    <w:lvl w:ilvl="3">
      <w:start w:val="1"/>
      <w:numFmt w:val="decimal"/>
      <w:lvlText w:val="%1.%2.%3.%4."/>
      <w:lvlJc w:val="left"/>
      <w:pPr>
        <w:ind w:left="1440" w:hanging="720"/>
      </w:pPr>
      <w:rPr/>
    </w:lvl>
    <w:lvl w:ilvl="4">
      <w:start w:val="1"/>
      <w:numFmt w:val="decimal"/>
      <w:lvlText w:val="%1.%2.%3.%4.%5."/>
      <w:lvlJc w:val="left"/>
      <w:pPr>
        <w:ind w:left="1800" w:hanging="1080"/>
      </w:pPr>
      <w:rPr/>
    </w:lvl>
    <w:lvl w:ilvl="5">
      <w:start w:val="1"/>
      <w:numFmt w:val="decimal"/>
      <w:lvlText w:val="%1.%2.%3.%4.%5.%6."/>
      <w:lvlJc w:val="left"/>
      <w:pPr>
        <w:ind w:left="1800" w:hanging="1080"/>
      </w:pPr>
      <w:rPr/>
    </w:lvl>
    <w:lvl w:ilvl="6">
      <w:start w:val="1"/>
      <w:numFmt w:val="decimal"/>
      <w:lvlText w:val="%1.%2.%3.%4.%5.%6.%7."/>
      <w:lvlJc w:val="left"/>
      <w:pPr>
        <w:ind w:left="2160" w:hanging="1440"/>
      </w:pPr>
      <w:rPr/>
    </w:lvl>
    <w:lvl w:ilvl="7">
      <w:start w:val="1"/>
      <w:numFmt w:val="decimal"/>
      <w:lvlText w:val="%1.%2.%3.%4.%5.%6.%7.%8."/>
      <w:lvlJc w:val="left"/>
      <w:pPr>
        <w:ind w:left="2160" w:hanging="1440"/>
      </w:pPr>
      <w:rPr/>
    </w:lvl>
    <w:lvl w:ilvl="8">
      <w:start w:val="1"/>
      <w:numFmt w:val="decimal"/>
      <w:lvlText w:val="%1.%2.%3.%4.%5.%6.%7.%8.%9."/>
      <w:lvlJc w:val="left"/>
      <w:pPr>
        <w:ind w:left="2520" w:hanging="18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pPr>
      <w:spacing w:after="0" w:line="240" w:lineRule="auto"/>
    </w:pPr>
    <w:tblPr>
      <w:tblStyleRowBandSize w:val="1"/>
      <w:tblStyleColBandSize w:val="1"/>
      <w:tblCellMar>
        <w:left w:w="108.0" w:type="dxa"/>
        <w:right w:w="108.0" w:type="dxa"/>
      </w:tblCellMar>
    </w:tblPr>
  </w:style>
  <w:style w:type="paragraph" w:styleId="Encabezado">
    <w:name w:val="header"/>
    <w:basedOn w:val="Normal"/>
    <w:link w:val="EncabezadoCar"/>
    <w:uiPriority w:val="99"/>
    <w:unhideWhenUsed w:val="1"/>
    <w:rsid w:val="00F605D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605D9"/>
  </w:style>
  <w:style w:type="paragraph" w:styleId="Piedepgina">
    <w:name w:val="footer"/>
    <w:basedOn w:val="Normal"/>
    <w:link w:val="PiedepginaCar"/>
    <w:uiPriority w:val="99"/>
    <w:unhideWhenUsed w:val="1"/>
    <w:rsid w:val="00F605D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605D9"/>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val="1"/>
    <w:rsid w:val="00F605D9"/>
    <w:pPr>
      <w:spacing w:after="0" w:line="240" w:lineRule="auto"/>
      <w:ind w:left="720"/>
      <w:contextualSpacing w:val="1"/>
    </w:pPr>
    <w:rPr>
      <w:rFonts w:ascii="Century Gothic" w:cs="Times New Roman" w:eastAsia="Times New Roman" w:hAnsi="Century Gothic"/>
      <w:szCs w:val="24"/>
      <w:lang w:eastAsia="es-ES"/>
    </w:rPr>
  </w:style>
  <w:style w:type="character" w:styleId="PrrafodelistaCar" w:customStyle="1">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1"/>
    <w:qFormat w:val="1"/>
    <w:rsid w:val="00F605D9"/>
    <w:rPr>
      <w:rFonts w:ascii="Century Gothic" w:cs="Times New Roman" w:eastAsia="Times New Roman" w:hAnsi="Century Gothic"/>
      <w:szCs w:val="24"/>
      <w:lang w:eastAsia="es-ES"/>
    </w:rPr>
  </w:style>
  <w:style w:type="paragraph" w:styleId="Sinespaciado">
    <w:name w:val="No Spacing"/>
    <w:aliases w:val="Francesa,INAI"/>
    <w:link w:val="SinespaciadoCar"/>
    <w:uiPriority w:val="1"/>
    <w:qFormat w:val="1"/>
    <w:rsid w:val="00D7707F"/>
    <w:pPr>
      <w:spacing w:after="0" w:line="240" w:lineRule="auto"/>
      <w:ind w:left="567" w:right="567"/>
      <w:jc w:val="both"/>
    </w:pPr>
    <w:rPr>
      <w:rFonts w:ascii="Arial" w:cs="Times New Roman" w:eastAsia="Batang" w:hAnsi="Arial"/>
      <w:sz w:val="20"/>
      <w:szCs w:val="24"/>
      <w:lang w:eastAsia="es-ES"/>
    </w:rPr>
  </w:style>
  <w:style w:type="character" w:styleId="SinespaciadoCar" w:customStyle="1">
    <w:name w:val="Sin espaciado Car"/>
    <w:aliases w:val="Francesa Car,INAI Car"/>
    <w:basedOn w:val="Fuentedeprrafopredeter"/>
    <w:link w:val="Sinespaciado"/>
    <w:uiPriority w:val="1"/>
    <w:qFormat w:val="1"/>
    <w:rsid w:val="00D7707F"/>
    <w:rPr>
      <w:rFonts w:ascii="Arial" w:cs="Times New Roman" w:eastAsia="Batang" w:hAnsi="Arial"/>
      <w:sz w:val="20"/>
      <w:szCs w:val="24"/>
      <w:lang w:eastAsia="es-ES"/>
    </w:rPr>
  </w:style>
  <w:style w:type="character" w:styleId="Hipervnculo">
    <w:name w:val="Hyperlink"/>
    <w:basedOn w:val="Fuentedeprrafopredeter"/>
    <w:uiPriority w:val="99"/>
    <w:unhideWhenUsed w:val="1"/>
    <w:rsid w:val="009A5B25"/>
    <w:rPr>
      <w:color w:val="0000ff" w:themeColor="hyperlink"/>
      <w:u w:val="single"/>
    </w:rPr>
  </w:style>
  <w:style w:type="character" w:styleId="Mencinsinresolver">
    <w:name w:val="Unresolved Mention"/>
    <w:basedOn w:val="Fuentedeprrafopredeter"/>
    <w:uiPriority w:val="99"/>
    <w:semiHidden w:val="1"/>
    <w:unhideWhenUsed w:val="1"/>
    <w:rsid w:val="009A5B2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egislacion.edomex.gob.mx/sites/legislacion.edomex.gob.mx/files/files/pdf/rgl/vig/rglvig079.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4HWWODbYK+7513XJP39Q8WOxKg==">CgMxLjAyCGguZ2pkZ3hzMgloLjMwajB6bGwyCWguM3pueXNoNzgAciExSHh2Ty1Jdzg2RTNFeVFGUU1ZbUtWcnRadnNuNnVlY0I=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2024-02-02T21:40:00Z</dcterms:created>
  <dc:creator>INFOEM619</dc:creator>
</cp:coreProperties>
</file>