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811" w:rsidRDefault="00305093">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552F76">
        <w:rPr>
          <w:rFonts w:ascii="Palatino Linotype" w:eastAsia="Palatino Linotype" w:hAnsi="Palatino Linotype" w:cs="Palatino Linotype"/>
          <w:b/>
        </w:rPr>
        <w:t xml:space="preserve">CUADRAGÉSIMA SEGUNDA SESIÓN ORDINARIA DEL CUATRO DE DICIEMBRE </w:t>
      </w:r>
      <w:r>
        <w:rPr>
          <w:rFonts w:ascii="Palatino Linotype" w:eastAsia="Palatino Linotype" w:hAnsi="Palatino Linotype" w:cs="Palatino Linotype"/>
          <w:b/>
        </w:rPr>
        <w:t xml:space="preserve">DE DOS MIL VEINTICUATRO EN LOS RECURSOS DE REVISIÓN </w:t>
      </w:r>
      <w:r w:rsidR="00552F76" w:rsidRPr="00552F76">
        <w:rPr>
          <w:rFonts w:ascii="Palatino Linotype" w:eastAsia="Palatino Linotype" w:hAnsi="Palatino Linotype" w:cs="Palatino Linotype"/>
          <w:b/>
          <w:color w:val="000000"/>
        </w:rPr>
        <w:t xml:space="preserve">05581/INFOEM/IP/RR/2024 </w:t>
      </w:r>
      <w:r w:rsidR="00552F76" w:rsidRPr="00552F76">
        <w:rPr>
          <w:rFonts w:ascii="Palatino Linotype" w:eastAsia="Palatino Linotype" w:hAnsi="Palatino Linotype" w:cs="Palatino Linotype"/>
          <w:color w:val="000000"/>
        </w:rPr>
        <w:t>y</w:t>
      </w:r>
      <w:r w:rsidR="00552F76" w:rsidRPr="00552F76">
        <w:rPr>
          <w:rFonts w:ascii="Palatino Linotype" w:eastAsia="Palatino Linotype" w:hAnsi="Palatino Linotype" w:cs="Palatino Linotype"/>
          <w:b/>
          <w:color w:val="000000"/>
        </w:rPr>
        <w:t xml:space="preserve"> 05779/INFOEM/IP/RR/2024</w:t>
      </w:r>
      <w:r>
        <w:rPr>
          <w:rFonts w:ascii="Palatino Linotype" w:eastAsia="Palatino Linotype" w:hAnsi="Palatino Linotype" w:cs="Palatino Linotype"/>
          <w:b/>
          <w:color w:val="000000"/>
        </w:rPr>
        <w:t>, ACUMULADOS</w:t>
      </w:r>
    </w:p>
    <w:p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w:t>
      </w:r>
      <w:r>
        <w:rPr>
          <w:rFonts w:ascii="Palatino Linotype" w:eastAsia="Palatino Linotype" w:hAnsi="Palatino Linotype" w:cs="Palatino Linotype"/>
        </w:rPr>
        <w:t xml:space="preserve">nimidad de votos, la Resolución relativa a los  Recursos de Revisión </w:t>
      </w:r>
      <w:r w:rsidR="00552F76" w:rsidRPr="00552F76">
        <w:rPr>
          <w:rFonts w:ascii="Palatino Linotype" w:eastAsia="Palatino Linotype" w:hAnsi="Palatino Linotype" w:cs="Palatino Linotype"/>
          <w:b/>
          <w:color w:val="000000"/>
        </w:rPr>
        <w:t xml:space="preserve">05581/INFOEM/IP/RR/2024 </w:t>
      </w:r>
      <w:r w:rsidR="00552F76" w:rsidRPr="00552F76">
        <w:rPr>
          <w:rFonts w:ascii="Palatino Linotype" w:eastAsia="Palatino Linotype" w:hAnsi="Palatino Linotype" w:cs="Palatino Linotype"/>
          <w:color w:val="000000"/>
        </w:rPr>
        <w:t xml:space="preserve">y </w:t>
      </w:r>
      <w:r w:rsidR="00552F76" w:rsidRPr="00552F76">
        <w:rPr>
          <w:rFonts w:ascii="Palatino Linotype" w:eastAsia="Palatino Linotype" w:hAnsi="Palatino Linotype" w:cs="Palatino Linotype"/>
          <w:b/>
          <w:color w:val="000000"/>
        </w:rPr>
        <w:t>05779/INFOEM/IP/RR/2024</w:t>
      </w:r>
      <w:r>
        <w:rPr>
          <w:rFonts w:ascii="Palatino Linotype" w:eastAsia="Palatino Linotype" w:hAnsi="Palatino Linotype" w:cs="Palatino Linotype"/>
          <w:b/>
        </w:rPr>
        <w:t xml:space="preserve">, acumulados,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w:t>
      </w:r>
      <w:r>
        <w:rPr>
          <w:rFonts w:ascii="Palatino Linotype" w:eastAsia="Palatino Linotype" w:hAnsi="Palatino Linotype" w:cs="Palatino Linotype"/>
        </w:rPr>
        <w:t xml:space="preserve"> la Información Pública y Protección de Personales Datos del Estado de México, así como 45 y 48, fracción I, de los Lineamientos para el funcionamiento del Pleno y las Comisiones del Instituto de Transparencia, Acceso a la Información Pública y Protección </w:t>
      </w:r>
      <w:r>
        <w:rPr>
          <w:rFonts w:ascii="Palatino Linotype" w:eastAsia="Palatino Linotype" w:hAnsi="Palatino Linotype" w:cs="Palatino Linotype"/>
        </w:rPr>
        <w:t>de Datos Personales del Estado de México y Municipios.</w:t>
      </w:r>
    </w:p>
    <w:p w:rsidR="00A87811" w:rsidRDefault="00305093">
      <w:pPr>
        <w:spacing w:before="120" w:after="12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entregada p</w:t>
      </w:r>
      <w:r>
        <w:rPr>
          <w:rFonts w:ascii="Palatino Linotype" w:eastAsia="Palatino Linotype" w:hAnsi="Palatino Linotype" w:cs="Palatino Linotype"/>
        </w:rPr>
        <w:t xml:space="preserve">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atención al medio de impugnación por el que se formula el presente voto, es susceptible de transparentarse pues se encuentra </w:t>
      </w:r>
      <w:r>
        <w:rPr>
          <w:rFonts w:ascii="Palatino Linotype" w:eastAsia="Palatino Linotype" w:hAnsi="Palatino Linotype" w:cs="Palatino Linotype"/>
        </w:rPr>
        <w:lastRenderedPageBreak/>
        <w:t>relacionada con la gestión pública y con su publicidad se favorece indudablemente a la rendición de cuenta</w:t>
      </w:r>
      <w:r>
        <w:rPr>
          <w:rFonts w:ascii="Palatino Linotype" w:eastAsia="Palatino Linotype" w:hAnsi="Palatino Linotype" w:cs="Palatino Linotype"/>
        </w:rPr>
        <w:t>s.</w:t>
      </w:r>
    </w:p>
    <w:p w:rsidR="00A87811" w:rsidRDefault="00305093">
      <w:pPr>
        <w:spacing w:before="120" w:after="12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los argumentos señalados en la resolución, particularmente por considerar que la fotografía de los servidores públicos sin importar el nivel o cargo y en cualquier docume</w:t>
      </w:r>
      <w:r>
        <w:rPr>
          <w:rFonts w:ascii="Palatino Linotype" w:eastAsia="Palatino Linotype" w:hAnsi="Palatino Linotype" w:cs="Palatino Linotype"/>
        </w:rPr>
        <w:t xml:space="preserve">nto que se encuentre vinculado con el cumplimiento de disposiciones legales debe ser pública. </w:t>
      </w:r>
    </w:p>
    <w:p w:rsidR="00A87811" w:rsidRDefault="00305093">
      <w:pPr>
        <w:spacing w:before="120" w:after="12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en la resolución se consideró lo siguiente:</w:t>
      </w:r>
    </w:p>
    <w:p w:rsidR="00305093" w:rsidRPr="00305093" w:rsidRDefault="00305093" w:rsidP="00305093">
      <w:pPr>
        <w:tabs>
          <w:tab w:val="left" w:pos="7655"/>
        </w:tabs>
        <w:spacing w:before="120" w:after="120" w:line="240" w:lineRule="auto"/>
        <w:ind w:left="851" w:right="902"/>
        <w:jc w:val="both"/>
        <w:rPr>
          <w:rFonts w:ascii="Palatino Linotype" w:eastAsia="Times New Roman" w:hAnsi="Palatino Linotype" w:cs="Times New Roman"/>
          <w:i/>
          <w:color w:val="000000"/>
          <w:sz w:val="20"/>
          <w:szCs w:val="20"/>
        </w:rPr>
      </w:pPr>
      <w:bookmarkStart w:id="1" w:name="_heading=h.seznk0v3kwdp" w:colFirst="0" w:colLast="0"/>
      <w:bookmarkEnd w:id="1"/>
      <w:r w:rsidRPr="00305093">
        <w:rPr>
          <w:rFonts w:ascii="Palatino Linotype" w:eastAsia="Palatino Linotype" w:hAnsi="Palatino Linotype" w:cs="Palatino Linotype"/>
          <w:i/>
          <w:sz w:val="20"/>
          <w:szCs w:val="20"/>
        </w:rPr>
        <w:t>“</w:t>
      </w:r>
      <w:r w:rsidRPr="00305093">
        <w:rPr>
          <w:rFonts w:ascii="Palatino Linotype" w:eastAsia="Times New Roman" w:hAnsi="Palatino Linotype" w:cs="Times New Roman"/>
          <w:i/>
          <w:color w:val="000000"/>
          <w:sz w:val="20"/>
          <w:szCs w:val="2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305093" w:rsidRPr="00305093" w:rsidRDefault="00305093" w:rsidP="00305093">
      <w:pPr>
        <w:tabs>
          <w:tab w:val="left" w:pos="7655"/>
        </w:tabs>
        <w:spacing w:before="120" w:after="120" w:line="240" w:lineRule="auto"/>
        <w:ind w:left="851" w:right="902"/>
        <w:jc w:val="both"/>
        <w:rPr>
          <w:rFonts w:ascii="Palatino Linotype" w:eastAsia="Times New Roman" w:hAnsi="Palatino Linotype" w:cs="Times New Roman"/>
          <w:i/>
          <w:color w:val="000000"/>
          <w:sz w:val="20"/>
          <w:szCs w:val="20"/>
        </w:rPr>
      </w:pPr>
      <w:r w:rsidRPr="00305093">
        <w:rPr>
          <w:rFonts w:ascii="Palatino Linotype" w:eastAsia="Times New Roman" w:hAnsi="Palatino Linotype" w:cs="Times New Roman"/>
          <w:i/>
          <w:color w:val="000000"/>
          <w:sz w:val="20"/>
          <w:szCs w:val="2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305093" w:rsidRPr="00305093" w:rsidRDefault="00305093" w:rsidP="00305093">
      <w:pPr>
        <w:tabs>
          <w:tab w:val="left" w:pos="7655"/>
        </w:tabs>
        <w:spacing w:before="120" w:after="120" w:line="240" w:lineRule="auto"/>
        <w:ind w:left="851" w:right="902"/>
        <w:jc w:val="both"/>
        <w:rPr>
          <w:rFonts w:ascii="Palatino Linotype" w:eastAsia="Times New Roman" w:hAnsi="Palatino Linotype" w:cs="Times New Roman"/>
          <w:i/>
          <w:color w:val="000000"/>
          <w:sz w:val="20"/>
          <w:szCs w:val="20"/>
        </w:rPr>
      </w:pPr>
      <w:r w:rsidRPr="00305093">
        <w:rPr>
          <w:rFonts w:ascii="Palatino Linotype" w:eastAsia="Times New Roman" w:hAnsi="Palatino Linotype" w:cs="Times New Roman"/>
          <w:i/>
          <w:color w:val="000000"/>
          <w:sz w:val="20"/>
          <w:szCs w:val="2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305093" w:rsidRPr="00305093" w:rsidRDefault="00305093" w:rsidP="00305093">
      <w:pPr>
        <w:tabs>
          <w:tab w:val="left" w:pos="7655"/>
        </w:tabs>
        <w:spacing w:before="120" w:after="120" w:line="240" w:lineRule="auto"/>
        <w:ind w:left="851" w:right="902"/>
        <w:jc w:val="both"/>
        <w:rPr>
          <w:rFonts w:ascii="Palatino Linotype" w:eastAsia="Times New Roman" w:hAnsi="Palatino Linotype" w:cs="Times New Roman"/>
          <w:i/>
          <w:color w:val="000000"/>
          <w:sz w:val="20"/>
          <w:szCs w:val="20"/>
        </w:rPr>
      </w:pPr>
      <w:r w:rsidRPr="00305093">
        <w:rPr>
          <w:rFonts w:ascii="Palatino Linotype" w:eastAsia="Times New Roman" w:hAnsi="Palatino Linotype" w:cs="Times New Roman"/>
          <w:i/>
          <w:color w:val="000000"/>
          <w:sz w:val="20"/>
          <w:szCs w:val="20"/>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305093" w:rsidRPr="00305093" w:rsidRDefault="00305093" w:rsidP="00305093">
      <w:pPr>
        <w:tabs>
          <w:tab w:val="left" w:pos="7655"/>
        </w:tabs>
        <w:spacing w:before="120" w:after="120" w:line="240" w:lineRule="auto"/>
        <w:ind w:left="851" w:right="902"/>
        <w:jc w:val="both"/>
        <w:rPr>
          <w:rFonts w:ascii="Palatino Linotype" w:eastAsia="Times New Roman" w:hAnsi="Palatino Linotype" w:cs="Times New Roman"/>
          <w:i/>
          <w:color w:val="000000"/>
          <w:sz w:val="20"/>
          <w:szCs w:val="20"/>
        </w:rPr>
      </w:pPr>
      <w:r w:rsidRPr="00305093">
        <w:rPr>
          <w:rFonts w:ascii="Palatino Linotype" w:eastAsia="Times New Roman" w:hAnsi="Palatino Linotype" w:cs="Times New Roman"/>
          <w:i/>
          <w:color w:val="000000"/>
          <w:sz w:val="20"/>
          <w:szCs w:val="20"/>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305093" w:rsidRPr="00305093" w:rsidRDefault="00305093" w:rsidP="00305093">
      <w:pPr>
        <w:tabs>
          <w:tab w:val="left" w:pos="7655"/>
        </w:tabs>
        <w:spacing w:before="120" w:after="120" w:line="240" w:lineRule="auto"/>
        <w:ind w:left="851" w:right="902"/>
        <w:jc w:val="both"/>
        <w:rPr>
          <w:rFonts w:ascii="Palatino Linotype" w:eastAsia="Times New Roman" w:hAnsi="Palatino Linotype" w:cs="Times New Roman"/>
          <w:i/>
          <w:color w:val="000000"/>
          <w:sz w:val="20"/>
          <w:szCs w:val="20"/>
        </w:rPr>
      </w:pPr>
      <w:r w:rsidRPr="00305093">
        <w:rPr>
          <w:rFonts w:ascii="Palatino Linotype" w:eastAsia="Times New Roman" w:hAnsi="Palatino Linotype" w:cs="Times New Roman"/>
          <w:i/>
          <w:color w:val="000000"/>
          <w:sz w:val="20"/>
          <w:szCs w:val="2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305093" w:rsidRPr="00305093" w:rsidRDefault="00305093" w:rsidP="00305093">
      <w:pPr>
        <w:tabs>
          <w:tab w:val="left" w:pos="7655"/>
        </w:tabs>
        <w:spacing w:before="120" w:after="120" w:line="240" w:lineRule="auto"/>
        <w:ind w:left="851" w:right="902"/>
        <w:jc w:val="both"/>
        <w:rPr>
          <w:rFonts w:ascii="Palatino Linotype" w:eastAsia="Palatino Linotype" w:hAnsi="Palatino Linotype" w:cs="Palatino Linotype"/>
          <w:i/>
          <w:sz w:val="20"/>
          <w:szCs w:val="20"/>
          <w:highlight w:val="white"/>
        </w:rPr>
      </w:pPr>
      <w:r w:rsidRPr="00305093">
        <w:rPr>
          <w:rFonts w:ascii="Palatino Linotype" w:eastAsia="Times New Roman" w:hAnsi="Palatino Linotype" w:cs="Times New Roman"/>
          <w:i/>
          <w:color w:val="000000"/>
          <w:sz w:val="20"/>
          <w:szCs w:val="20"/>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305093">
        <w:rPr>
          <w:rFonts w:ascii="Palatino Linotype" w:eastAsia="Times New Roman" w:hAnsi="Palatino Linotype" w:cs="Times New Roman"/>
          <w:b/>
          <w:i/>
          <w:color w:val="000000"/>
          <w:sz w:val="20"/>
          <w:szCs w:val="20"/>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305093" w:rsidRPr="00305093" w:rsidRDefault="00305093" w:rsidP="00305093">
      <w:pPr>
        <w:tabs>
          <w:tab w:val="left" w:pos="4962"/>
          <w:tab w:val="left" w:pos="7936"/>
        </w:tabs>
        <w:spacing w:before="120" w:after="120" w:line="240" w:lineRule="auto"/>
        <w:ind w:left="851" w:right="902"/>
        <w:jc w:val="both"/>
        <w:rPr>
          <w:rFonts w:ascii="Palatino Linotype" w:eastAsia="Palatino Linotype" w:hAnsi="Palatino Linotype" w:cs="Palatino Linotype"/>
          <w:i/>
          <w:sz w:val="20"/>
          <w:szCs w:val="20"/>
        </w:rPr>
      </w:pPr>
      <w:r w:rsidRPr="00305093">
        <w:rPr>
          <w:rFonts w:ascii="Palatino Linotype" w:eastAsia="Palatino Linotype" w:hAnsi="Palatino Linotype" w:cs="Palatino Linotype"/>
          <w:i/>
          <w:sz w:val="20"/>
          <w:szCs w:val="20"/>
        </w:rPr>
        <w:t>[…]</w:t>
      </w:r>
      <w:r w:rsidRPr="00305093">
        <w:rPr>
          <w:rFonts w:ascii="Palatino Linotype" w:eastAsia="Palatino Linotype" w:hAnsi="Palatino Linotype" w:cs="Palatino Linotype"/>
          <w:i/>
          <w:color w:val="000000"/>
          <w:sz w:val="20"/>
          <w:szCs w:val="20"/>
        </w:rPr>
        <w:t>”</w:t>
      </w:r>
    </w:p>
    <w:p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C</w:t>
      </w:r>
      <w:r>
        <w:rPr>
          <w:rFonts w:ascii="Palatino Linotype" w:eastAsia="Palatino Linotype" w:hAnsi="Palatino Linotype" w:cs="Palatino Linotype"/>
        </w:rPr>
        <w:t>omo se puede advertir, en el criterio de la mayoría no se distingue el nivel o cargo que ostente el servidor público. Sin embargo, desde  la óptica de quien suscribe por cuanto hace a la fotografía, consti</w:t>
      </w:r>
      <w:r>
        <w:rPr>
          <w:rFonts w:ascii="Palatino Linotype" w:eastAsia="Palatino Linotype" w:hAnsi="Palatino Linotype" w:cs="Palatino Linotype"/>
        </w:rPr>
        <w:t>tuye la reproducción fiel de las características físicas de una persona en un momento determinado, además, de que representa un instrumento de identificación, proyección exterior y factor imprescindible para su propio reconocimiento como sujeto individual;</w:t>
      </w:r>
      <w:r>
        <w:rPr>
          <w:rFonts w:ascii="Palatino Linotype" w:eastAsia="Palatino Linotype" w:hAnsi="Palatino Linotype" w:cs="Palatino Linotype"/>
        </w:rPr>
        <w:t xml:space="preserve"> por tanto, es un dato personal confidencial que debe protegerse en los documentos que lo contengan, según lo dispuesto por los artículos 3, fracción IX, 143, fracción I de la Ley de Transparencia y Acceso a la Información Pública del Estado de México y Mu</w:t>
      </w:r>
      <w:r>
        <w:rPr>
          <w:rFonts w:ascii="Palatino Linotype" w:eastAsia="Palatino Linotype" w:hAnsi="Palatino Linotype" w:cs="Palatino Linotype"/>
        </w:rPr>
        <w:t>nicipios, en relación con el 4, fracción XI de La Ley de Protección de Datos Personales en Posesión de Sujetos Obligados del Estado de México y Municipios.</w:t>
      </w:r>
    </w:p>
    <w:p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w:t>
      </w:r>
      <w:r>
        <w:rPr>
          <w:rFonts w:ascii="Palatino Linotype" w:eastAsia="Palatino Linotype" w:hAnsi="Palatino Linotype" w:cs="Palatino Linotype"/>
        </w:rPr>
        <w:t>r su naturaleza pueden ser de mayor interés público, esto es, aquellas que tienen un impacto directo en la vida de las personas y en el funcionamiento de la sociedad o de las instituciones públicas; ejemplo de ello pueden ser las funciones que implican una</w:t>
      </w:r>
      <w:r>
        <w:rPr>
          <w:rFonts w:ascii="Palatino Linotype" w:eastAsia="Palatino Linotype" w:hAnsi="Palatino Linotype" w:cs="Palatino Linotype"/>
        </w:rPr>
        <w:t xml:space="preserve"> posición de poder que deba estar sujeta al escrutinio y rendición de cuentas ante la sociedad, la administración de recursos públicos, la implementación de políticas públicas, la prestación de servicios públicos, entre otras.</w:t>
      </w:r>
    </w:p>
    <w:p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w:t>
      </w:r>
      <w:r>
        <w:rPr>
          <w:rFonts w:ascii="Palatino Linotype" w:eastAsia="Palatino Linotype" w:hAnsi="Palatino Linotype" w:cs="Palatino Linotype"/>
        </w:rPr>
        <w:t>úblico que revisten las funciones de las y los servidores públicos que dan atención al público, así como de aquellos que cuenten con la calidad de mando medio o superior, la suscrita comparte que se debe dejar visible su fotografía, pues hacer pública la i</w:t>
      </w:r>
      <w:r>
        <w:rPr>
          <w:rFonts w:ascii="Palatino Linotype" w:eastAsia="Palatino Linotype" w:hAnsi="Palatino Linotype" w:cs="Palatino Linotype"/>
        </w:rPr>
        <w:t xml:space="preserve">magen de éstos puede contribuir a la transparencia y la rendición de cuentas, al </w:t>
      </w:r>
      <w:r>
        <w:rPr>
          <w:rFonts w:ascii="Palatino Linotype" w:eastAsia="Palatino Linotype" w:hAnsi="Palatino Linotype" w:cs="Palatino Linotype"/>
        </w:rPr>
        <w:lastRenderedPageBreak/>
        <w:t>permitir a la ciudadanía identifique a los funcionarios que toman decisiones importantes en su nombre.</w:t>
      </w:r>
    </w:p>
    <w:p w:rsidR="00A87811" w:rsidRDefault="00305093">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w:t>
      </w:r>
      <w:r>
        <w:rPr>
          <w:rFonts w:ascii="Palatino Linotype" w:eastAsia="Palatino Linotype" w:hAnsi="Palatino Linotype" w:cs="Palatino Linotype"/>
          <w:b/>
          <w:u w:val="single"/>
        </w:rPr>
        <w:t>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w:t>
      </w:r>
      <w:r>
        <w:rPr>
          <w:rFonts w:ascii="Palatino Linotype" w:eastAsia="Palatino Linotype" w:hAnsi="Palatino Linotype" w:cs="Palatino Linotype"/>
        </w:rPr>
        <w:t>un cargo de mando medio o superior, o no brindan atención al público, debe conservarse como información confidencial, pues se considera importante equilibrar el interés público con el derecho a la privacidad de las y los servidores públicos y ponderar si r</w:t>
      </w:r>
      <w:r>
        <w:rPr>
          <w:rFonts w:ascii="Palatino Linotype" w:eastAsia="Palatino Linotype" w:hAnsi="Palatino Linotype" w:cs="Palatino Linotype"/>
        </w:rPr>
        <w:t>ealmente es necesario y proporcional hacer pública su imagen, pues, en algunos casos, el interés público de dar a conocer la imagen de un servidor público puede justificar la limitación de su derecho a la privacidad, pero esto debe evaluarse cuidadosamente</w:t>
      </w:r>
      <w:r>
        <w:rPr>
          <w:rFonts w:ascii="Palatino Linotype" w:eastAsia="Palatino Linotype" w:hAnsi="Palatino Linotype" w:cs="Palatino Linotype"/>
        </w:rPr>
        <w:t xml:space="preserve"> en cada caso y no ser la regla general.</w:t>
      </w:r>
    </w:p>
    <w:p w:rsidR="00A87811" w:rsidRDefault="00305093">
      <w:pPr>
        <w:spacing w:before="240" w:after="240" w:line="360" w:lineRule="auto"/>
        <w:ind w:right="51"/>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w:t>
      </w:r>
      <w:r>
        <w:rPr>
          <w:rFonts w:ascii="Palatino Linotype" w:eastAsia="Palatino Linotype" w:hAnsi="Palatino Linotype" w:cs="Palatino Linotype"/>
        </w:rPr>
        <w:t xml:space="preserve">ocimientos y habilidades adquiridas, que se refleja en la toma de decisiones para el óptimo desempeño de las funciones para las cuales fueron designados, la idoneidad para ocupar un cargo, entre otros aspectos, pues el hecho de clasificar la fotografía no </w:t>
      </w:r>
      <w:r>
        <w:rPr>
          <w:rFonts w:ascii="Palatino Linotype" w:eastAsia="Palatino Linotype" w:hAnsi="Palatino Linotype" w:cs="Palatino Linotype"/>
        </w:rPr>
        <w:t>le resta validez a los documentos para los fines señalados.</w:t>
      </w:r>
    </w:p>
    <w:p w:rsidR="00A87811" w:rsidRDefault="0030509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w:t>
      </w:r>
      <w:r>
        <w:rPr>
          <w:rFonts w:ascii="Palatino Linotype" w:eastAsia="Palatino Linotype" w:hAnsi="Palatino Linotype" w:cs="Palatino Linotype"/>
        </w:rPr>
        <w:lastRenderedPageBreak/>
        <w:t xml:space="preserve">determinante dar a conocer </w:t>
      </w:r>
      <w:r>
        <w:rPr>
          <w:rFonts w:ascii="Palatino Linotype" w:eastAsia="Palatino Linotype" w:hAnsi="Palatino Linotype" w:cs="Palatino Linotype"/>
        </w:rPr>
        <w:t>la fotografía para dar cuenta de la idoneidad de las personas servidoras públicas para ocupar sus puestos o para acreditar que cumplieron con determinados requisitos, lo que da cuenta de ello es el propio documento.</w:t>
      </w:r>
    </w:p>
    <w:p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hace </w:t>
      </w:r>
      <w:r>
        <w:rPr>
          <w:rFonts w:ascii="Palatino Linotype" w:eastAsia="Palatino Linotype" w:hAnsi="Palatino Linotype" w:cs="Palatino Linotype"/>
          <w:b/>
          <w:u w:val="single"/>
        </w:rPr>
        <w:t>los certificados de no d</w:t>
      </w:r>
      <w:r>
        <w:rPr>
          <w:rFonts w:ascii="Palatino Linotype" w:eastAsia="Palatino Linotype" w:hAnsi="Palatino Linotype" w:cs="Palatino Linotype"/>
          <w:b/>
          <w:u w:val="single"/>
        </w:rPr>
        <w:t>eudor alimentario moroso</w:t>
      </w:r>
      <w:r w:rsidRPr="00305093">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suscrita considera que deben ser protegidos mediante su clasificación como confidencial en su totalidad, ello derivado a que el estar inscrito en dicho registro tiene un impacto en la imagen de un servidor público y se trata de </w:t>
      </w:r>
      <w:r>
        <w:rPr>
          <w:rFonts w:ascii="Palatino Linotype" w:eastAsia="Palatino Linotype" w:hAnsi="Palatino Linotype" w:cs="Palatino Linotype"/>
        </w:rPr>
        <w:t>un tema estrictamente de carácter personal e incluso de tipo familiar.</w:t>
      </w:r>
    </w:p>
    <w:p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Se considera que la información que se ordena, en efecto, da certeza que determinado servidor público cumplió con los requisitos señalados en el artículo 32 de la Ley Orgánica Municipal</w:t>
      </w:r>
      <w:r>
        <w:rPr>
          <w:rFonts w:ascii="Palatino Linotype" w:eastAsia="Palatino Linotype" w:hAnsi="Palatino Linotype" w:cs="Palatino Linotype"/>
        </w:rPr>
        <w:t xml:space="preserve"> del Estado de México, pero también lo es que dar a conocer esta información podría vulnerar la vida privada de los servidores públicos. </w:t>
      </w:r>
    </w:p>
    <w:p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Proyecto de Decreto por el que se Reforman y Adicionan Diversas Disposiciones para crear el Regis</w:t>
      </w:r>
      <w:r>
        <w:rPr>
          <w:rFonts w:ascii="Palatino Linotype" w:eastAsia="Palatino Linotype" w:hAnsi="Palatino Linotype" w:cs="Palatino Linotype"/>
        </w:rPr>
        <w:t xml:space="preserve">tro de Deudores Alimentarios del Estado de México, disponible en la dirección electrónica </w:t>
      </w:r>
      <w:hyperlink r:id="rId7">
        <w:r>
          <w:rPr>
            <w:rFonts w:ascii="Palatino Linotype" w:eastAsia="Palatino Linotype" w:hAnsi="Palatino Linotype" w:cs="Palatino Linotype"/>
            <w:color w:val="0563C1"/>
            <w:u w:val="single"/>
          </w:rPr>
          <w:t>https://legislacion.edomex.gob.mx/sites/legis</w:t>
        </w:r>
        <w:r>
          <w:rPr>
            <w:rFonts w:ascii="Palatino Linotype" w:eastAsia="Palatino Linotype" w:hAnsi="Palatino Linotype" w:cs="Palatino Linotype"/>
            <w:color w:val="0563C1"/>
            <w:u w:val="single"/>
          </w:rPr>
          <w:t>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A87811" w:rsidRPr="00305093" w:rsidRDefault="00305093">
      <w:pPr>
        <w:spacing w:before="120" w:after="120" w:line="240" w:lineRule="auto"/>
        <w:ind w:left="851" w:right="902"/>
        <w:jc w:val="both"/>
        <w:rPr>
          <w:rFonts w:ascii="Palatino Linotype" w:eastAsia="Palatino Linotype" w:hAnsi="Palatino Linotype" w:cs="Palatino Linotype"/>
          <w:i/>
          <w:sz w:val="20"/>
          <w:szCs w:val="20"/>
        </w:rPr>
      </w:pPr>
      <w:r w:rsidRPr="00305093">
        <w:rPr>
          <w:rFonts w:ascii="Palatino Linotype" w:eastAsia="Palatino Linotype" w:hAnsi="Palatino Linotype" w:cs="Palatino Linotype"/>
          <w:i/>
          <w:sz w:val="20"/>
          <w:szCs w:val="20"/>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A87811" w:rsidRPr="00305093" w:rsidRDefault="00305093">
      <w:pPr>
        <w:spacing w:before="120" w:after="120" w:line="240" w:lineRule="auto"/>
        <w:ind w:left="851" w:right="902"/>
        <w:jc w:val="both"/>
        <w:rPr>
          <w:rFonts w:ascii="Palatino Linotype" w:eastAsia="Palatino Linotype" w:hAnsi="Palatino Linotype" w:cs="Palatino Linotype"/>
          <w:i/>
          <w:sz w:val="20"/>
          <w:szCs w:val="20"/>
        </w:rPr>
      </w:pPr>
      <w:r w:rsidRPr="00305093">
        <w:rPr>
          <w:rFonts w:ascii="Palatino Linotype" w:eastAsia="Palatino Linotype" w:hAnsi="Palatino Linotype" w:cs="Palatino Linotype"/>
          <w:i/>
          <w:sz w:val="20"/>
          <w:szCs w:val="20"/>
        </w:rPr>
        <w:t xml:space="preserve">De acuerdo a nuestra legislación, el derecho a los alimentos no sólo se comprende el acceso a los productos para la nutrición y alimentación sino también lo relativo a la educación, </w:t>
      </w:r>
      <w:r w:rsidRPr="00305093">
        <w:rPr>
          <w:rFonts w:ascii="Palatino Linotype" w:eastAsia="Palatino Linotype" w:hAnsi="Palatino Linotype" w:cs="Palatino Linotype"/>
          <w:i/>
          <w:sz w:val="20"/>
          <w:szCs w:val="20"/>
        </w:rPr>
        <w:lastRenderedPageBreak/>
        <w:t>vivienda, vestido, asistencia médica, recreación, entre otros; aspectos to</w:t>
      </w:r>
      <w:r w:rsidRPr="00305093">
        <w:rPr>
          <w:rFonts w:ascii="Palatino Linotype" w:eastAsia="Palatino Linotype" w:hAnsi="Palatino Linotype" w:cs="Palatino Linotype"/>
          <w:i/>
          <w:sz w:val="20"/>
          <w:szCs w:val="20"/>
        </w:rPr>
        <w:t>dos que permiten o posibilitan el desarrollo integral de las personas.</w:t>
      </w:r>
    </w:p>
    <w:p w:rsidR="00A87811" w:rsidRPr="00305093" w:rsidRDefault="00305093">
      <w:pPr>
        <w:spacing w:before="120" w:after="120" w:line="240" w:lineRule="auto"/>
        <w:ind w:left="851" w:right="902"/>
        <w:jc w:val="both"/>
        <w:rPr>
          <w:rFonts w:ascii="Palatino Linotype" w:eastAsia="Palatino Linotype" w:hAnsi="Palatino Linotype" w:cs="Palatino Linotype"/>
          <w:i/>
          <w:sz w:val="20"/>
          <w:szCs w:val="20"/>
        </w:rPr>
      </w:pPr>
      <w:r w:rsidRPr="00305093">
        <w:rPr>
          <w:rFonts w:ascii="Palatino Linotype" w:eastAsia="Palatino Linotype" w:hAnsi="Palatino Linotype" w:cs="Palatino Linotype"/>
          <w:i/>
          <w:sz w:val="20"/>
          <w:szCs w:val="20"/>
        </w:rPr>
        <w:t>En nuestra Entidad, las demandas de alimentos son presentadas en su gran mayoría por mujeres madres de familia que demandan, por su propio derecho y/o en representación de sus menores h</w:t>
      </w:r>
      <w:r w:rsidRPr="00305093">
        <w:rPr>
          <w:rFonts w:ascii="Palatino Linotype" w:eastAsia="Palatino Linotype" w:hAnsi="Palatino Linotype" w:cs="Palatino Linotype"/>
          <w:i/>
          <w:sz w:val="20"/>
          <w:szCs w:val="20"/>
        </w:rPr>
        <w:t xml:space="preserve">ijos, de su cónyuge, concubino o ex pareja el cumplimiento de esta obligación. Esto debido a que en ocasiones los obligados a proporcionar alimentos </w:t>
      </w:r>
      <w:proofErr w:type="gramStart"/>
      <w:r w:rsidRPr="00305093">
        <w:rPr>
          <w:rFonts w:ascii="Palatino Linotype" w:eastAsia="Palatino Linotype" w:hAnsi="Palatino Linotype" w:cs="Palatino Linotype"/>
          <w:i/>
          <w:sz w:val="20"/>
          <w:szCs w:val="20"/>
        </w:rPr>
        <w:t>eluden</w:t>
      </w:r>
      <w:proofErr w:type="gramEnd"/>
      <w:r w:rsidRPr="00305093">
        <w:rPr>
          <w:rFonts w:ascii="Palatino Linotype" w:eastAsia="Palatino Linotype" w:hAnsi="Palatino Linotype" w:cs="Palatino Linotype"/>
          <w:i/>
          <w:sz w:val="20"/>
          <w:szCs w:val="20"/>
        </w:rPr>
        <w:t xml:space="preserve"> su responsabilidad, con la errónea idea de que será en perjuicio de su pareja o ex pareja, sin enten</w:t>
      </w:r>
      <w:r w:rsidRPr="00305093">
        <w:rPr>
          <w:rFonts w:ascii="Palatino Linotype" w:eastAsia="Palatino Linotype" w:hAnsi="Palatino Linotype" w:cs="Palatino Linotype"/>
          <w:i/>
          <w:sz w:val="20"/>
          <w:szCs w:val="20"/>
        </w:rPr>
        <w:t>der que son los menores hijos los que resultan más afectados. Así que, al acudir al sistema de justicia se pretende que la pensión alimenticia correspondiente quede fijada definitivamente y se garantice el cumplimiento de la obligación alimentaria.</w:t>
      </w:r>
    </w:p>
    <w:p w:rsidR="00A87811" w:rsidRPr="00305093" w:rsidRDefault="00305093">
      <w:pPr>
        <w:spacing w:before="120" w:after="120" w:line="240" w:lineRule="auto"/>
        <w:ind w:left="851" w:right="902"/>
        <w:jc w:val="both"/>
        <w:rPr>
          <w:rFonts w:ascii="Palatino Linotype" w:eastAsia="Palatino Linotype" w:hAnsi="Palatino Linotype" w:cs="Palatino Linotype"/>
          <w:i/>
          <w:sz w:val="20"/>
          <w:szCs w:val="20"/>
        </w:rPr>
      </w:pPr>
      <w:bookmarkStart w:id="3" w:name="_heading=h.1fob9te" w:colFirst="0" w:colLast="0"/>
      <w:bookmarkEnd w:id="3"/>
      <w:r w:rsidRPr="00305093">
        <w:rPr>
          <w:rFonts w:ascii="Palatino Linotype" w:eastAsia="Palatino Linotype" w:hAnsi="Palatino Linotype" w:cs="Palatino Linotype"/>
          <w:i/>
          <w:sz w:val="20"/>
          <w:szCs w:val="20"/>
        </w:rPr>
        <w:t>Los ali</w:t>
      </w:r>
      <w:r w:rsidRPr="00305093">
        <w:rPr>
          <w:rFonts w:ascii="Palatino Linotype" w:eastAsia="Palatino Linotype" w:hAnsi="Palatino Linotype" w:cs="Palatino Linotype"/>
          <w:i/>
          <w:sz w:val="20"/>
          <w:szCs w:val="20"/>
        </w:rPr>
        <w:t>mentos tienen carácter preferente a favor de los hijos, sin que pueda eximirse el deudor alimentario de su cumplimiento cuando esté en posibilidades de hacerlo. En el Estado de México,</w:t>
      </w:r>
      <w:r w:rsidRPr="00305093">
        <w:rPr>
          <w:rFonts w:ascii="Palatino Linotype" w:eastAsia="Palatino Linotype" w:hAnsi="Palatino Linotype" w:cs="Palatino Linotype"/>
          <w:sz w:val="20"/>
          <w:szCs w:val="20"/>
        </w:rPr>
        <w:t xml:space="preserve"> </w:t>
      </w:r>
      <w:r w:rsidRPr="00305093">
        <w:rPr>
          <w:rFonts w:ascii="Palatino Linotype" w:eastAsia="Palatino Linotype" w:hAnsi="Palatino Linotype" w:cs="Palatino Linotype"/>
          <w:i/>
          <w:sz w:val="20"/>
          <w:szCs w:val="20"/>
        </w:rPr>
        <w:t>diversos son los instrumentos legales que se tienen para obligar al deu</w:t>
      </w:r>
      <w:r w:rsidRPr="00305093">
        <w:rPr>
          <w:rFonts w:ascii="Palatino Linotype" w:eastAsia="Palatino Linotype" w:hAnsi="Palatino Linotype" w:cs="Palatino Linotype"/>
          <w:i/>
          <w:sz w:val="20"/>
          <w:szCs w:val="20"/>
        </w:rPr>
        <w:t>dor al pago de alimentos, cuando éstos no se enteran de manera voluntaria, como debe ser el ideal, entre los que destacan: el embargo de bienes, incluyendo, la del salario, así como la pérdida de la patria potestad, contempladas en la legislación civil, su</w:t>
      </w:r>
      <w:r w:rsidRPr="00305093">
        <w:rPr>
          <w:rFonts w:ascii="Palatino Linotype" w:eastAsia="Palatino Linotype" w:hAnsi="Palatino Linotype" w:cs="Palatino Linotype"/>
          <w:i/>
          <w:sz w:val="20"/>
          <w:szCs w:val="20"/>
        </w:rPr>
        <w:t xml:space="preserve">stantiva y adjetiva. También podemos citar, la imposición de la pena de prisión hasta por siete años, por el delito de incumplimiento de obligaciones, previsto en las fracciones II y III, del artículo 217, del Código Penal del Estado de México. Pese a los </w:t>
      </w:r>
      <w:r w:rsidRPr="00305093">
        <w:rPr>
          <w:rFonts w:ascii="Palatino Linotype" w:eastAsia="Palatino Linotype" w:hAnsi="Palatino Linotype" w:cs="Palatino Linotype"/>
          <w:i/>
          <w:sz w:val="20"/>
          <w:szCs w:val="20"/>
        </w:rPr>
        <w:t>alcances de estas medidas legales, éstas no han sido suficientes para hacer cumplir a los deudores con sus obligaciones alimentarias.</w:t>
      </w:r>
    </w:p>
    <w:p w:rsidR="00A87811" w:rsidRPr="00305093" w:rsidRDefault="00305093">
      <w:pPr>
        <w:spacing w:before="120" w:after="120" w:line="240" w:lineRule="auto"/>
        <w:ind w:left="851" w:right="902"/>
        <w:jc w:val="both"/>
        <w:rPr>
          <w:rFonts w:ascii="Palatino Linotype" w:eastAsia="Palatino Linotype" w:hAnsi="Palatino Linotype" w:cs="Palatino Linotype"/>
          <w:b/>
          <w:i/>
          <w:sz w:val="20"/>
          <w:szCs w:val="20"/>
          <w:u w:val="single"/>
        </w:rPr>
      </w:pPr>
      <w:r w:rsidRPr="00305093">
        <w:rPr>
          <w:rFonts w:ascii="Palatino Linotype" w:eastAsia="Palatino Linotype" w:hAnsi="Palatino Linotype" w:cs="Palatino Linotype"/>
          <w:i/>
          <w:sz w:val="20"/>
          <w:szCs w:val="20"/>
        </w:rPr>
        <w:t>Por ello, creemos necesario establecer nuevos y diferentes mecanismos que aseguren el pago de los alimentos, para que sean</w:t>
      </w:r>
      <w:r w:rsidRPr="00305093">
        <w:rPr>
          <w:rFonts w:ascii="Palatino Linotype" w:eastAsia="Palatino Linotype" w:hAnsi="Palatino Linotype" w:cs="Palatino Linotype"/>
          <w:i/>
          <w:sz w:val="20"/>
          <w:szCs w:val="20"/>
        </w:rPr>
        <w:t xml:space="preserve"> satisfechas las necesidades más básicas, principalmente de los menores, que no pueden allegarse por sí mismos los recursos económicos para la subsistencia. Lo anterior, porque cuando una persona ha logrado satisfacer sus necesidades básicas, entonces está</w:t>
      </w:r>
      <w:r w:rsidRPr="00305093">
        <w:rPr>
          <w:rFonts w:ascii="Palatino Linotype" w:eastAsia="Palatino Linotype" w:hAnsi="Palatino Linotype" w:cs="Palatino Linotype"/>
          <w:i/>
          <w:sz w:val="20"/>
          <w:szCs w:val="20"/>
        </w:rPr>
        <w:t xml:space="preserve"> en mejores condiciones para crecer y superarse. En ese sentido, el presente Proyecto de Decreto propone la creación del Registro de Deudores Alimentarios del Estado de México (REDAEM), </w:t>
      </w:r>
      <w:r w:rsidRPr="00305093">
        <w:rPr>
          <w:rFonts w:ascii="Palatino Linotype" w:eastAsia="Palatino Linotype" w:hAnsi="Palatino Linotype" w:cs="Palatino Linotype"/>
          <w:b/>
          <w:i/>
          <w:sz w:val="20"/>
          <w:szCs w:val="20"/>
          <w:u w:val="single"/>
        </w:rPr>
        <w:t>con la finalidad de asegurar el cumplimiento de las obligaciones alime</w:t>
      </w:r>
      <w:r w:rsidRPr="00305093">
        <w:rPr>
          <w:rFonts w:ascii="Palatino Linotype" w:eastAsia="Palatino Linotype" w:hAnsi="Palatino Linotype" w:cs="Palatino Linotype"/>
          <w:b/>
          <w:i/>
          <w:sz w:val="20"/>
          <w:szCs w:val="20"/>
          <w:u w:val="single"/>
        </w:rPr>
        <w:t>ntarias que tienen los padres para con sus menores hijos.”</w:t>
      </w:r>
    </w:p>
    <w:p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el registro de deudores alimentarios morosos no tiene por </w:t>
      </w:r>
      <w:proofErr w:type="gramStart"/>
      <w:r>
        <w:rPr>
          <w:rFonts w:ascii="Palatino Linotype" w:eastAsia="Palatino Linotype" w:hAnsi="Palatino Linotype" w:cs="Palatino Linotype"/>
        </w:rPr>
        <w:t>objeto</w:t>
      </w:r>
      <w:proofErr w:type="gramEnd"/>
      <w:r>
        <w:rPr>
          <w:rFonts w:ascii="Palatino Linotype" w:eastAsia="Palatino Linotype" w:hAnsi="Palatino Linotype" w:cs="Palatino Linotype"/>
        </w:rPr>
        <w:t xml:space="preserve"> su publicidad, sino por el contrario que sea un mecanismo para garantizar que los </w:t>
      </w:r>
      <w:r>
        <w:rPr>
          <w:rFonts w:ascii="Palatino Linotype" w:eastAsia="Palatino Linotype" w:hAnsi="Palatino Linotype" w:cs="Palatino Linotype"/>
        </w:rPr>
        <w:lastRenderedPageBreak/>
        <w:t>padres cumpl</w:t>
      </w:r>
      <w:r>
        <w:rPr>
          <w:rFonts w:ascii="Palatino Linotype" w:eastAsia="Palatino Linotype" w:hAnsi="Palatino Linotype" w:cs="Palatino Linotype"/>
        </w:rPr>
        <w:t>an con su obligación de dar alimentos a los hijos en razón de su protección (interés superior del menor).</w:t>
      </w:r>
    </w:p>
    <w:p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w:t>
      </w:r>
      <w:r>
        <w:rPr>
          <w:rFonts w:ascii="Palatino Linotype" w:eastAsia="Palatino Linotype" w:hAnsi="Palatino Linotype" w:cs="Palatino Linotype"/>
          <w:b/>
        </w:rPr>
        <w:t>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w:t>
      </w:r>
      <w:r>
        <w:rPr>
          <w:rFonts w:ascii="Palatino Linotype" w:eastAsia="Palatino Linotype" w:hAnsi="Palatino Linotype" w:cs="Palatino Linotype"/>
        </w:rPr>
        <w:t xml:space="preserve">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A87811" w:rsidRDefault="0030509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 efec</w:t>
      </w:r>
      <w:r>
        <w:rPr>
          <w:rFonts w:ascii="Palatino Linotype" w:eastAsia="Palatino Linotype" w:hAnsi="Palatino Linotype" w:cs="Palatino Linotype"/>
        </w:rPr>
        <w:t xml:space="preserve">to de robustecer lo anterior, sirve de sustento el criterio orientador 29/10 emitido por el Instituto Nacional de Transparencia, Acceso a la Información y Protección de Datos Personales, INAI, el cual refiere lo siguiente: </w:t>
      </w:r>
    </w:p>
    <w:p w:rsidR="00A87811" w:rsidRDefault="00305093">
      <w:pPr>
        <w:tabs>
          <w:tab w:val="left" w:pos="851"/>
        </w:tabs>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 xml:space="preserve"> </w:t>
      </w: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La clasificación y la inexistencia de información son conceptos que no pueden coexistir</w:t>
      </w:r>
      <w:r>
        <w:rPr>
          <w:rFonts w:ascii="Palatino Linotype" w:eastAsia="Palatino Linotype" w:hAnsi="Palatino Linotype" w:cs="Palatino Linotype"/>
          <w:i/>
          <w:sz w:val="20"/>
          <w:szCs w:val="20"/>
        </w:rPr>
        <w:t>. La inexistencia implica necesariamente que la información no se encuentra en los archivos de la autoridad, no obstante que la dependencia o entidad cuente con facultad</w:t>
      </w:r>
      <w:r>
        <w:rPr>
          <w:rFonts w:ascii="Palatino Linotype" w:eastAsia="Palatino Linotype" w:hAnsi="Palatino Linotype" w:cs="Palatino Linotype"/>
          <w:i/>
          <w:sz w:val="20"/>
          <w:szCs w:val="20"/>
        </w:rPr>
        <w:t>es para poseer dicha información. En este sentido, la inexistencia es una calidad que se atribuye a la información solicitada. Por su parte, la clasificación es una característica que ad</w:t>
      </w:r>
      <w:bookmarkStart w:id="4" w:name="_GoBack"/>
      <w:bookmarkEnd w:id="4"/>
      <w:r>
        <w:rPr>
          <w:rFonts w:ascii="Palatino Linotype" w:eastAsia="Palatino Linotype" w:hAnsi="Palatino Linotype" w:cs="Palatino Linotype"/>
          <w:i/>
          <w:sz w:val="20"/>
          <w:szCs w:val="20"/>
        </w:rPr>
        <w:t>quiere la información concreta contenida en un documento específico, s</w:t>
      </w:r>
      <w:r>
        <w:rPr>
          <w:rFonts w:ascii="Palatino Linotype" w:eastAsia="Palatino Linotype" w:hAnsi="Palatino Linotype" w:cs="Palatino Linotype"/>
          <w:i/>
          <w:sz w:val="20"/>
          <w:szCs w:val="20"/>
        </w:rPr>
        <w:t>iempre que se encuentre en los supuestos establecidos en los artículos 13 y 14 de la Ley Federal de Transparencia y Acceso a la Información Pública Gubernamental, para el caso de la información reservada, y 18 del mismo ordenamiento, para el caso de la inf</w:t>
      </w:r>
      <w:r>
        <w:rPr>
          <w:rFonts w:ascii="Palatino Linotype" w:eastAsia="Palatino Linotype" w:hAnsi="Palatino Linotype" w:cs="Palatino Linotype"/>
          <w:i/>
          <w:sz w:val="20"/>
          <w:szCs w:val="20"/>
        </w:rPr>
        <w:t xml:space="preserve">ormación confidencial. Por lo anterior, la clasificación y la inexistencia no coexisten entre sí, en virtud de que la clasificación de información implica invariablemente la existencia de un </w:t>
      </w:r>
      <w:r>
        <w:rPr>
          <w:rFonts w:ascii="Palatino Linotype" w:eastAsia="Palatino Linotype" w:hAnsi="Palatino Linotype" w:cs="Palatino Linotype"/>
          <w:i/>
          <w:sz w:val="20"/>
          <w:szCs w:val="20"/>
        </w:rPr>
        <w:lastRenderedPageBreak/>
        <w:t xml:space="preserve">documento o documentos determinados mientras que la inexistencia </w:t>
      </w:r>
      <w:r>
        <w:rPr>
          <w:rFonts w:ascii="Palatino Linotype" w:eastAsia="Palatino Linotype" w:hAnsi="Palatino Linotype" w:cs="Palatino Linotype"/>
          <w:i/>
          <w:sz w:val="20"/>
          <w:szCs w:val="20"/>
        </w:rPr>
        <w:t xml:space="preserve">conlleva la ausencia de los mismos en los archivos de la dependencia o entidad de que se trate." </w:t>
      </w:r>
    </w:p>
    <w:p w:rsidR="00A87811" w:rsidRDefault="00305093">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w:t>
      </w:r>
      <w:r>
        <w:rPr>
          <w:rFonts w:ascii="Palatino Linotype" w:eastAsia="Palatino Linotype" w:hAnsi="Palatino Linotype" w:cs="Palatino Linotype"/>
          <w:b/>
          <w:u w:val="single"/>
        </w:rPr>
        <w:t>alidad de mando medio y/o superior,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pues se estima que se actualiza la causal de clasificación establecida en el artículo 143, fracción I, de la Ley d</w:t>
      </w:r>
      <w:r>
        <w:rPr>
          <w:rFonts w:ascii="Palatino Linotype" w:eastAsia="Palatino Linotype" w:hAnsi="Palatino Linotype" w:cs="Palatino Linotype"/>
        </w:rPr>
        <w:t xml:space="preserve">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tabs>
          <w:tab w:val="left" w:pos="851"/>
        </w:tabs>
        <w:spacing w:after="0" w:line="240" w:lineRule="auto"/>
        <w:ind w:right="902"/>
        <w:jc w:val="both"/>
        <w:rPr>
          <w:rFonts w:ascii="Palatino Linotype" w:eastAsia="Palatino Linotype" w:hAnsi="Palatino Linotype" w:cs="Palatino Linotype"/>
          <w:i/>
        </w:rPr>
      </w:pPr>
    </w:p>
    <w:p w:rsidR="00A87811" w:rsidRDefault="00A87811">
      <w:pPr>
        <w:spacing w:after="0" w:line="360" w:lineRule="auto"/>
        <w:ind w:right="423"/>
        <w:jc w:val="both"/>
        <w:rPr>
          <w:rFonts w:ascii="Palatino Linotype" w:eastAsia="Palatino Linotype" w:hAnsi="Palatino Linotype" w:cs="Palatino Linotype"/>
        </w:rPr>
      </w:pPr>
    </w:p>
    <w:p w:rsidR="00A87811" w:rsidRDefault="00A87811">
      <w:pPr>
        <w:tabs>
          <w:tab w:val="left" w:pos="709"/>
        </w:tabs>
        <w:spacing w:after="0" w:line="360" w:lineRule="auto"/>
        <w:jc w:val="both"/>
        <w:rPr>
          <w:rFonts w:ascii="Palatino Linotype" w:eastAsia="Palatino Linotype" w:hAnsi="Palatino Linotype" w:cs="Palatino Linotype"/>
          <w:b/>
        </w:rPr>
      </w:pPr>
    </w:p>
    <w:sectPr w:rsidR="00A87811">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05093">
      <w:pPr>
        <w:spacing w:after="0" w:line="240" w:lineRule="auto"/>
      </w:pPr>
      <w:r>
        <w:separator/>
      </w:r>
    </w:p>
  </w:endnote>
  <w:endnote w:type="continuationSeparator" w:id="0">
    <w:p w:rsidR="00000000" w:rsidRDefault="0030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05093">
      <w:pPr>
        <w:spacing w:after="0" w:line="240" w:lineRule="auto"/>
      </w:pPr>
      <w:r>
        <w:separator/>
      </w:r>
    </w:p>
  </w:footnote>
  <w:footnote w:type="continuationSeparator" w:id="0">
    <w:p w:rsidR="00000000" w:rsidRDefault="0030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11" w:rsidRDefault="00552F76">
    <w:pPr>
      <w:widowControl w:val="0"/>
      <w:pBdr>
        <w:top w:val="nil"/>
        <w:left w:val="nil"/>
        <w:bottom w:val="nil"/>
        <w:right w:val="nil"/>
        <w:between w:val="nil"/>
      </w:pBdr>
      <w:spacing w:after="0" w:line="276" w:lineRule="auto"/>
      <w:rPr>
        <w:rFonts w:ascii="Palatino Linotype" w:eastAsia="Palatino Linotype" w:hAnsi="Palatino Linotype" w:cs="Palatino Linotype"/>
        <w:b/>
      </w:rPr>
    </w:pPr>
    <w:r>
      <w:rPr>
        <w:noProof/>
        <w:lang w:val="es-MX"/>
      </w:rPr>
      <w:drawing>
        <wp:anchor distT="0" distB="0" distL="0" distR="0" simplePos="0" relativeHeight="251658240" behindDoc="1" locked="0" layoutInCell="1" hidden="0" allowOverlap="1">
          <wp:simplePos x="0" y="0"/>
          <wp:positionH relativeFrom="column">
            <wp:posOffset>-764540</wp:posOffset>
          </wp:positionH>
          <wp:positionV relativeFrom="paragraph">
            <wp:posOffset>172720</wp:posOffset>
          </wp:positionV>
          <wp:extent cx="7521053" cy="9897494"/>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tbl>
    <w:tblPr>
      <w:tblStyle w:val="a1"/>
      <w:tblW w:w="5382" w:type="dxa"/>
      <w:tblInd w:w="3402" w:type="dxa"/>
      <w:tblLayout w:type="fixed"/>
      <w:tblLook w:val="0400" w:firstRow="0" w:lastRow="0" w:firstColumn="0" w:lastColumn="0" w:noHBand="0" w:noVBand="1"/>
    </w:tblPr>
    <w:tblGrid>
      <w:gridCol w:w="2410"/>
      <w:gridCol w:w="2972"/>
    </w:tblGrid>
    <w:tr w:rsidR="00A87811">
      <w:tc>
        <w:tcPr>
          <w:tcW w:w="2410" w:type="dxa"/>
          <w:vAlign w:val="center"/>
        </w:tcPr>
        <w:p w:rsidR="00A87811" w:rsidRDefault="00A8781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2972" w:type="dxa"/>
          <w:vAlign w:val="center"/>
        </w:tcPr>
        <w:p w:rsidR="00A87811" w:rsidRDefault="0030509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A87811">
      <w:tc>
        <w:tcPr>
          <w:tcW w:w="2410" w:type="dxa"/>
          <w:vAlign w:val="center"/>
        </w:tcPr>
        <w:p w:rsidR="00A87811" w:rsidRDefault="003050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972" w:type="dxa"/>
        </w:tcPr>
        <w:p w:rsidR="00A87811" w:rsidRDefault="00552F7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05581</w:t>
          </w:r>
          <w:r w:rsidR="00305093">
            <w:rPr>
              <w:rFonts w:ascii="Palatino Linotype" w:eastAsia="Palatino Linotype" w:hAnsi="Palatino Linotype" w:cs="Palatino Linotype"/>
              <w:b/>
              <w:color w:val="000000"/>
              <w:sz w:val="20"/>
              <w:szCs w:val="20"/>
            </w:rPr>
            <w:t>/INFOEM/IP/RR/2024</w:t>
          </w:r>
        </w:p>
        <w:p w:rsidR="00A87811" w:rsidRDefault="00552F76" w:rsidP="00552F7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y acumulado </w:t>
          </w:r>
        </w:p>
      </w:tc>
    </w:tr>
    <w:tr w:rsidR="00A87811">
      <w:tc>
        <w:tcPr>
          <w:tcW w:w="2410" w:type="dxa"/>
        </w:tcPr>
        <w:p w:rsidR="00A87811" w:rsidRDefault="003050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972" w:type="dxa"/>
        </w:tcPr>
        <w:p w:rsidR="00A87811" w:rsidRDefault="00552F76">
          <w:pPr>
            <w:tabs>
              <w:tab w:val="center" w:pos="4419"/>
              <w:tab w:val="right" w:pos="8838"/>
            </w:tabs>
            <w:jc w:val="both"/>
            <w:rPr>
              <w:rFonts w:ascii="Palatino Linotype" w:eastAsia="Palatino Linotype" w:hAnsi="Palatino Linotype" w:cs="Palatino Linotype"/>
              <w:b/>
              <w:color w:val="000000"/>
              <w:sz w:val="20"/>
              <w:szCs w:val="20"/>
            </w:rPr>
          </w:pPr>
          <w:r w:rsidRPr="00552F76">
            <w:rPr>
              <w:rFonts w:ascii="Palatino Linotype" w:eastAsia="Palatino Linotype" w:hAnsi="Palatino Linotype" w:cs="Palatino Linotype"/>
              <w:b/>
              <w:color w:val="000000"/>
              <w:sz w:val="20"/>
              <w:szCs w:val="20"/>
            </w:rPr>
            <w:t>Sistema Municipal Para el Desarrollo Integral de la Familia de Toluca</w:t>
          </w:r>
        </w:p>
      </w:tc>
    </w:tr>
    <w:tr w:rsidR="00A87811">
      <w:tc>
        <w:tcPr>
          <w:tcW w:w="2410" w:type="dxa"/>
        </w:tcPr>
        <w:p w:rsidR="00A87811" w:rsidRDefault="00305093">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2972" w:type="dxa"/>
        </w:tcPr>
        <w:p w:rsidR="00A87811" w:rsidRDefault="00552F7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552F76">
            <w:rPr>
              <w:rFonts w:ascii="Palatino Linotype" w:eastAsia="Palatino Linotype" w:hAnsi="Palatino Linotype" w:cs="Palatino Linotype"/>
              <w:b/>
              <w:color w:val="000000"/>
              <w:sz w:val="20"/>
              <w:szCs w:val="20"/>
            </w:rPr>
            <w:t>Luis Gustavo Parra Noriega</w:t>
          </w:r>
        </w:p>
      </w:tc>
    </w:tr>
  </w:tbl>
  <w:p w:rsidR="00A87811" w:rsidRDefault="00A8781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11"/>
    <w:rsid w:val="00305093"/>
    <w:rsid w:val="00552F76"/>
    <w:rsid w:val="005D66CC"/>
    <w:rsid w:val="00776FA5"/>
    <w:rsid w:val="00A87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4F97A-7C7E-44B6-AF5D-B30A6AC8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14/nov14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vqId6iYYCpWqyBmLbnFqzrhg==">CgMxLjAyCGguZ2pkZ3hzMg5oLnNlem5rMHYza3dkcDIOaC54ZXpyMG9rZDU3dG4yCWguMWZvYjl0ZTIJaC4zMGowemxsOAByITFkSFFDSHZPLTFwVFMyLVFubmZnTHB4bFBNdHc5SlBlSw==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2636</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5</cp:revision>
  <dcterms:created xsi:type="dcterms:W3CDTF">2024-12-04T21:01:00Z</dcterms:created>
  <dcterms:modified xsi:type="dcterms:W3CDTF">2024-12-04T21:08:00Z</dcterms:modified>
</cp:coreProperties>
</file>