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08C4" w14:textId="77777777" w:rsidR="00FA7810" w:rsidRDefault="00FB3809">
      <w:pPr>
        <w:spacing w:after="0" w:line="360" w:lineRule="auto"/>
        <w:jc w:val="both"/>
        <w:rPr>
          <w:rFonts w:ascii="Palatino Linotype" w:eastAsia="Palatino Linotype" w:hAnsi="Palatino Linotype" w:cs="Palatino Linotype"/>
          <w:b/>
        </w:rPr>
      </w:pPr>
      <w:bookmarkStart w:id="0" w:name="_heading=h.gjdgxs" w:colFirst="0" w:colLast="0"/>
      <w:bookmarkEnd w:id="0"/>
      <w:r>
        <w:rPr>
          <w:rFonts w:ascii="Palatino Linotype" w:eastAsia="Palatino Linotype" w:hAnsi="Palatino Linotype" w:cs="Palatino Linotype"/>
          <w:b/>
        </w:rPr>
        <w:t>VOTO PARTICULAR QUE FORMULA LA COMISIONADA GUADALUPE RAMÍREZ PEÑA EN RELACIÓN CON LA RESOLUCIÓN DICTADA POR EL PLENO DEL INSTITUTO DE TRANSPARENCIA, ACCESO A LA INFORMACIÓN PÚBLICA Y PROTECCIÓN DE DATOS PERSONALES DEL ESTADO DE MÉXICO Y MUNICIPIOS, EN LA D</w:t>
      </w:r>
      <w:r>
        <w:rPr>
          <w:rFonts w:ascii="Palatino Linotype" w:eastAsia="Palatino Linotype" w:hAnsi="Palatino Linotype" w:cs="Palatino Linotype"/>
          <w:b/>
        </w:rPr>
        <w:t xml:space="preserve">ÉCIMO SEXTA SESIÓN ORDINARIA DEL NUEVE DE MAYO DE DOS MIL VEINTICUATRO, EN EL RECURSO DE REVISIÓN 02946/INFOEM/IP/RR/2023.  </w:t>
      </w:r>
    </w:p>
    <w:p w14:paraId="1B5A2DB5" w14:textId="77777777" w:rsidR="00FA7810" w:rsidRDefault="00FA7810">
      <w:pPr>
        <w:spacing w:after="0" w:line="360" w:lineRule="auto"/>
        <w:jc w:val="both"/>
        <w:rPr>
          <w:rFonts w:ascii="Palatino Linotype" w:eastAsia="Palatino Linotype" w:hAnsi="Palatino Linotype" w:cs="Palatino Linotype"/>
          <w:b/>
        </w:rPr>
      </w:pPr>
    </w:p>
    <w:p w14:paraId="6D983ECF" w14:textId="77777777" w:rsidR="00FA7810" w:rsidRDefault="00FB3809">
      <w:pPr>
        <w:spacing w:after="0" w:line="360" w:lineRule="auto"/>
        <w:jc w:val="both"/>
        <w:rPr>
          <w:rFonts w:ascii="Palatino Linotype" w:eastAsia="Palatino Linotype" w:hAnsi="Palatino Linotype" w:cs="Palatino Linotype"/>
        </w:rPr>
      </w:pPr>
      <w:bookmarkStart w:id="1" w:name="_heading=h.1fob9te" w:colFirst="0" w:colLast="0"/>
      <w:bookmarkEnd w:id="1"/>
      <w:r>
        <w:rPr>
          <w:rFonts w:ascii="Palatino Linotype" w:eastAsia="Palatino Linotype" w:hAnsi="Palatino Linotype" w:cs="Palatino Linotype"/>
        </w:rPr>
        <w:t>Con fundamento en lo dispuesto por el artículo 14, fracciones X y XI, del Reglamento del Instituto de Transparencia, Acceso a la I</w:t>
      </w:r>
      <w:r>
        <w:rPr>
          <w:rFonts w:ascii="Palatino Linotype" w:eastAsia="Palatino Linotype" w:hAnsi="Palatino Linotype" w:cs="Palatino Linotype"/>
        </w:rPr>
        <w:t xml:space="preserve">nformación Pública y Protección de Datos Personales del Estado de México,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xml:space="preserve">, emite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 xml:space="preserve">respecto a la resolución dictada en el recurso de revisión número </w:t>
      </w:r>
      <w:r>
        <w:rPr>
          <w:rFonts w:ascii="Palatino Linotype" w:eastAsia="Palatino Linotype" w:hAnsi="Palatino Linotype" w:cs="Palatino Linotype"/>
          <w:b/>
        </w:rPr>
        <w:t>02946/INFOEM/IP/RR/2023</w:t>
      </w:r>
      <w:r>
        <w:rPr>
          <w:rFonts w:ascii="Palatino Linotype" w:eastAsia="Palatino Linotype" w:hAnsi="Palatino Linotype" w:cs="Palatino Linotype"/>
        </w:rPr>
        <w:t>, pronunciada por el Pleno de es</w:t>
      </w:r>
      <w:r>
        <w:rPr>
          <w:rFonts w:ascii="Palatino Linotype" w:eastAsia="Palatino Linotype" w:hAnsi="Palatino Linotype" w:cs="Palatino Linotype"/>
        </w:rPr>
        <w:t>te Instituto ante el proyecto presentado por</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Comisionado Luis Gustavo Parra Noriega</w:t>
      </w:r>
      <w:r>
        <w:rPr>
          <w:rFonts w:ascii="Palatino Linotype" w:eastAsia="Palatino Linotype" w:hAnsi="Palatino Linotype" w:cs="Palatino Linotype"/>
        </w:rPr>
        <w:t xml:space="preserve">, y que es al tenor siguiente: </w:t>
      </w:r>
    </w:p>
    <w:p w14:paraId="04AE8509" w14:textId="77777777" w:rsidR="00FA7810" w:rsidRDefault="00FA7810">
      <w:pPr>
        <w:spacing w:after="0" w:line="360" w:lineRule="auto"/>
        <w:jc w:val="both"/>
        <w:rPr>
          <w:rFonts w:ascii="Palatino Linotype" w:eastAsia="Palatino Linotype" w:hAnsi="Palatino Linotype" w:cs="Palatino Linotype"/>
        </w:rPr>
      </w:pPr>
    </w:p>
    <w:p w14:paraId="36326B3C" w14:textId="77777777" w:rsidR="00FA7810" w:rsidRDefault="00FB3809">
      <w:pPr>
        <w:spacing w:after="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rPr>
        <w:t xml:space="preserve">En el asunto que nos ocupa,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solicitó al Poder Legislativo en la solicitud de información número </w:t>
      </w:r>
      <w:r>
        <w:rPr>
          <w:rFonts w:ascii="Palatino Linotype" w:eastAsia="Palatino Linotype" w:hAnsi="Palatino Linotype" w:cs="Palatino Linotype"/>
          <w:b/>
          <w:color w:val="000000"/>
        </w:rPr>
        <w:t>00305/PLEGISLA/IP/202</w:t>
      </w:r>
      <w:r>
        <w:rPr>
          <w:rFonts w:ascii="Palatino Linotype" w:eastAsia="Palatino Linotype" w:hAnsi="Palatino Linotype" w:cs="Palatino Linotype"/>
          <w:b/>
          <w:color w:val="000000"/>
        </w:rPr>
        <w:t>3</w:t>
      </w:r>
      <w:r>
        <w:rPr>
          <w:rFonts w:ascii="Palatino Linotype" w:eastAsia="Palatino Linotype" w:hAnsi="Palatino Linotype" w:cs="Palatino Linotype"/>
        </w:rPr>
        <w:t>, le proporcionara la información relacionada con lo siguiente:</w:t>
      </w:r>
    </w:p>
    <w:p w14:paraId="4748A2C8" w14:textId="77777777" w:rsidR="00FA7810" w:rsidRDefault="00FA7810">
      <w:pPr>
        <w:spacing w:after="0" w:line="360" w:lineRule="auto"/>
        <w:jc w:val="both"/>
        <w:rPr>
          <w:rFonts w:ascii="Palatino Linotype" w:eastAsia="Palatino Linotype" w:hAnsi="Palatino Linotype" w:cs="Palatino Linotype"/>
        </w:rPr>
      </w:pPr>
    </w:p>
    <w:p w14:paraId="48999F28" w14:textId="77777777" w:rsidR="00FA7810" w:rsidRDefault="00FB3809">
      <w:pPr>
        <w:pBdr>
          <w:top w:val="nil"/>
          <w:left w:val="nil"/>
          <w:bottom w:val="nil"/>
          <w:right w:val="nil"/>
          <w:between w:val="nil"/>
        </w:pBdr>
        <w:spacing w:after="0" w:line="360" w:lineRule="auto"/>
        <w:ind w:left="426" w:right="474"/>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“nómina general, tabulador de sueldos, reporte de altas y bajas de personal del Ayuntamiento de Tianguistenco y sus organismos descentralizados, así como de facturas o comprobantes de contra</w:t>
      </w:r>
      <w:r>
        <w:rPr>
          <w:rFonts w:ascii="Palatino Linotype" w:eastAsia="Palatino Linotype" w:hAnsi="Palatino Linotype" w:cs="Palatino Linotype"/>
          <w:i/>
          <w:color w:val="000000"/>
        </w:rPr>
        <w:t xml:space="preserve">tación de servicios de prensa con medios de comunicación, y comprobantes sobre apoyos entregados al Consejo Indígena Municipal del Trueque y consejo </w:t>
      </w:r>
      <w:r>
        <w:rPr>
          <w:rFonts w:ascii="Palatino Linotype" w:eastAsia="Palatino Linotype" w:hAnsi="Palatino Linotype" w:cs="Palatino Linotype"/>
          <w:i/>
          <w:color w:val="000000"/>
        </w:rPr>
        <w:lastRenderedPageBreak/>
        <w:t>pluricultural del Tianguistenco o cualquier otro similar, correspondientes a los meses de agosto, septiembr</w:t>
      </w:r>
      <w:r>
        <w:rPr>
          <w:rFonts w:ascii="Palatino Linotype" w:eastAsia="Palatino Linotype" w:hAnsi="Palatino Linotype" w:cs="Palatino Linotype"/>
          <w:i/>
          <w:color w:val="000000"/>
        </w:rPr>
        <w:t xml:space="preserve">e y octubre de 2017 y junio, julio, agosto y septiembre del 2018.” </w:t>
      </w:r>
    </w:p>
    <w:p w14:paraId="487BACD4" w14:textId="77777777" w:rsidR="00FA7810" w:rsidRDefault="00FA7810">
      <w:pPr>
        <w:pBdr>
          <w:top w:val="nil"/>
          <w:left w:val="nil"/>
          <w:bottom w:val="nil"/>
          <w:right w:val="nil"/>
          <w:between w:val="nil"/>
        </w:pBdr>
        <w:spacing w:after="0" w:line="360" w:lineRule="auto"/>
        <w:ind w:left="426" w:right="474"/>
        <w:jc w:val="both"/>
        <w:rPr>
          <w:rFonts w:ascii="Palatino Linotype" w:eastAsia="Palatino Linotype" w:hAnsi="Palatino Linotype" w:cs="Palatino Linotype"/>
          <w:i/>
          <w:color w:val="000000"/>
        </w:rPr>
      </w:pPr>
    </w:p>
    <w:p w14:paraId="4BA21F0D" w14:textId="77777777" w:rsidR="00FA7810" w:rsidRDefault="00FB3809">
      <w:pPr>
        <w:tabs>
          <w:tab w:val="left" w:pos="7513"/>
        </w:tabs>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respuesta, </w:t>
      </w:r>
      <w:r>
        <w:rPr>
          <w:rFonts w:ascii="Palatino Linotype" w:eastAsia="Palatino Linotype" w:hAnsi="Palatino Linotype" w:cs="Palatino Linotype"/>
          <w:color w:val="000000"/>
        </w:rPr>
        <w:t>el Sujeto Obligado notificó, a través del Sistema de Acceso a la Información Mexiquense (SAIMEX), la respuesta a la solicitud de acceso a la información pública, mediante la</w:t>
      </w:r>
      <w:r>
        <w:rPr>
          <w:rFonts w:ascii="Palatino Linotype" w:eastAsia="Palatino Linotype" w:hAnsi="Palatino Linotype" w:cs="Palatino Linotype"/>
          <w:color w:val="000000"/>
        </w:rPr>
        <w:t xml:space="preserve"> digitalización del oficio UIPL/0830/2023 de veinticuatro de mayo de dos mil veinticuatro, suscrito por el Titular de la Unidad de Transparencia por medio del cual comunicó que los datos requeridos no corresponden a la información generada y poseída por di</w:t>
      </w:r>
      <w:r>
        <w:rPr>
          <w:rFonts w:ascii="Palatino Linotype" w:eastAsia="Palatino Linotype" w:hAnsi="Palatino Linotype" w:cs="Palatino Linotype"/>
          <w:color w:val="000000"/>
        </w:rPr>
        <w:t>cho Sujeto Obligado, por no encontrarse dentro de las facultades y obligaciones de la Legislatura, por lo que no se contaba con la información.</w:t>
      </w:r>
    </w:p>
    <w:p w14:paraId="258E0DFD" w14:textId="77777777" w:rsidR="00FA7810" w:rsidRDefault="00FA7810">
      <w:pPr>
        <w:pBdr>
          <w:top w:val="nil"/>
          <w:left w:val="nil"/>
          <w:bottom w:val="nil"/>
          <w:right w:val="nil"/>
          <w:between w:val="nil"/>
        </w:pBdr>
        <w:spacing w:after="0" w:line="360" w:lineRule="auto"/>
        <w:ind w:left="567"/>
        <w:jc w:val="both"/>
        <w:rPr>
          <w:rFonts w:ascii="Palatino Linotype" w:eastAsia="Palatino Linotype" w:hAnsi="Palatino Linotype" w:cs="Palatino Linotype"/>
          <w:i/>
          <w:color w:val="000000"/>
          <w:sz w:val="20"/>
          <w:szCs w:val="20"/>
        </w:rPr>
      </w:pPr>
    </w:p>
    <w:p w14:paraId="55BB7BB3" w14:textId="77777777" w:rsidR="00FA7810" w:rsidRDefault="00FB3809">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conocido este acto, la ahora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interpuso su medio de impugnación, doliéndose medularment</w:t>
      </w:r>
      <w:r>
        <w:rPr>
          <w:rFonts w:ascii="Palatino Linotype" w:eastAsia="Palatino Linotype" w:hAnsi="Palatino Linotype" w:cs="Palatino Linotype"/>
        </w:rPr>
        <w:t xml:space="preserve">e por lo siguiente: </w:t>
      </w:r>
      <w:r>
        <w:rPr>
          <w:rFonts w:ascii="Palatino Linotype" w:eastAsia="Palatino Linotype" w:hAnsi="Palatino Linotype" w:cs="Palatino Linotype"/>
          <w:i/>
        </w:rPr>
        <w:t xml:space="preserve">Es competencia del Poder Legislativo ya que el Órgano Superior de fiscalización del Estado de México depende de </w:t>
      </w:r>
      <w:proofErr w:type="spellStart"/>
      <w:r>
        <w:rPr>
          <w:rFonts w:ascii="Palatino Linotype" w:eastAsia="Palatino Linotype" w:hAnsi="Palatino Linotype" w:cs="Palatino Linotype"/>
          <w:i/>
        </w:rPr>
        <w:t>el</w:t>
      </w:r>
      <w:proofErr w:type="spellEnd"/>
      <w:r>
        <w:rPr>
          <w:rFonts w:ascii="Palatino Linotype" w:eastAsia="Palatino Linotype" w:hAnsi="Palatino Linotype" w:cs="Palatino Linotype"/>
          <w:i/>
        </w:rPr>
        <w:t xml:space="preserve">, </w:t>
      </w:r>
      <w:proofErr w:type="spellStart"/>
      <w:r>
        <w:rPr>
          <w:rFonts w:ascii="Palatino Linotype" w:eastAsia="Palatino Linotype" w:hAnsi="Palatino Linotype" w:cs="Palatino Linotype"/>
          <w:i/>
        </w:rPr>
        <w:t>a si</w:t>
      </w:r>
      <w:proofErr w:type="spellEnd"/>
      <w:r>
        <w:rPr>
          <w:rFonts w:ascii="Palatino Linotype" w:eastAsia="Palatino Linotype" w:hAnsi="Palatino Linotype" w:cs="Palatino Linotype"/>
          <w:i/>
        </w:rPr>
        <w:t xml:space="preserve"> mismo la información es entrega a ese órgano por medio de los informes mensuales.</w:t>
      </w:r>
    </w:p>
    <w:p w14:paraId="1485653C" w14:textId="77777777" w:rsidR="00FA7810" w:rsidRDefault="00FA7810">
      <w:pPr>
        <w:pBdr>
          <w:top w:val="nil"/>
          <w:left w:val="nil"/>
          <w:bottom w:val="nil"/>
          <w:right w:val="nil"/>
          <w:between w:val="nil"/>
        </w:pBdr>
        <w:spacing w:after="0" w:line="360" w:lineRule="auto"/>
        <w:ind w:left="720"/>
        <w:jc w:val="both"/>
        <w:rPr>
          <w:rFonts w:ascii="Palatino Linotype" w:eastAsia="Palatino Linotype" w:hAnsi="Palatino Linotype" w:cs="Palatino Linotype"/>
          <w:i/>
        </w:rPr>
      </w:pPr>
    </w:p>
    <w:p w14:paraId="5C897527" w14:textId="77777777" w:rsidR="00FA7810" w:rsidRDefault="00FB3809">
      <w:pPr>
        <w:spacing w:after="0" w:line="360" w:lineRule="auto"/>
        <w:rPr>
          <w:rFonts w:ascii="Palatino Linotype" w:eastAsia="Palatino Linotype" w:hAnsi="Palatino Linotype" w:cs="Palatino Linotype"/>
        </w:rPr>
      </w:pPr>
      <w:r>
        <w:rPr>
          <w:rFonts w:ascii="Palatino Linotype" w:eastAsia="Palatino Linotype" w:hAnsi="Palatino Linotype" w:cs="Palatino Linotype"/>
        </w:rPr>
        <w:t xml:space="preserve">El Sujeto Obligado, mediante informe justificado, ratificó su respuesta inicial. </w:t>
      </w:r>
    </w:p>
    <w:p w14:paraId="20604883" w14:textId="77777777" w:rsidR="00FA7810" w:rsidRDefault="00FA7810">
      <w:pPr>
        <w:tabs>
          <w:tab w:val="left" w:pos="709"/>
        </w:tabs>
        <w:spacing w:after="0" w:line="360" w:lineRule="auto"/>
        <w:jc w:val="both"/>
        <w:rPr>
          <w:rFonts w:ascii="Palatino Linotype" w:eastAsia="Palatino Linotype" w:hAnsi="Palatino Linotype" w:cs="Palatino Linotype"/>
          <w:b/>
          <w:i/>
        </w:rPr>
      </w:pPr>
    </w:p>
    <w:p w14:paraId="28CAA049" w14:textId="77777777" w:rsidR="00FA7810" w:rsidRDefault="00FB3809">
      <w:pPr>
        <w:tabs>
          <w:tab w:val="left" w:pos="709"/>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la Ponencia Resolutora determinó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 respuesta del Sujeto Obligado y </w:t>
      </w:r>
      <w:r>
        <w:rPr>
          <w:rFonts w:ascii="Palatino Linotype" w:eastAsia="Palatino Linotype" w:hAnsi="Palatino Linotype" w:cs="Palatino Linotype"/>
          <w:b/>
        </w:rPr>
        <w:t xml:space="preserve">ORDENAR </w:t>
      </w:r>
      <w:r>
        <w:rPr>
          <w:rFonts w:ascii="Palatino Linotype" w:eastAsia="Palatino Linotype" w:hAnsi="Palatino Linotype" w:cs="Palatino Linotype"/>
        </w:rPr>
        <w:t xml:space="preserve">la siguiente información: </w:t>
      </w:r>
    </w:p>
    <w:p w14:paraId="0073CA12" w14:textId="77777777" w:rsidR="00FA7810" w:rsidRDefault="00FA7810">
      <w:pPr>
        <w:tabs>
          <w:tab w:val="left" w:pos="709"/>
        </w:tabs>
        <w:spacing w:after="0" w:line="360" w:lineRule="auto"/>
        <w:jc w:val="both"/>
        <w:rPr>
          <w:rFonts w:ascii="Palatino Linotype" w:eastAsia="Palatino Linotype" w:hAnsi="Palatino Linotype" w:cs="Palatino Linotype"/>
        </w:rPr>
      </w:pPr>
    </w:p>
    <w:p w14:paraId="751BB4D5" w14:textId="77777777" w:rsidR="00FA7810" w:rsidRDefault="00FB3809">
      <w:pPr>
        <w:spacing w:after="0" w:line="276" w:lineRule="auto"/>
        <w:ind w:left="567" w:right="706"/>
        <w:rPr>
          <w:rFonts w:ascii="Palatino Linotype" w:eastAsia="Palatino Linotype" w:hAnsi="Palatino Linotype" w:cs="Palatino Linotype"/>
          <w:i/>
        </w:rPr>
      </w:pPr>
      <w:r>
        <w:rPr>
          <w:rFonts w:ascii="Palatino Linotype" w:eastAsia="Palatino Linotype" w:hAnsi="Palatino Linotype" w:cs="Palatino Linotype"/>
          <w:b/>
          <w:i/>
        </w:rPr>
        <w:t>PRIMERO</w:t>
      </w:r>
      <w:r>
        <w:rPr>
          <w:rFonts w:ascii="Palatino Linotype" w:eastAsia="Palatino Linotype" w:hAnsi="Palatino Linotype" w:cs="Palatino Linotype"/>
          <w:i/>
        </w:rPr>
        <w:t xml:space="preserve">. Se </w:t>
      </w:r>
      <w:r>
        <w:rPr>
          <w:rFonts w:ascii="Palatino Linotype" w:eastAsia="Palatino Linotype" w:hAnsi="Palatino Linotype" w:cs="Palatino Linotype"/>
          <w:b/>
          <w:i/>
        </w:rPr>
        <w:t>MODIFICA</w:t>
      </w:r>
      <w:r>
        <w:rPr>
          <w:rFonts w:ascii="Palatino Linotype" w:eastAsia="Palatino Linotype" w:hAnsi="Palatino Linotype" w:cs="Palatino Linotype"/>
          <w:i/>
        </w:rPr>
        <w:t xml:space="preserve"> la respuesta entregad</w:t>
      </w:r>
      <w:r>
        <w:rPr>
          <w:rFonts w:ascii="Palatino Linotype" w:eastAsia="Palatino Linotype" w:hAnsi="Palatino Linotype" w:cs="Palatino Linotype"/>
          <w:i/>
        </w:rPr>
        <w:t xml:space="preserve">a por el Poder Legislativo a la solicitud de información 00305/PLEGISLA/IP/2023, por resultar </w:t>
      </w:r>
      <w:r>
        <w:rPr>
          <w:rFonts w:ascii="Palatino Linotype" w:eastAsia="Palatino Linotype" w:hAnsi="Palatino Linotype" w:cs="Palatino Linotype"/>
          <w:b/>
          <w:i/>
        </w:rPr>
        <w:t>PARCIALMENTE</w:t>
      </w:r>
      <w:r>
        <w:rPr>
          <w:rFonts w:ascii="Palatino Linotype" w:eastAsia="Palatino Linotype" w:hAnsi="Palatino Linotype" w:cs="Palatino Linotype"/>
          <w:i/>
        </w:rPr>
        <w:t xml:space="preserve"> </w:t>
      </w:r>
      <w:r>
        <w:rPr>
          <w:rFonts w:ascii="Palatino Linotype" w:eastAsia="Palatino Linotype" w:hAnsi="Palatino Linotype" w:cs="Palatino Linotype"/>
          <w:b/>
          <w:i/>
        </w:rPr>
        <w:lastRenderedPageBreak/>
        <w:t>FUNDADAS</w:t>
      </w:r>
      <w:r>
        <w:rPr>
          <w:rFonts w:ascii="Palatino Linotype" w:eastAsia="Palatino Linotype" w:hAnsi="Palatino Linotype" w:cs="Palatino Linotype"/>
          <w:i/>
        </w:rPr>
        <w:t xml:space="preserve"> las razones o motivos de inconformidad hechos valer por el Particular, en términos de los considerandos QUINTO y SEXTO de la presente Resolu</w:t>
      </w:r>
      <w:r>
        <w:rPr>
          <w:rFonts w:ascii="Palatino Linotype" w:eastAsia="Palatino Linotype" w:hAnsi="Palatino Linotype" w:cs="Palatino Linotype"/>
          <w:i/>
        </w:rPr>
        <w:t>ción.</w:t>
      </w:r>
    </w:p>
    <w:p w14:paraId="42F5343C" w14:textId="77777777" w:rsidR="00FA7810" w:rsidRDefault="00FA7810">
      <w:pPr>
        <w:spacing w:after="0" w:line="276" w:lineRule="auto"/>
        <w:ind w:left="567" w:right="706"/>
        <w:rPr>
          <w:rFonts w:ascii="Palatino Linotype" w:eastAsia="Palatino Linotype" w:hAnsi="Palatino Linotype" w:cs="Palatino Linotype"/>
          <w:i/>
        </w:rPr>
      </w:pPr>
    </w:p>
    <w:p w14:paraId="53E1B38B" w14:textId="77777777" w:rsidR="00FA7810" w:rsidRDefault="00FB3809">
      <w:pPr>
        <w:spacing w:after="0" w:line="276" w:lineRule="auto"/>
        <w:ind w:left="567" w:right="706"/>
        <w:rPr>
          <w:rFonts w:ascii="Palatino Linotype" w:eastAsia="Palatino Linotype" w:hAnsi="Palatino Linotype" w:cs="Palatino Linotype"/>
          <w:i/>
          <w:color w:val="000000"/>
        </w:rPr>
      </w:pPr>
      <w:r>
        <w:rPr>
          <w:rFonts w:ascii="Palatino Linotype" w:eastAsia="Palatino Linotype" w:hAnsi="Palatino Linotype" w:cs="Palatino Linotype"/>
          <w:b/>
          <w:i/>
        </w:rPr>
        <w:t xml:space="preserve">SEGUNDO.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 xml:space="preserve">ORDENA </w:t>
      </w:r>
      <w:r>
        <w:rPr>
          <w:rFonts w:ascii="Palatino Linotype" w:eastAsia="Palatino Linotype" w:hAnsi="Palatino Linotype" w:cs="Palatino Linotype"/>
          <w:i/>
        </w:rPr>
        <w:t>al Ente Recurrido, a efecto de que, previa búsqueda exhaustiva y razonable en las unidades administrativas competentes, entregue, a través del Sistema de Acceso a la Información Mexiquense (SAIMEX), en su caso, en versión pública,</w:t>
      </w:r>
      <w:r>
        <w:rPr>
          <w:rFonts w:ascii="Palatino Linotype" w:eastAsia="Palatino Linotype" w:hAnsi="Palatino Linotype" w:cs="Palatino Linotype"/>
          <w:i/>
        </w:rPr>
        <w:t xml:space="preserve"> respecto a los Informes Mensuales de </w:t>
      </w:r>
      <w:r>
        <w:rPr>
          <w:rFonts w:ascii="Palatino Linotype" w:eastAsia="Palatino Linotype" w:hAnsi="Palatino Linotype" w:cs="Palatino Linotype"/>
          <w:i/>
          <w:color w:val="000000"/>
        </w:rPr>
        <w:t xml:space="preserve">agosto, septiembre y octubre de dos mil diecisiete y junio, julio, agosto y septiembre de dos mil dieciocho, presentados por el Ayuntamiento  de Tianguistenco y sus respectivos Órganos Municipales Descentralizados, lo </w:t>
      </w:r>
      <w:r>
        <w:rPr>
          <w:rFonts w:ascii="Palatino Linotype" w:eastAsia="Palatino Linotype" w:hAnsi="Palatino Linotype" w:cs="Palatino Linotype"/>
          <w:i/>
          <w:color w:val="000000"/>
        </w:rPr>
        <w:t>siguiente:</w:t>
      </w:r>
    </w:p>
    <w:p w14:paraId="14B1BBDB" w14:textId="77777777" w:rsidR="00FA7810" w:rsidRDefault="00FA7810">
      <w:pPr>
        <w:spacing w:after="0" w:line="276" w:lineRule="auto"/>
        <w:ind w:left="567" w:right="706"/>
        <w:rPr>
          <w:rFonts w:ascii="Palatino Linotype" w:eastAsia="Palatino Linotype" w:hAnsi="Palatino Linotype" w:cs="Palatino Linotype"/>
          <w:i/>
          <w:color w:val="000000"/>
        </w:rPr>
      </w:pPr>
    </w:p>
    <w:p w14:paraId="01808AAB" w14:textId="77777777" w:rsidR="00FA7810" w:rsidRDefault="00FB3809">
      <w:pPr>
        <w:numPr>
          <w:ilvl w:val="0"/>
          <w:numId w:val="1"/>
        </w:num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Nómina General del 01 al 15 del mes;</w:t>
      </w:r>
    </w:p>
    <w:p w14:paraId="3B5467E3" w14:textId="77777777" w:rsidR="00FA7810" w:rsidRDefault="00FA7810">
      <w:pPr>
        <w:pBdr>
          <w:top w:val="nil"/>
          <w:left w:val="nil"/>
          <w:bottom w:val="nil"/>
          <w:right w:val="nil"/>
          <w:between w:val="nil"/>
        </w:pBdr>
        <w:spacing w:after="0" w:line="276" w:lineRule="auto"/>
        <w:ind w:left="567" w:right="706"/>
        <w:rPr>
          <w:rFonts w:ascii="Palatino Linotype" w:eastAsia="Palatino Linotype" w:hAnsi="Palatino Linotype" w:cs="Palatino Linotype"/>
          <w:i/>
          <w:color w:val="000000"/>
          <w:sz w:val="24"/>
          <w:szCs w:val="24"/>
        </w:rPr>
      </w:pPr>
    </w:p>
    <w:p w14:paraId="302237EC" w14:textId="77777777" w:rsidR="00FA7810" w:rsidRDefault="00FB3809">
      <w:pPr>
        <w:numPr>
          <w:ilvl w:val="0"/>
          <w:numId w:val="1"/>
        </w:num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Nómina General del 16 al 30/31 del mes;</w:t>
      </w:r>
    </w:p>
    <w:p w14:paraId="2BC8307A" w14:textId="77777777" w:rsidR="00FA7810" w:rsidRDefault="00FA7810">
      <w:pPr>
        <w:pBdr>
          <w:top w:val="nil"/>
          <w:left w:val="nil"/>
          <w:bottom w:val="nil"/>
          <w:right w:val="nil"/>
          <w:between w:val="nil"/>
        </w:pBdr>
        <w:spacing w:after="0" w:line="276" w:lineRule="auto"/>
        <w:ind w:left="567" w:right="706"/>
        <w:rPr>
          <w:rFonts w:ascii="Palatino Linotype" w:eastAsia="Palatino Linotype" w:hAnsi="Palatino Linotype" w:cs="Palatino Linotype"/>
          <w:i/>
          <w:color w:val="000000"/>
          <w:sz w:val="24"/>
          <w:szCs w:val="24"/>
        </w:rPr>
      </w:pPr>
    </w:p>
    <w:p w14:paraId="39F886B2" w14:textId="77777777" w:rsidR="00FA7810" w:rsidRDefault="00FB3809">
      <w:pPr>
        <w:numPr>
          <w:ilvl w:val="0"/>
          <w:numId w:val="1"/>
        </w:num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Reporte de Altas y Bajas de Personal, y</w:t>
      </w:r>
    </w:p>
    <w:p w14:paraId="0E54345B" w14:textId="77777777" w:rsidR="00FA7810" w:rsidRDefault="00FA7810">
      <w:pPr>
        <w:pBdr>
          <w:top w:val="nil"/>
          <w:left w:val="nil"/>
          <w:bottom w:val="nil"/>
          <w:right w:val="nil"/>
          <w:between w:val="nil"/>
        </w:pBdr>
        <w:spacing w:after="0" w:line="276" w:lineRule="auto"/>
        <w:ind w:left="567" w:right="706"/>
        <w:rPr>
          <w:rFonts w:ascii="Palatino Linotype" w:eastAsia="Palatino Linotype" w:hAnsi="Palatino Linotype" w:cs="Palatino Linotype"/>
          <w:i/>
          <w:color w:val="000000"/>
          <w:sz w:val="24"/>
          <w:szCs w:val="24"/>
        </w:rPr>
      </w:pPr>
    </w:p>
    <w:p w14:paraId="4F694ACB" w14:textId="77777777" w:rsidR="00FA7810" w:rsidRDefault="00FB3809">
      <w:pPr>
        <w:numPr>
          <w:ilvl w:val="0"/>
          <w:numId w:val="1"/>
        </w:numPr>
        <w:pBdr>
          <w:top w:val="nil"/>
          <w:left w:val="nil"/>
          <w:bottom w:val="nil"/>
          <w:right w:val="nil"/>
          <w:between w:val="nil"/>
        </w:pBdr>
        <w:spacing w:after="0" w:line="276" w:lineRule="auto"/>
        <w:ind w:left="567" w:right="706"/>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Tabulador de Sueldos.</w:t>
      </w:r>
    </w:p>
    <w:p w14:paraId="15672F61" w14:textId="77777777" w:rsidR="00FA7810" w:rsidRDefault="00FA7810">
      <w:pPr>
        <w:spacing w:after="0" w:line="276" w:lineRule="auto"/>
        <w:ind w:left="567" w:right="706"/>
        <w:rPr>
          <w:rFonts w:ascii="Palatino Linotype" w:eastAsia="Palatino Linotype" w:hAnsi="Palatino Linotype" w:cs="Palatino Linotype"/>
          <w:i/>
        </w:rPr>
      </w:pPr>
    </w:p>
    <w:p w14:paraId="329169B7" w14:textId="77777777" w:rsidR="00FA7810" w:rsidRDefault="00FB3809">
      <w:pPr>
        <w:spacing w:after="0" w:line="276" w:lineRule="auto"/>
        <w:ind w:left="567" w:right="706"/>
        <w:rPr>
          <w:rFonts w:ascii="Palatino Linotype" w:eastAsia="Palatino Linotype" w:hAnsi="Palatino Linotype" w:cs="Palatino Linotype"/>
          <w:i/>
        </w:rPr>
      </w:pPr>
      <w:r>
        <w:rPr>
          <w:rFonts w:ascii="Palatino Linotype" w:eastAsia="Palatino Linotype" w:hAnsi="Palatino Linotype" w:cs="Palatino Linotype"/>
          <w:i/>
        </w:rPr>
        <w:t>Además, de ser necesario, deberá proporcionar el Acuerdo de Clasificación donde el Comité de Transparencia, confirme la eliminación de los datos o información clasificada, en la versión pública, de conformidad con los artículos 49, fracciones II y VIII y 1</w:t>
      </w:r>
      <w:r>
        <w:rPr>
          <w:rFonts w:ascii="Palatino Linotype" w:eastAsia="Palatino Linotype" w:hAnsi="Palatino Linotype" w:cs="Palatino Linotype"/>
          <w:i/>
        </w:rPr>
        <w:t>32, fracción II de la Ley de Transparencia y Acceso a la Información Pública del Estado de México y Municipios.</w:t>
      </w:r>
    </w:p>
    <w:p w14:paraId="0F916448" w14:textId="77777777" w:rsidR="00FA7810" w:rsidRDefault="00FA7810">
      <w:pPr>
        <w:tabs>
          <w:tab w:val="left" w:pos="709"/>
        </w:tabs>
        <w:spacing w:after="0" w:line="360" w:lineRule="auto"/>
        <w:jc w:val="both"/>
        <w:rPr>
          <w:rFonts w:ascii="Palatino Linotype" w:eastAsia="Palatino Linotype" w:hAnsi="Palatino Linotype" w:cs="Palatino Linotype"/>
        </w:rPr>
      </w:pPr>
    </w:p>
    <w:p w14:paraId="57C0C69E" w14:textId="77777777" w:rsidR="00FA7810" w:rsidRDefault="00FA7810">
      <w:pPr>
        <w:tabs>
          <w:tab w:val="left" w:pos="709"/>
        </w:tabs>
        <w:spacing w:after="0" w:line="360" w:lineRule="auto"/>
        <w:jc w:val="both"/>
        <w:rPr>
          <w:rFonts w:ascii="Palatino Linotype" w:eastAsia="Palatino Linotype" w:hAnsi="Palatino Linotype" w:cs="Palatino Linotype"/>
        </w:rPr>
      </w:pPr>
    </w:p>
    <w:p w14:paraId="19907889" w14:textId="77777777" w:rsidR="00FA7810" w:rsidRDefault="00FA7810">
      <w:pPr>
        <w:tabs>
          <w:tab w:val="left" w:pos="709"/>
        </w:tabs>
        <w:spacing w:after="0" w:line="360" w:lineRule="auto"/>
        <w:jc w:val="both"/>
        <w:rPr>
          <w:rFonts w:ascii="Palatino Linotype" w:eastAsia="Palatino Linotype" w:hAnsi="Palatino Linotype" w:cs="Palatino Linotype"/>
        </w:rPr>
      </w:pPr>
    </w:p>
    <w:p w14:paraId="566CF124" w14:textId="77777777" w:rsidR="00FA7810" w:rsidRDefault="00FA7810">
      <w:pPr>
        <w:tabs>
          <w:tab w:val="left" w:pos="709"/>
        </w:tabs>
        <w:spacing w:after="0" w:line="360" w:lineRule="auto"/>
        <w:jc w:val="both"/>
        <w:rPr>
          <w:rFonts w:ascii="Palatino Linotype" w:eastAsia="Palatino Linotype" w:hAnsi="Palatino Linotype" w:cs="Palatino Linotype"/>
        </w:rPr>
      </w:pPr>
    </w:p>
    <w:p w14:paraId="2C6BD5F6" w14:textId="77777777" w:rsidR="00FA7810" w:rsidRDefault="00FA7810">
      <w:pPr>
        <w:tabs>
          <w:tab w:val="left" w:pos="709"/>
        </w:tabs>
        <w:spacing w:after="0" w:line="360" w:lineRule="auto"/>
        <w:jc w:val="both"/>
        <w:rPr>
          <w:rFonts w:ascii="Palatino Linotype" w:eastAsia="Palatino Linotype" w:hAnsi="Palatino Linotype" w:cs="Palatino Linotype"/>
        </w:rPr>
      </w:pPr>
    </w:p>
    <w:p w14:paraId="3FFBF6B7" w14:textId="77777777" w:rsidR="00FA7810" w:rsidRDefault="00FB3809">
      <w:pPr>
        <w:tabs>
          <w:tab w:val="left" w:pos="709"/>
        </w:tabs>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II. Razones del voto particular</w:t>
      </w:r>
    </w:p>
    <w:p w14:paraId="403494BC" w14:textId="77777777" w:rsidR="00FA7810" w:rsidRDefault="00FA7810">
      <w:pPr>
        <w:spacing w:after="0" w:line="360" w:lineRule="auto"/>
        <w:ind w:right="616"/>
        <w:jc w:val="both"/>
        <w:rPr>
          <w:rFonts w:ascii="Palatino Linotype" w:eastAsia="Palatino Linotype" w:hAnsi="Palatino Linotype" w:cs="Palatino Linotype"/>
          <w:b/>
        </w:rPr>
      </w:pPr>
    </w:p>
    <w:p w14:paraId="3C3ACA5C" w14:textId="77777777" w:rsidR="00FA7810" w:rsidRDefault="00FB3809">
      <w:pP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Derivado de lo anterior, es preciso señalar que no se comparte en plenitud que la Ponencia Resolutora no haya determinado ordenar lo relativo a las facturas o comprobantes de apoyos, por considerar que, el Sujeto Obligado tendría que realizar una investiga</w:t>
      </w:r>
      <w:r>
        <w:rPr>
          <w:rFonts w:ascii="Palatino Linotype" w:eastAsia="Palatino Linotype" w:hAnsi="Palatino Linotype" w:cs="Palatino Linotype"/>
        </w:rPr>
        <w:t>ción en los informes mensuales a efecto de verificar que en la información que obra en sus archivos de los meses solicitados haya habido erogación de recursos públicos de los temas referidos, señalando que resultaría una carga desproporcionada al Órgano Su</w:t>
      </w:r>
      <w:r>
        <w:rPr>
          <w:rFonts w:ascii="Palatino Linotype" w:eastAsia="Palatino Linotype" w:hAnsi="Palatino Linotype" w:cs="Palatino Linotype"/>
        </w:rPr>
        <w:t xml:space="preserve">perior de Fiscalización pues este desconocía las erogaciones realizadas por los entes fiscalizables y la forma en que se realizaron. </w:t>
      </w:r>
    </w:p>
    <w:p w14:paraId="36721200" w14:textId="77777777" w:rsidR="00FA7810" w:rsidRDefault="00FA7810">
      <w:pPr>
        <w:spacing w:after="0" w:line="360" w:lineRule="auto"/>
        <w:ind w:right="142"/>
        <w:jc w:val="both"/>
        <w:rPr>
          <w:rFonts w:ascii="Palatino Linotype" w:eastAsia="Palatino Linotype" w:hAnsi="Palatino Linotype" w:cs="Palatino Linotype"/>
        </w:rPr>
      </w:pPr>
    </w:p>
    <w:p w14:paraId="51295707" w14:textId="77777777" w:rsidR="00FA7810" w:rsidRDefault="00FB3809">
      <w:pP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En ese sentido, es de mencionar que, una póliza contable es un documento en el que se asientan las operaciones desarrolla</w:t>
      </w:r>
      <w:r>
        <w:rPr>
          <w:rFonts w:ascii="Palatino Linotype" w:eastAsia="Palatino Linotype" w:hAnsi="Palatino Linotype" w:cs="Palatino Linotype"/>
        </w:rPr>
        <w:t xml:space="preserve">das por el municipio y toda la información necesaria para su identificación, además dichas pólizas se dividen en las siguientes: </w:t>
      </w:r>
    </w:p>
    <w:p w14:paraId="39FC76E5" w14:textId="77777777" w:rsidR="00FA7810" w:rsidRDefault="00FA7810">
      <w:pPr>
        <w:spacing w:after="0" w:line="360" w:lineRule="auto"/>
        <w:ind w:right="142"/>
        <w:jc w:val="both"/>
        <w:rPr>
          <w:rFonts w:ascii="Palatino Linotype" w:eastAsia="Palatino Linotype" w:hAnsi="Palatino Linotype" w:cs="Palatino Linotype"/>
        </w:rPr>
      </w:pPr>
    </w:p>
    <w:p w14:paraId="2569F062" w14:textId="77777777" w:rsidR="00FA7810" w:rsidRDefault="00FB3809">
      <w:pPr>
        <w:numPr>
          <w:ilvl w:val="0"/>
          <w:numId w:val="2"/>
        </w:numPr>
        <w:pBdr>
          <w:top w:val="nil"/>
          <w:left w:val="nil"/>
          <w:bottom w:val="nil"/>
          <w:right w:val="nil"/>
          <w:between w:val="nil"/>
        </w:pBdr>
        <w:spacing w:after="0" w:line="360" w:lineRule="auto"/>
        <w:ind w:right="14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Póliza de Ingresos: Es aquella donde se anotan las operaciones que representan ingresos, esto es, entradas de dinero para el </w:t>
      </w:r>
      <w:r>
        <w:rPr>
          <w:rFonts w:ascii="Palatino Linotype" w:eastAsia="Palatino Linotype" w:hAnsi="Palatino Linotype" w:cs="Palatino Linotype"/>
          <w:color w:val="000000"/>
        </w:rPr>
        <w:t xml:space="preserve">municipio. </w:t>
      </w:r>
    </w:p>
    <w:p w14:paraId="6C379420" w14:textId="77777777" w:rsidR="00FA7810" w:rsidRDefault="00FB3809">
      <w:pPr>
        <w:numPr>
          <w:ilvl w:val="0"/>
          <w:numId w:val="2"/>
        </w:numPr>
        <w:pBdr>
          <w:top w:val="nil"/>
          <w:left w:val="nil"/>
          <w:bottom w:val="nil"/>
          <w:right w:val="nil"/>
          <w:between w:val="nil"/>
        </w:pBdr>
        <w:spacing w:after="0" w:line="360" w:lineRule="auto"/>
        <w:ind w:right="14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Póliza de Diario: Es la que se elabora cuando la operación que se está registrando no implica una entrada o una salida (ingreso o egreso) de dinero para el municipio. </w:t>
      </w:r>
    </w:p>
    <w:p w14:paraId="2B3A7621" w14:textId="77777777" w:rsidR="00FA7810" w:rsidRDefault="00FB3809">
      <w:pPr>
        <w:numPr>
          <w:ilvl w:val="0"/>
          <w:numId w:val="2"/>
        </w:numPr>
        <w:pBdr>
          <w:top w:val="nil"/>
          <w:left w:val="nil"/>
          <w:bottom w:val="nil"/>
          <w:right w:val="nil"/>
          <w:between w:val="nil"/>
        </w:pBdr>
        <w:spacing w:after="0" w:line="360" w:lineRule="auto"/>
        <w:ind w:right="14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Póliza de Egresos: Corresponde a aquella donde se anotan las operaciones que</w:t>
      </w:r>
      <w:r>
        <w:rPr>
          <w:rFonts w:ascii="Palatino Linotype" w:eastAsia="Palatino Linotype" w:hAnsi="Palatino Linotype" w:cs="Palatino Linotype"/>
          <w:color w:val="000000"/>
        </w:rPr>
        <w:t xml:space="preserve"> implique egresos, es decir, la salida de dinero, en efectivo o transferencia, para el municipio. </w:t>
      </w:r>
    </w:p>
    <w:p w14:paraId="7CD2960B" w14:textId="77777777" w:rsidR="00FA7810" w:rsidRDefault="00FB3809">
      <w:pPr>
        <w:numPr>
          <w:ilvl w:val="0"/>
          <w:numId w:val="2"/>
        </w:numPr>
        <w:pBdr>
          <w:top w:val="nil"/>
          <w:left w:val="nil"/>
          <w:bottom w:val="nil"/>
          <w:right w:val="nil"/>
          <w:between w:val="nil"/>
        </w:pBdr>
        <w:spacing w:after="0" w:line="360" w:lineRule="auto"/>
        <w:ind w:right="142"/>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rPr>
        <w:lastRenderedPageBreak/>
        <w:t>Póliza Cheque: Es la que se elabora cuando la operación implique una salida de dinero del municipio, a través de un cheque.</w:t>
      </w:r>
    </w:p>
    <w:p w14:paraId="35D31DD5" w14:textId="77777777" w:rsidR="00FA7810" w:rsidRDefault="00FA7810">
      <w:pPr>
        <w:spacing w:after="0" w:line="360" w:lineRule="auto"/>
        <w:ind w:right="142"/>
        <w:jc w:val="both"/>
        <w:rPr>
          <w:rFonts w:ascii="Palatino Linotype" w:eastAsia="Palatino Linotype" w:hAnsi="Palatino Linotype" w:cs="Palatino Linotype"/>
        </w:rPr>
      </w:pPr>
    </w:p>
    <w:p w14:paraId="7F2C3557" w14:textId="77777777" w:rsidR="00FA7810" w:rsidRDefault="00FB3809">
      <w:pP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puede advertir que las pólizas dan cuenta del ejercicio de recursos públicos por parte de un ente público, información con la que cuenta el Órgano Superior de Fiscalización </w:t>
      </w:r>
      <w:r>
        <w:rPr>
          <w:rFonts w:ascii="Palatino Linotype" w:eastAsia="Palatino Linotype" w:hAnsi="Palatino Linotype" w:cs="Palatino Linotype"/>
          <w:b/>
          <w:u w:val="single"/>
        </w:rPr>
        <w:t>debido a que estos documentos forman parte de los informes trime</w:t>
      </w:r>
      <w:r>
        <w:rPr>
          <w:rFonts w:ascii="Palatino Linotype" w:eastAsia="Palatino Linotype" w:hAnsi="Palatino Linotype" w:cs="Palatino Linotype"/>
          <w:b/>
          <w:u w:val="single"/>
        </w:rPr>
        <w:t>strales que son entregados a este Órgano por cada uno de los Entes Fiscalizables.</w:t>
      </w:r>
      <w:r>
        <w:rPr>
          <w:rFonts w:ascii="Palatino Linotype" w:eastAsia="Palatino Linotype" w:hAnsi="Palatino Linotype" w:cs="Palatino Linotype"/>
        </w:rPr>
        <w:t xml:space="preserve"> </w:t>
      </w:r>
    </w:p>
    <w:p w14:paraId="5E0736F3" w14:textId="77777777" w:rsidR="00FA7810" w:rsidRDefault="00FA7810">
      <w:pPr>
        <w:spacing w:after="0" w:line="360" w:lineRule="auto"/>
        <w:ind w:right="142"/>
        <w:jc w:val="both"/>
        <w:rPr>
          <w:rFonts w:ascii="Palatino Linotype" w:eastAsia="Palatino Linotype" w:hAnsi="Palatino Linotype" w:cs="Palatino Linotype"/>
        </w:rPr>
      </w:pPr>
    </w:p>
    <w:p w14:paraId="55D3FB4B" w14:textId="77777777" w:rsidR="00FA7810" w:rsidRDefault="00FB3809">
      <w:pP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 xml:space="preserve">Aunado a ello, es de mencionar que, contrario a lo que sostiene la Ponencia Resolutora, el que el Órgano Superior de Fiscalización entregue lo relacionado a las facturas o </w:t>
      </w:r>
      <w:r>
        <w:rPr>
          <w:rFonts w:ascii="Palatino Linotype" w:eastAsia="Palatino Linotype" w:hAnsi="Palatino Linotype" w:cs="Palatino Linotype"/>
        </w:rPr>
        <w:t>los comprobantes de apoyo, no implica que este deba efectuar una investigación, sino es el simple ejercicio del principio de búsqueda exhaustiva de la información requerida, el cual de conformidad con el Criterio Reiterado 02/19 emitido por el Pleno de est</w:t>
      </w:r>
      <w:r>
        <w:rPr>
          <w:rFonts w:ascii="Palatino Linotype" w:eastAsia="Palatino Linotype" w:hAnsi="Palatino Linotype" w:cs="Palatino Linotype"/>
        </w:rPr>
        <w:t xml:space="preserve">e Organismo Garante refiere que: </w:t>
      </w:r>
    </w:p>
    <w:p w14:paraId="405C3F1E" w14:textId="77777777" w:rsidR="00FA7810" w:rsidRDefault="00FA7810">
      <w:pPr>
        <w:spacing w:after="0" w:line="360" w:lineRule="auto"/>
        <w:ind w:right="142"/>
        <w:jc w:val="both"/>
        <w:rPr>
          <w:rFonts w:ascii="Palatino Linotype" w:eastAsia="Palatino Linotype" w:hAnsi="Palatino Linotype" w:cs="Palatino Linotype"/>
        </w:rPr>
      </w:pPr>
    </w:p>
    <w:p w14:paraId="2DEE37B1" w14:textId="77777777" w:rsidR="00FA7810" w:rsidRDefault="00FB3809">
      <w:pPr>
        <w:ind w:left="567" w:right="706"/>
        <w:jc w:val="both"/>
        <w:rPr>
          <w:rFonts w:ascii="Palatino Linotype" w:eastAsia="Palatino Linotype" w:hAnsi="Palatino Linotype" w:cs="Palatino Linotype"/>
          <w:i/>
        </w:rPr>
      </w:pPr>
      <w:r>
        <w:rPr>
          <w:rFonts w:ascii="Palatino Linotype" w:eastAsia="Palatino Linotype" w:hAnsi="Palatino Linotype" w:cs="Palatino Linotype"/>
          <w:b/>
          <w:i/>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Pr>
          <w:rFonts w:ascii="Palatino Linotype" w:eastAsia="Palatino Linotype" w:hAnsi="Palatino Linotype" w:cs="Palatino Linotype"/>
          <w:i/>
        </w:rPr>
        <w:t>De conformidad c</w:t>
      </w:r>
      <w:r>
        <w:rPr>
          <w:rFonts w:ascii="Palatino Linotype" w:eastAsia="Palatino Linotype" w:hAnsi="Palatino Linotype" w:cs="Palatino Linotype"/>
          <w:i/>
        </w:rPr>
        <w:t xml:space="preserve">on lo establecido en el artículo 162 de la Ley de Transparencia vigente en la entidad, para atender una solicitud de acceso a la información pública, la Unidad de Transparencia del Sujeto Obligado debe turnar el requerimiento a todas las áreas competentes </w:t>
      </w:r>
      <w:r>
        <w:rPr>
          <w:rFonts w:ascii="Palatino Linotype" w:eastAsia="Palatino Linotype" w:hAnsi="Palatino Linotype" w:cs="Palatino Linotype"/>
          <w:i/>
        </w:rPr>
        <w:t>que pudieran haber generado, poseído o administrado la información solicitada de acuerdo a sus facultades, competencias y funciones, con la finalidad de realizar una búsqueda exhaustiva y razonable en sus archivos que lleve a la localización de los documen</w:t>
      </w:r>
      <w:r>
        <w:rPr>
          <w:rFonts w:ascii="Palatino Linotype" w:eastAsia="Palatino Linotype" w:hAnsi="Palatino Linotype" w:cs="Palatino Linotype"/>
          <w:i/>
        </w:rPr>
        <w:t xml:space="preserve">tos donde conste la información solicitada; por tanto, esta búsqueda es una actividad necesaria e indispensable para la </w:t>
      </w:r>
      <w:r>
        <w:rPr>
          <w:rFonts w:ascii="Palatino Linotype" w:eastAsia="Palatino Linotype" w:hAnsi="Palatino Linotype" w:cs="Palatino Linotype"/>
          <w:i/>
        </w:rPr>
        <w:lastRenderedPageBreak/>
        <w:t>correcta atención de las solicitudes de información que permite la localización de aquella documentación requerida por el solicitante, s</w:t>
      </w:r>
      <w:r>
        <w:rPr>
          <w:rFonts w:ascii="Palatino Linotype" w:eastAsia="Palatino Linotype" w:hAnsi="Palatino Linotype" w:cs="Palatino Linotype"/>
          <w:i/>
        </w:rPr>
        <w:t>in que ello deba entenderse como una investigación de la señalada en el artículo 12, segundo párrafo de la Ley de Transparencia Local; lo anterior es así, toda vez que de acuerdo al Diccionario de la Real Academia Española, la palabra investigar hace refer</w:t>
      </w:r>
      <w:r>
        <w:rPr>
          <w:rFonts w:ascii="Palatino Linotype" w:eastAsia="Palatino Linotype" w:hAnsi="Palatino Linotype" w:cs="Palatino Linotype"/>
          <w:i/>
        </w:rPr>
        <w:t xml:space="preserve">encia, entre otras cosas, a la realización de actividades intelectuales y experimentales de modo sistemático cuyo propósito es aumentar los conocimientos sobre una determinada materia, lo que conlleva a concluir que la investigación inmersa en el artículo </w:t>
      </w:r>
      <w:r>
        <w:rPr>
          <w:rFonts w:ascii="Palatino Linotype" w:eastAsia="Palatino Linotype" w:hAnsi="Palatino Linotype" w:cs="Palatino Linotype"/>
          <w:i/>
        </w:rPr>
        <w:t xml:space="preserve">12 de la Ley de la materia se refiere a que los sujetos obligados no están constreñidos a realizar un análisis, extracción y generación de nueva información. Bajo ese tenor, la búsqueda y localización de la información que refiere el numeral 162 de la Ley </w:t>
      </w:r>
      <w:r>
        <w:rPr>
          <w:rFonts w:ascii="Palatino Linotype" w:eastAsia="Palatino Linotype" w:hAnsi="Palatino Linotype" w:cs="Palatino Linotype"/>
          <w:i/>
        </w:rPr>
        <w:t>de Transparencia, no implica una investigación de la señalada en el artículo 12 del mismo ordenamiento legal y, por tanto, los sujetos obligados no podrán excusarse de su ejercicio bajo el argumento de que ello conlleva una investigación.</w:t>
      </w:r>
    </w:p>
    <w:p w14:paraId="26DB5A51" w14:textId="77777777" w:rsidR="00FA7810" w:rsidRDefault="00FA7810">
      <w:pPr>
        <w:spacing w:after="0" w:line="360" w:lineRule="auto"/>
        <w:ind w:right="142"/>
        <w:jc w:val="both"/>
        <w:rPr>
          <w:rFonts w:ascii="Palatino Linotype" w:eastAsia="Palatino Linotype" w:hAnsi="Palatino Linotype" w:cs="Palatino Linotype"/>
        </w:rPr>
      </w:pPr>
    </w:p>
    <w:p w14:paraId="4824A72C" w14:textId="77777777" w:rsidR="00FA7810" w:rsidRDefault="00FB3809">
      <w:pP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De tal forma que</w:t>
      </w:r>
      <w:r>
        <w:rPr>
          <w:rFonts w:ascii="Palatino Linotype" w:eastAsia="Palatino Linotype" w:hAnsi="Palatino Linotype" w:cs="Palatino Linotype"/>
        </w:rPr>
        <w:t xml:space="preserve">, se entiende que los sujetos obligados deben turnar la solicitud de información a todas las áreas competentes con la finalidad de que </w:t>
      </w:r>
      <w:r>
        <w:rPr>
          <w:rFonts w:ascii="Palatino Linotype" w:eastAsia="Palatino Linotype" w:hAnsi="Palatino Linotype" w:cs="Palatino Linotype"/>
          <w:b/>
        </w:rPr>
        <w:t>lleve la localización de los documentos donde conste la información solicitada</w:t>
      </w:r>
      <w:r>
        <w:rPr>
          <w:rFonts w:ascii="Palatino Linotype" w:eastAsia="Palatino Linotype" w:hAnsi="Palatino Linotype" w:cs="Palatino Linotype"/>
        </w:rPr>
        <w:t>; considerando la búsqueda como una activid</w:t>
      </w:r>
      <w:r>
        <w:rPr>
          <w:rFonts w:ascii="Palatino Linotype" w:eastAsia="Palatino Linotype" w:hAnsi="Palatino Linotype" w:cs="Palatino Linotype"/>
        </w:rPr>
        <w:t xml:space="preserve">ad necesaria e indispensable para la correcta atención de las solicitudes de información que permita la localización de la documentación requerida, </w:t>
      </w:r>
      <w:r>
        <w:rPr>
          <w:rFonts w:ascii="Palatino Linotype" w:eastAsia="Palatino Linotype" w:hAnsi="Palatino Linotype" w:cs="Palatino Linotype"/>
          <w:b/>
          <w:u w:val="single"/>
        </w:rPr>
        <w:t xml:space="preserve">sin que esto se entienda como una investigación.  </w:t>
      </w:r>
    </w:p>
    <w:p w14:paraId="412E2358" w14:textId="77777777" w:rsidR="00FA7810" w:rsidRDefault="00FA7810">
      <w:pPr>
        <w:spacing w:after="0" w:line="360" w:lineRule="auto"/>
        <w:jc w:val="both"/>
        <w:rPr>
          <w:rFonts w:ascii="Palatino Linotype" w:eastAsia="Palatino Linotype" w:hAnsi="Palatino Linotype" w:cs="Palatino Linotype"/>
        </w:rPr>
      </w:pPr>
      <w:bookmarkStart w:id="3" w:name="_heading=h.3znysh7" w:colFirst="0" w:colLast="0"/>
      <w:bookmarkEnd w:id="3"/>
    </w:p>
    <w:p w14:paraId="220EB113" w14:textId="77777777" w:rsidR="00FA7810" w:rsidRDefault="00FB3809">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debido a que es necesario entender como inv</w:t>
      </w:r>
      <w:r>
        <w:rPr>
          <w:rFonts w:ascii="Palatino Linotype" w:eastAsia="Palatino Linotype" w:hAnsi="Palatino Linotype" w:cs="Palatino Linotype"/>
        </w:rPr>
        <w:t>estigación a la realización de actividades intelectuales y experimentales de modo sistemático cuyo propósito es aumentar los conocimientos sobre una determinada materia, situación que en el presente caso no es así, debido a que, el Sujeto Obligado únicamen</w:t>
      </w:r>
      <w:r>
        <w:rPr>
          <w:rFonts w:ascii="Palatino Linotype" w:eastAsia="Palatino Linotype" w:hAnsi="Palatino Linotype" w:cs="Palatino Linotype"/>
        </w:rPr>
        <w:t xml:space="preserve">te tiene que realizar una búsqueda de documentos que obran en sus archivos y hacer entrega de ellos al particular. </w:t>
      </w:r>
    </w:p>
    <w:p w14:paraId="28ABF208" w14:textId="77777777" w:rsidR="00FA7810" w:rsidRDefault="00FB3809">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que, toda vez que, se considera que la información obra en los archivos del Sujeto Obligado debido a que, en cumplimiento a las oblig</w:t>
      </w:r>
      <w:r>
        <w:rPr>
          <w:rFonts w:ascii="Palatino Linotype" w:eastAsia="Palatino Linotype" w:hAnsi="Palatino Linotype" w:cs="Palatino Linotype"/>
        </w:rPr>
        <w:t xml:space="preserve">aciones fiscales de los entes públicos, estos hacen entrega de pólizas contables y anexos, en los que se puede advertir la información de interés del particular, además de que, la entrega de esta información no resulta ser una carga desproporcionada ni la </w:t>
      </w:r>
      <w:r>
        <w:rPr>
          <w:rFonts w:ascii="Palatino Linotype" w:eastAsia="Palatino Linotype" w:hAnsi="Palatino Linotype" w:cs="Palatino Linotype"/>
        </w:rPr>
        <w:t xml:space="preserve">realización de una investigación por parte del Sujeto Obligado, sino que únicamente es ejercer el principio de búsqueda exhaustiva de la información el cual todo ente público está obligado a llevar a cabo. </w:t>
      </w:r>
    </w:p>
    <w:p w14:paraId="6770E55C" w14:textId="77777777" w:rsidR="00FA7810" w:rsidRDefault="00FA7810">
      <w:pPr>
        <w:spacing w:after="0" w:line="360" w:lineRule="auto"/>
        <w:jc w:val="both"/>
        <w:rPr>
          <w:rFonts w:ascii="Palatino Linotype" w:eastAsia="Palatino Linotype" w:hAnsi="Palatino Linotype" w:cs="Palatino Linotype"/>
        </w:rPr>
      </w:pPr>
    </w:p>
    <w:p w14:paraId="711BED0F" w14:textId="77777777" w:rsidR="00FA7810" w:rsidRDefault="00FB3809">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 por las razones antes expuestas que la suscri</w:t>
      </w:r>
      <w:r>
        <w:rPr>
          <w:rFonts w:ascii="Palatino Linotype" w:eastAsia="Palatino Linotype" w:hAnsi="Palatino Linotype" w:cs="Palatino Linotype"/>
        </w:rPr>
        <w:t xml:space="preserve">ta no comparte este punto del estudio de la resolución dictada y, por ende, se emite el presente </w:t>
      </w:r>
      <w:r>
        <w:rPr>
          <w:rFonts w:ascii="Palatino Linotype" w:eastAsia="Palatino Linotype" w:hAnsi="Palatino Linotype" w:cs="Palatino Linotype"/>
          <w:b/>
        </w:rPr>
        <w:t>Voto Particular</w:t>
      </w:r>
      <w:r>
        <w:rPr>
          <w:rFonts w:ascii="Palatino Linotype" w:eastAsia="Palatino Linotype" w:hAnsi="Palatino Linotype" w:cs="Palatino Linotype"/>
        </w:rPr>
        <w:t xml:space="preserve">. </w:t>
      </w:r>
    </w:p>
    <w:p w14:paraId="57625534" w14:textId="77777777" w:rsidR="00FA7810" w:rsidRDefault="00FB3809">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726B965C" w14:textId="77777777" w:rsidR="00FA7810" w:rsidRDefault="00FB3809">
      <w:pPr>
        <w:spacing w:after="0" w:line="360" w:lineRule="auto"/>
        <w:jc w:val="both"/>
        <w:rPr>
          <w:rFonts w:ascii="Palatino Linotype" w:eastAsia="Palatino Linotype" w:hAnsi="Palatino Linotype" w:cs="Palatino Linotype"/>
        </w:rPr>
        <w:sectPr w:rsidR="00FA7810">
          <w:headerReference w:type="even" r:id="rId8"/>
          <w:headerReference w:type="default" r:id="rId9"/>
          <w:footerReference w:type="default" r:id="rId10"/>
          <w:pgSz w:w="12240" w:h="15840"/>
          <w:pgMar w:top="1871" w:right="1327" w:bottom="2836" w:left="1985" w:header="709" w:footer="586" w:gutter="0"/>
          <w:pgNumType w:start="1"/>
          <w:cols w:space="720"/>
        </w:sectPr>
      </w:pPr>
      <w:r>
        <w:rPr>
          <w:rFonts w:ascii="Palatino Linotype" w:eastAsia="Palatino Linotype" w:hAnsi="Palatino Linotype" w:cs="Palatino Linotype"/>
        </w:rPr>
        <w:t xml:space="preserve">                                                                                                    </w:t>
      </w:r>
    </w:p>
    <w:p w14:paraId="24744BE6" w14:textId="77777777" w:rsidR="00FA7810" w:rsidRDefault="00FA7810">
      <w:pPr>
        <w:spacing w:after="0" w:line="360" w:lineRule="auto"/>
        <w:ind w:right="423"/>
        <w:jc w:val="both"/>
        <w:rPr>
          <w:rFonts w:ascii="Palatino Linotype" w:eastAsia="Palatino Linotype" w:hAnsi="Palatino Linotype" w:cs="Palatino Linotype"/>
        </w:rPr>
      </w:pPr>
      <w:bookmarkStart w:id="5" w:name="_heading=h.seznk0v3kwdp" w:colFirst="0" w:colLast="0"/>
      <w:bookmarkEnd w:id="5"/>
    </w:p>
    <w:p w14:paraId="1C906F6E" w14:textId="77777777" w:rsidR="00FA7810" w:rsidRDefault="00FA7810">
      <w:pPr>
        <w:spacing w:after="0" w:line="360" w:lineRule="auto"/>
        <w:ind w:right="423"/>
        <w:jc w:val="both"/>
        <w:rPr>
          <w:rFonts w:ascii="Palatino Linotype" w:eastAsia="Palatino Linotype" w:hAnsi="Palatino Linotype" w:cs="Palatino Linotype"/>
        </w:rPr>
      </w:pPr>
    </w:p>
    <w:sectPr w:rsidR="00FA7810">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3991" w14:textId="77777777" w:rsidR="00000000" w:rsidRDefault="00FB3809">
      <w:pPr>
        <w:spacing w:after="0" w:line="240" w:lineRule="auto"/>
      </w:pPr>
      <w:r>
        <w:separator/>
      </w:r>
    </w:p>
  </w:endnote>
  <w:endnote w:type="continuationSeparator" w:id="0">
    <w:p w14:paraId="318DB1C4" w14:textId="77777777" w:rsidR="00000000" w:rsidRDefault="00FB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C7C2" w14:textId="77777777" w:rsidR="00FA7810" w:rsidRDefault="00FA7810">
    <w:pPr>
      <w:tabs>
        <w:tab w:val="center" w:pos="4419"/>
        <w:tab w:val="right" w:pos="8838"/>
      </w:tabs>
      <w:spacing w:after="0" w:line="360" w:lineRule="auto"/>
      <w:ind w:right="142"/>
      <w:jc w:val="both"/>
      <w:rPr>
        <w:rFonts w:ascii="Palatino Linotype" w:eastAsia="Palatino Linotype" w:hAnsi="Palatino Linotype" w:cs="Palatino Linotype"/>
      </w:rPr>
    </w:pPr>
    <w:bookmarkStart w:id="4" w:name="_heading=h.5gc1yxuivsi3" w:colFirst="0" w:colLast="0"/>
    <w:bookmarkEnd w:id="4"/>
  </w:p>
  <w:p w14:paraId="43A25450" w14:textId="77777777" w:rsidR="00FA7810" w:rsidRDefault="00FB380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312A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312AB">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45895E33" w14:textId="77777777" w:rsidR="00FA7810" w:rsidRDefault="00FA7810">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7D44" w14:textId="77777777" w:rsidR="00000000" w:rsidRDefault="00FB3809">
      <w:pPr>
        <w:spacing w:after="0" w:line="240" w:lineRule="auto"/>
      </w:pPr>
      <w:r>
        <w:separator/>
      </w:r>
    </w:p>
  </w:footnote>
  <w:footnote w:type="continuationSeparator" w:id="0">
    <w:p w14:paraId="69E41C6E" w14:textId="77777777" w:rsidR="00000000" w:rsidRDefault="00FB3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6D2B" w14:textId="77777777" w:rsidR="00FA7810" w:rsidRDefault="00FB380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anchor distT="0" distB="0" distL="0" distR="0" simplePos="0" relativeHeight="251659264" behindDoc="1" locked="0" layoutInCell="1" hidden="0" allowOverlap="1" wp14:anchorId="516936AD" wp14:editId="4C636E47">
              <wp:simplePos x="0" y="0"/>
              <wp:positionH relativeFrom="margin">
                <wp:align>center</wp:align>
              </wp:positionH>
              <wp:positionV relativeFrom="margin">
                <wp:align>center</wp:align>
              </wp:positionV>
              <wp:extent cx="53141996" cy="53141996"/>
              <wp:effectExtent l="0" t="0" r="0" b="0"/>
              <wp:wrapNone/>
              <wp:docPr id="30" name=""/>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a:noFill/>
                      <a:ln>
                        <a:noFill/>
                      </a:ln>
                    </wps:spPr>
                    <wps:txbx>
                      <w:txbxContent>
                        <w:p w14:paraId="6612DFF7" w14:textId="77777777" w:rsidR="00FA7810" w:rsidRDefault="00FB3809">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141996" cy="53141996"/>
              <wp:effectExtent b="0" l="0" r="0" t="0"/>
              <wp:wrapNone/>
              <wp:docPr id="3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3141996" cy="53141996"/>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460E" w14:textId="77777777" w:rsidR="00FA7810" w:rsidRDefault="00FB380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8240" behindDoc="1" locked="0" layoutInCell="1" hidden="0" allowOverlap="1" wp14:anchorId="1D8A750F" wp14:editId="63B97D10">
          <wp:simplePos x="0" y="0"/>
          <wp:positionH relativeFrom="column">
            <wp:posOffset>-676274</wp:posOffset>
          </wp:positionH>
          <wp:positionV relativeFrom="paragraph">
            <wp:posOffset>-300354</wp:posOffset>
          </wp:positionV>
          <wp:extent cx="7521053" cy="9897494"/>
          <wp:effectExtent l="0" t="0" r="0" b="0"/>
          <wp:wrapNone/>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14:paraId="35585F47" w14:textId="77777777" w:rsidR="00FA7810" w:rsidRDefault="00FA781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1A4BF89E" w14:textId="77777777" w:rsidR="00FA7810" w:rsidRDefault="00FA781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6F8D865C" w14:textId="77777777" w:rsidR="00FA7810" w:rsidRDefault="00FB380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w:t>
    </w:r>
  </w:p>
  <w:p w14:paraId="236863C5" w14:textId="77777777" w:rsidR="00FA7810" w:rsidRDefault="00FB380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SUJETO OBLIGADO: PODER LEGISLATIVO </w:t>
    </w:r>
  </w:p>
  <w:p w14:paraId="76C84937" w14:textId="77777777" w:rsidR="00FA7810" w:rsidRDefault="00FB3809">
    <w:pPr>
      <w:pBdr>
        <w:top w:val="nil"/>
        <w:left w:val="nil"/>
        <w:bottom w:val="nil"/>
        <w:right w:val="nil"/>
        <w:between w:val="nil"/>
      </w:pBdr>
      <w:tabs>
        <w:tab w:val="center" w:pos="4419"/>
        <w:tab w:val="right" w:pos="8838"/>
      </w:tabs>
      <w:spacing w:after="0" w:line="240" w:lineRule="auto"/>
      <w:ind w:left="2835"/>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 xml:space="preserve">02946/INFOEM/IP/RR/2023 </w:t>
    </w:r>
  </w:p>
  <w:p w14:paraId="7CADBC36" w14:textId="77777777" w:rsidR="00FA7810" w:rsidRDefault="00FA781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AA70" w14:textId="77777777" w:rsidR="00FA7810" w:rsidRDefault="00FB380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60288" behindDoc="1" locked="0" layoutInCell="1" hidden="0" allowOverlap="1" wp14:anchorId="5DFFCCFE" wp14:editId="3968019E">
          <wp:simplePos x="0" y="0"/>
          <wp:positionH relativeFrom="column">
            <wp:posOffset>-1260471</wp:posOffset>
          </wp:positionH>
          <wp:positionV relativeFrom="paragraph">
            <wp:posOffset>-302256</wp:posOffset>
          </wp:positionV>
          <wp:extent cx="7521053" cy="9897494"/>
          <wp:effectExtent l="0" t="0" r="0" b="0"/>
          <wp:wrapNone/>
          <wp:docPr id="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14:paraId="52634308" w14:textId="77777777" w:rsidR="00FA7810" w:rsidRDefault="00FA781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450F7A86" w14:textId="77777777" w:rsidR="00FA7810" w:rsidRDefault="00FA781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7DDC40BD" w14:textId="77777777" w:rsidR="00FA7810" w:rsidRDefault="00FA781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27AB7"/>
    <w:multiLevelType w:val="multilevel"/>
    <w:tmpl w:val="3A52C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BC749CA"/>
    <w:multiLevelType w:val="multilevel"/>
    <w:tmpl w:val="240C2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170168">
    <w:abstractNumId w:val="1"/>
  </w:num>
  <w:num w:numId="2" w16cid:durableId="119356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10"/>
    <w:rsid w:val="008312AB"/>
    <w:rsid w:val="00FA7810"/>
    <w:rsid w:val="00FB38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3B77"/>
  <w15:docId w15:val="{1F2B226F-0866-4744-AB3D-88FF0AB7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paragraph">
    <w:name w:val="paragraph"/>
    <w:basedOn w:val="Normal"/>
    <w:rsid w:val="00C964C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1">
    <w:name w:val="Tabla con cuadrícula1"/>
    <w:basedOn w:val="Tablanormal"/>
    <w:next w:val="Tablaconcuadrcula"/>
    <w:uiPriority w:val="59"/>
    <w:rsid w:val="00C964CC"/>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C9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Fundamentos">
    <w:name w:val="Fundamentos"/>
    <w:basedOn w:val="Normal"/>
    <w:qFormat/>
    <w:rsid w:val="00DB4997"/>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rPr>
  </w:style>
  <w:style w:type="paragraph" w:styleId="Sinespaciado">
    <w:name w:val="No Spacing"/>
    <w:aliases w:val="Francesa,INAI"/>
    <w:link w:val="SinespaciadoCar"/>
    <w:uiPriority w:val="1"/>
    <w:qFormat/>
    <w:rsid w:val="00515C3E"/>
    <w:pPr>
      <w:spacing w:after="0" w:line="240" w:lineRule="auto"/>
      <w:ind w:left="567" w:right="567"/>
      <w:jc w:val="both"/>
    </w:pPr>
    <w:rPr>
      <w:rFonts w:ascii="Arial" w:eastAsia="Batang" w:hAnsi="Arial" w:cs="Times New Roman"/>
      <w:sz w:val="20"/>
      <w:szCs w:val="24"/>
      <w:lang w:val="es-MX" w:eastAsia="es-ES"/>
    </w:rPr>
  </w:style>
  <w:style w:type="character" w:customStyle="1" w:styleId="SinespaciadoCar">
    <w:name w:val="Sin espaciado Car"/>
    <w:aliases w:val="Francesa Car,INAI Car"/>
    <w:basedOn w:val="Fuentedeprrafopredeter"/>
    <w:link w:val="Sinespaciado"/>
    <w:uiPriority w:val="1"/>
    <w:qFormat/>
    <w:rsid w:val="00515C3E"/>
    <w:rPr>
      <w:rFonts w:ascii="Arial" w:eastAsia="Batang" w:hAnsi="Arial" w:cs="Times New Roman"/>
      <w:sz w:val="20"/>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f0G6HxPMrGu3voXSmUgc8Uu9LQ==">CgMxLjAyCGguZ2pkZ3hzMgloLjFmb2I5dGUyCWguMzBqMHpsbDIJaC4zem55c2g3Mg5oLnNlem5rMHYza3dkcDIOaC41Z2MxeXh1aXZzaTM4AHIhMVdyNXZ3QzdZQjV1Ykc0T0xGdkpnOV9saWR1MGZsTVRq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1572</Words>
  <Characters>8652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 Soporte</cp:lastModifiedBy>
  <cp:revision>2</cp:revision>
  <cp:lastPrinted>2024-05-14T21:13:00Z</cp:lastPrinted>
  <dcterms:created xsi:type="dcterms:W3CDTF">2024-05-14T16:22:00Z</dcterms:created>
  <dcterms:modified xsi:type="dcterms:W3CDTF">2024-05-14T21:35:00Z</dcterms:modified>
</cp:coreProperties>
</file>