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BAF" w:rsidRDefault="00044111">
      <w:pPr>
        <w:spacing w:after="0" w:line="360" w:lineRule="auto"/>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PRIMERA SESIÓN ORDINARIA DEL TRES DE ABRIL DE DOS MIL VEINTICUATRO, EN EL RECURSO DE REVISIÓN 001025/INFOEM/IP/RR/2024. </w:t>
      </w:r>
    </w:p>
    <w:p w:rsidR="00525BAF" w:rsidRDefault="00525BAF">
      <w:pPr>
        <w:spacing w:after="0" w:line="360" w:lineRule="auto"/>
        <w:jc w:val="both"/>
        <w:rPr>
          <w:rFonts w:ascii="Palatino Linotype" w:eastAsia="Palatino Linotype" w:hAnsi="Palatino Linotype" w:cs="Palatino Linotype"/>
          <w:b/>
        </w:rPr>
      </w:pPr>
    </w:p>
    <w:p w:rsidR="00525BAF" w:rsidRDefault="0004411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w:t>
      </w:r>
      <w:r>
        <w:rPr>
          <w:rFonts w:ascii="Palatino Linotype" w:eastAsia="Palatino Linotype" w:hAnsi="Palatino Linotype" w:cs="Palatino Linotype"/>
          <w:b/>
        </w:rPr>
        <w:t>la Comisionada Guadalupe Ramírez Peña</w:t>
      </w:r>
      <w:r>
        <w:rPr>
          <w:rFonts w:ascii="Palatino Linotype" w:eastAsia="Palatino Linotype" w:hAnsi="Palatino Linotype" w:cs="Palatino Linotype"/>
        </w:rPr>
        <w:t xml:space="preserve">,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 xml:space="preserve">001025/INFOEM/IP/RR/2024, </w:t>
      </w:r>
      <w:r>
        <w:rPr>
          <w:rFonts w:ascii="Palatino Linotype" w:eastAsia="Palatino Linotype" w:hAnsi="Palatino Linotype" w:cs="Palatino Linotype"/>
        </w:rPr>
        <w:t>pronunciada por el Pleno de este Instituto ante el proyecto presentado por el Comisionado Presidente José Martínez Vilchis, el cual se formuló, conforme al tenor siguiente:</w:t>
      </w:r>
    </w:p>
    <w:p w:rsidR="00525BAF" w:rsidRDefault="00525BAF">
      <w:pPr>
        <w:spacing w:after="0" w:line="360" w:lineRule="auto"/>
        <w:jc w:val="both"/>
        <w:rPr>
          <w:rFonts w:ascii="Palatino Linotype" w:eastAsia="Palatino Linotype" w:hAnsi="Palatino Linotype" w:cs="Palatino Linotype"/>
          <w:b/>
        </w:rPr>
      </w:pPr>
    </w:p>
    <w:p w:rsidR="00525BAF" w:rsidRDefault="00044111">
      <w:pPr>
        <w:numPr>
          <w:ilvl w:val="0"/>
          <w:numId w:val="2"/>
        </w:numPr>
        <w:spacing w:after="0" w:line="360" w:lineRule="auto"/>
        <w:ind w:left="142" w:hanging="284"/>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rsidR="00525BAF" w:rsidRDefault="00525BAF">
      <w:pPr>
        <w:spacing w:after="0" w:line="360" w:lineRule="auto"/>
        <w:ind w:left="142"/>
        <w:jc w:val="both"/>
        <w:rPr>
          <w:rFonts w:ascii="Palatino Linotype" w:eastAsia="Palatino Linotype" w:hAnsi="Palatino Linotype" w:cs="Palatino Linotype"/>
          <w:b/>
        </w:rPr>
      </w:pPr>
    </w:p>
    <w:p w:rsidR="00525BAF" w:rsidRDefault="0004411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solicitó al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lo siguiente:</w:t>
      </w:r>
    </w:p>
    <w:p w:rsidR="00525BAF" w:rsidRDefault="00525BAF">
      <w:pPr>
        <w:spacing w:after="0" w:line="360" w:lineRule="auto"/>
        <w:jc w:val="both"/>
        <w:rPr>
          <w:rFonts w:ascii="Palatino Linotype" w:eastAsia="Palatino Linotype" w:hAnsi="Palatino Linotype" w:cs="Palatino Linotype"/>
        </w:rPr>
      </w:pPr>
    </w:p>
    <w:p w:rsidR="00525BAF" w:rsidRDefault="00044111">
      <w:pPr>
        <w:spacing w:after="0" w:line="240" w:lineRule="auto"/>
        <w:ind w:left="284" w:right="335"/>
        <w:jc w:val="both"/>
        <w:rPr>
          <w:rFonts w:ascii="Palatino Linotype" w:eastAsia="Palatino Linotype" w:hAnsi="Palatino Linotype" w:cs="Palatino Linotype"/>
          <w:i/>
        </w:rPr>
      </w:pPr>
      <w:r>
        <w:rPr>
          <w:rFonts w:ascii="Palatino Linotype" w:eastAsia="Palatino Linotype" w:hAnsi="Palatino Linotype" w:cs="Palatino Linotype"/>
          <w:i/>
        </w:rPr>
        <w:t>“Por medio de la plataforma nacional de Transparencia y acceso a la información pública y de conformidad con mi derecho como ciudadano a la información, solicito nomina general del ayuntamiento del municipio de Temamatla 2022-2024 en el formato que se le entrega al órgano superior de fiscalización de estado de México en los informes mensuales correspondientes a los meses de enero 2022 al mes de enero 2023. Todo lo anterior solicitado con fines de transparentar todo apto de corrupción que pudiera existir y poder llegar a los órganos correspondientes.” (Sic).</w:t>
      </w:r>
    </w:p>
    <w:p w:rsidR="00525BAF" w:rsidRDefault="00525BAF">
      <w:pPr>
        <w:spacing w:after="0" w:line="276" w:lineRule="auto"/>
        <w:ind w:left="567" w:right="900"/>
        <w:jc w:val="both"/>
        <w:rPr>
          <w:rFonts w:ascii="Palatino Linotype" w:eastAsia="Palatino Linotype" w:hAnsi="Palatino Linotype" w:cs="Palatino Linotype"/>
          <w:i/>
        </w:rPr>
      </w:pPr>
    </w:p>
    <w:p w:rsidR="00525BAF" w:rsidRDefault="0004411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a través de su Titular de la Tesorería Municipal, hizo entrega de una dirección electrónica, manifestando que las nóminas se encuentran publicadas en la página de transparencia del municipio.</w:t>
      </w:r>
    </w:p>
    <w:p w:rsidR="00525BAF" w:rsidRDefault="00525BAF">
      <w:pPr>
        <w:tabs>
          <w:tab w:val="left" w:pos="567"/>
        </w:tabs>
        <w:spacing w:after="0" w:line="360" w:lineRule="auto"/>
        <w:ind w:right="-28"/>
        <w:rPr>
          <w:rFonts w:ascii="Palatino Linotype" w:eastAsia="Palatino Linotype" w:hAnsi="Palatino Linotype" w:cs="Palatino Linotype"/>
          <w:b/>
          <w:color w:val="0D0D0D"/>
        </w:rPr>
      </w:pPr>
    </w:p>
    <w:p w:rsidR="00525BAF" w:rsidRDefault="0004411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ello,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se inconformó en lo medular por no entregarse la información como fue solicitada y por consiguiente remitir el link en el cual no se le permite el acceso directo.</w:t>
      </w:r>
    </w:p>
    <w:p w:rsidR="00525BAF" w:rsidRDefault="00525BAF">
      <w:pPr>
        <w:spacing w:after="0" w:line="360" w:lineRule="auto"/>
        <w:jc w:val="both"/>
        <w:rPr>
          <w:rFonts w:ascii="Palatino Linotype" w:eastAsia="Palatino Linotype" w:hAnsi="Palatino Linotype" w:cs="Palatino Linotype"/>
          <w:b/>
          <w:i/>
        </w:rPr>
      </w:pPr>
    </w:p>
    <w:p w:rsidR="00525BAF" w:rsidRDefault="0004411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ello,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remitir su informe justificado. </w:t>
      </w:r>
    </w:p>
    <w:p w:rsidR="00525BAF" w:rsidRDefault="00525BAF">
      <w:pPr>
        <w:spacing w:after="0" w:line="360" w:lineRule="auto"/>
        <w:jc w:val="both"/>
        <w:rPr>
          <w:rFonts w:ascii="Palatino Linotype" w:eastAsia="Palatino Linotype" w:hAnsi="Palatino Linotype" w:cs="Palatino Linotype"/>
        </w:rPr>
      </w:pPr>
    </w:p>
    <w:p w:rsidR="00525BAF" w:rsidRDefault="00044111">
      <w:pPr>
        <w:spacing w:after="0" w:line="360" w:lineRule="auto"/>
        <w:ind w:right="-6"/>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Así las cosas, el Pleno del Instituto consideró que los motivos de inconformidad aducidos por la </w:t>
      </w:r>
      <w:r>
        <w:rPr>
          <w:rFonts w:ascii="Palatino Linotype" w:eastAsia="Palatino Linotype" w:hAnsi="Palatino Linotype" w:cs="Palatino Linotype"/>
          <w:b/>
        </w:rPr>
        <w:t>parte</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y determinó </w:t>
      </w:r>
      <w:r>
        <w:rPr>
          <w:rFonts w:ascii="Palatino Linotype" w:eastAsia="Palatino Linotype" w:hAnsi="Palatino Linotype" w:cs="Palatino Linotype"/>
          <w:b/>
        </w:rPr>
        <w:t>revocar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ordenando lo siguiente:</w:t>
      </w:r>
    </w:p>
    <w:p w:rsidR="00525BAF" w:rsidRDefault="00525BAF">
      <w:pPr>
        <w:spacing w:after="0" w:line="360" w:lineRule="auto"/>
        <w:ind w:right="-6"/>
        <w:jc w:val="both"/>
        <w:rPr>
          <w:rFonts w:ascii="Palatino Linotype" w:eastAsia="Palatino Linotype" w:hAnsi="Palatino Linotype" w:cs="Palatino Linotype"/>
        </w:rPr>
      </w:pPr>
    </w:p>
    <w:p w:rsidR="00525BAF" w:rsidRDefault="00044111">
      <w:pPr>
        <w:spacing w:after="0" w:line="240" w:lineRule="auto"/>
        <w:ind w:left="567" w:right="423"/>
        <w:jc w:val="both"/>
        <w:rPr>
          <w:rFonts w:ascii="Palatino Linotype" w:eastAsia="Palatino Linotype" w:hAnsi="Palatino Linotype" w:cs="Palatino Linotype"/>
          <w:i/>
        </w:rPr>
      </w:pPr>
      <w:r>
        <w:rPr>
          <w:rFonts w:ascii="Palatino Linotype" w:eastAsia="Palatino Linotype" w:hAnsi="Palatino Linotype" w:cs="Palatino Linotype"/>
          <w:b/>
          <w:i/>
          <w:color w:val="0D0D0D"/>
        </w:rPr>
        <w:t>“…</w:t>
      </w:r>
      <w:r>
        <w:rPr>
          <w:rFonts w:ascii="Palatino Linotype" w:eastAsia="Palatino Linotype" w:hAnsi="Palatino Linotype" w:cs="Palatino Linotype"/>
          <w:b/>
          <w:i/>
        </w:rPr>
        <w:t xml:space="preserve">SEGUNDO.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 xml:space="preserve">al Sujeto Obligado que haga entrega al </w:t>
      </w:r>
      <w:r>
        <w:rPr>
          <w:rFonts w:ascii="Palatino Linotype" w:eastAsia="Palatino Linotype" w:hAnsi="Palatino Linotype" w:cs="Palatino Linotype"/>
          <w:b/>
          <w:i/>
        </w:rPr>
        <w:t xml:space="preserve">Recurrente </w:t>
      </w:r>
      <w:r>
        <w:rPr>
          <w:rFonts w:ascii="Palatino Linotype" w:eastAsia="Palatino Linotype" w:hAnsi="Palatino Linotype" w:cs="Palatino Linotype"/>
          <w:i/>
        </w:rPr>
        <w:t xml:space="preserve">mediante el Sistema de Acceso a la Información Mexiquense </w:t>
      </w:r>
      <w:r>
        <w:rPr>
          <w:rFonts w:ascii="Palatino Linotype" w:eastAsia="Palatino Linotype" w:hAnsi="Palatino Linotype" w:cs="Palatino Linotype"/>
          <w:b/>
          <w:i/>
        </w:rPr>
        <w:t>(SAIMEX)</w:t>
      </w:r>
      <w:r>
        <w:rPr>
          <w:rFonts w:ascii="Palatino Linotype" w:eastAsia="Palatino Linotype" w:hAnsi="Palatino Linotype" w:cs="Palatino Linotype"/>
          <w:i/>
        </w:rPr>
        <w:t xml:space="preserve">, en términos del </w:t>
      </w:r>
      <w:r>
        <w:rPr>
          <w:rFonts w:ascii="Palatino Linotype" w:eastAsia="Palatino Linotype" w:hAnsi="Palatino Linotype" w:cs="Palatino Linotype"/>
          <w:b/>
          <w:i/>
        </w:rPr>
        <w:t>Considerando QUINTO</w:t>
      </w:r>
      <w:r>
        <w:rPr>
          <w:rFonts w:ascii="Palatino Linotype" w:eastAsia="Palatino Linotype" w:hAnsi="Palatino Linotype" w:cs="Palatino Linotype"/>
          <w:i/>
        </w:rPr>
        <w:t xml:space="preserve"> y en versión pública, de lo siguiente: </w:t>
      </w:r>
    </w:p>
    <w:p w:rsidR="00525BAF" w:rsidRDefault="00525BAF">
      <w:pPr>
        <w:spacing w:after="0" w:line="240" w:lineRule="auto"/>
        <w:ind w:left="567" w:right="423"/>
        <w:jc w:val="both"/>
        <w:rPr>
          <w:rFonts w:ascii="Palatino Linotype" w:eastAsia="Palatino Linotype" w:hAnsi="Palatino Linotype" w:cs="Palatino Linotype"/>
          <w:i/>
        </w:rPr>
      </w:pPr>
    </w:p>
    <w:p w:rsidR="00525BAF" w:rsidRDefault="00044111">
      <w:pPr>
        <w:spacing w:after="0" w:line="240" w:lineRule="auto"/>
        <w:ind w:left="993" w:right="990"/>
        <w:jc w:val="both"/>
        <w:rPr>
          <w:rFonts w:ascii="Palatino Linotype" w:eastAsia="Palatino Linotype" w:hAnsi="Palatino Linotype" w:cs="Palatino Linotype"/>
          <w:i/>
        </w:rPr>
      </w:pPr>
      <w:bookmarkStart w:id="3" w:name="_heading=h.3znysh7" w:colFirst="0" w:colLast="0"/>
      <w:bookmarkEnd w:id="3"/>
      <w:r>
        <w:rPr>
          <w:rFonts w:ascii="Palatino Linotype" w:eastAsia="Palatino Linotype" w:hAnsi="Palatino Linotype" w:cs="Palatino Linotype"/>
          <w:i/>
        </w:rPr>
        <w:t>1.</w:t>
      </w:r>
      <w:r>
        <w:rPr>
          <w:rFonts w:ascii="Palatino Linotype" w:eastAsia="Palatino Linotype" w:hAnsi="Palatino Linotype" w:cs="Palatino Linotype"/>
          <w:i/>
        </w:rPr>
        <w:tab/>
        <w:t>Conciliación de nómina del personal adscrito al Sujeto Obligado correspondiente a la generada de la primera quincena de enero de 2022 a la segunda quincena de enero de 2023.</w:t>
      </w:r>
    </w:p>
    <w:p w:rsidR="00525BAF" w:rsidRDefault="00525BAF">
      <w:pPr>
        <w:spacing w:after="0" w:line="240" w:lineRule="auto"/>
        <w:ind w:left="993" w:right="990"/>
        <w:jc w:val="both"/>
        <w:rPr>
          <w:rFonts w:ascii="Palatino Linotype" w:eastAsia="Palatino Linotype" w:hAnsi="Palatino Linotype" w:cs="Palatino Linotype"/>
          <w:i/>
        </w:rPr>
      </w:pPr>
    </w:p>
    <w:p w:rsidR="00525BAF" w:rsidRDefault="00044111">
      <w:pPr>
        <w:spacing w:after="0" w:line="240" w:lineRule="auto"/>
        <w:ind w:left="993" w:right="990"/>
        <w:jc w:val="both"/>
        <w:rPr>
          <w:rFonts w:ascii="Palatino Linotype" w:eastAsia="Palatino Linotype" w:hAnsi="Palatino Linotype" w:cs="Palatino Linotype"/>
          <w:i/>
        </w:rPr>
      </w:pPr>
      <w:r>
        <w:rPr>
          <w:rFonts w:ascii="Palatino Linotype" w:eastAsia="Palatino Linotype" w:hAnsi="Palatino Linotype" w:cs="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w:t>
      </w:r>
    </w:p>
    <w:p w:rsidR="00525BAF" w:rsidRDefault="00044111">
      <w:pPr>
        <w:spacing w:after="0" w:line="240" w:lineRule="auto"/>
        <w:ind w:left="993"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rPr>
        <w:lastRenderedPageBreak/>
        <w:t>….</w:t>
      </w:r>
      <w:r>
        <w:rPr>
          <w:rFonts w:ascii="Palatino Linotype" w:eastAsia="Palatino Linotype" w:hAnsi="Palatino Linotype" w:cs="Palatino Linotype"/>
          <w:i/>
          <w:color w:val="000000"/>
        </w:rPr>
        <w:t>” (Sic)</w:t>
      </w:r>
    </w:p>
    <w:p w:rsidR="00525BAF" w:rsidRDefault="00525BAF">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525BAF" w:rsidRDefault="00044111">
      <w:pPr>
        <w:numPr>
          <w:ilvl w:val="0"/>
          <w:numId w:val="2"/>
        </w:numPr>
        <w:pBdr>
          <w:top w:val="nil"/>
          <w:left w:val="nil"/>
          <w:bottom w:val="nil"/>
          <w:right w:val="nil"/>
          <w:between w:val="nil"/>
        </w:pBdr>
        <w:spacing w:after="0" w:line="360" w:lineRule="auto"/>
        <w:ind w:left="28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525BAF" w:rsidRDefault="00525BAF">
      <w:pPr>
        <w:pBdr>
          <w:top w:val="nil"/>
          <w:left w:val="nil"/>
          <w:bottom w:val="nil"/>
          <w:right w:val="nil"/>
          <w:between w:val="nil"/>
        </w:pBdr>
        <w:spacing w:after="0" w:line="360" w:lineRule="auto"/>
        <w:ind w:left="284"/>
        <w:jc w:val="both"/>
        <w:rPr>
          <w:rFonts w:ascii="Palatino Linotype" w:eastAsia="Palatino Linotype" w:hAnsi="Palatino Linotype" w:cs="Palatino Linotype"/>
          <w:b/>
          <w:color w:val="000000"/>
        </w:rPr>
      </w:pPr>
    </w:p>
    <w:p w:rsidR="00525BAF" w:rsidRDefault="00044111">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este orden de ideas, resulta importante señalar que coincido con los términos generales planteados en la Resolución toda vez que por regla general la publicidad de lo</w:t>
      </w:r>
      <w:r>
        <w:rPr>
          <w:rFonts w:ascii="Palatino Linotype" w:eastAsia="Palatino Linotype" w:hAnsi="Palatino Linotype" w:cs="Palatino Linotype"/>
        </w:rPr>
        <w:t xml:space="preserve">s nombres de </w:t>
      </w:r>
      <w:r>
        <w:rPr>
          <w:rFonts w:ascii="Palatino Linotype" w:eastAsia="Palatino Linotype" w:hAnsi="Palatino Linotype" w:cs="Palatino Linotype"/>
          <w:color w:val="000000"/>
        </w:rPr>
        <w:t xml:space="preserve">los servidores públicos en el ejercicio de la función pública, se encuentran establecidas como una obligación de transparencia común, tanto en la Ley General como en la Ley Local, y de manera específica, el artículo 92, fracción VII de la Ley de Transparencia y Acceso a la Información Pública del Estado de México y Municipios; no obstante lo anterior, considero que dicha regla está sujeta a claro régimen de excepción, la cual concretamente se aprecia en el caso de la conciliación de la nómina del personal de la policía que se encuentra adscrito a instituciones de seguridad pública con funciones operativas, en atención a los consideraciones que a continuación se exponen. </w:t>
      </w:r>
    </w:p>
    <w:p w:rsidR="00525BAF" w:rsidRDefault="00525BAF">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525BAF" w:rsidRDefault="00044111">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color w:val="000000"/>
        </w:rPr>
        <w:t>los Municipios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color w:val="000000"/>
        </w:rPr>
        <w:t>. Asimismo señala que la actuación de las instituciones de seguridad pública se regirá por los principios de legalidad, objetividad, eficiencia, profesionalismo, honradez y respeto a los derechos humanos.</w:t>
      </w:r>
    </w:p>
    <w:p w:rsidR="00525BAF" w:rsidRDefault="00525BAF">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525BAF" w:rsidRDefault="00044111">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525BAF" w:rsidRDefault="00525BAF">
      <w:pPr>
        <w:pBdr>
          <w:top w:val="nil"/>
          <w:left w:val="nil"/>
          <w:bottom w:val="nil"/>
          <w:right w:val="nil"/>
          <w:between w:val="nil"/>
        </w:pBdr>
        <w:spacing w:after="120" w:line="360" w:lineRule="auto"/>
        <w:jc w:val="both"/>
        <w:rPr>
          <w:rFonts w:ascii="Palatino Linotype" w:eastAsia="Palatino Linotype" w:hAnsi="Palatino Linotype" w:cs="Palatino Linotype"/>
          <w:color w:val="000000"/>
        </w:rPr>
      </w:pPr>
    </w:p>
    <w:p w:rsidR="00525BAF" w:rsidRDefault="00044111">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525BAF" w:rsidRDefault="00525BAF">
      <w:pPr>
        <w:pBdr>
          <w:top w:val="nil"/>
          <w:left w:val="nil"/>
          <w:bottom w:val="nil"/>
          <w:right w:val="nil"/>
          <w:between w:val="nil"/>
        </w:pBdr>
        <w:spacing w:after="0" w:line="360" w:lineRule="auto"/>
        <w:jc w:val="both"/>
        <w:rPr>
          <w:rFonts w:ascii="Palatino Linotype" w:eastAsia="Palatino Linotype" w:hAnsi="Palatino Linotype" w:cs="Palatino Linotype"/>
        </w:rPr>
      </w:pPr>
    </w:p>
    <w:p w:rsidR="00525BAF" w:rsidRDefault="00044111">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525BAF" w:rsidRDefault="00525BAF">
      <w:pPr>
        <w:pBdr>
          <w:top w:val="nil"/>
          <w:left w:val="nil"/>
          <w:bottom w:val="nil"/>
          <w:right w:val="nil"/>
          <w:between w:val="nil"/>
        </w:pBdr>
        <w:spacing w:after="0" w:line="360" w:lineRule="auto"/>
        <w:jc w:val="both"/>
        <w:rPr>
          <w:rFonts w:ascii="Palatino Linotype" w:eastAsia="Palatino Linotype" w:hAnsi="Palatino Linotype" w:cs="Palatino Linotype"/>
        </w:rPr>
      </w:pPr>
    </w:p>
    <w:p w:rsidR="00525BAF" w:rsidRDefault="00044111">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525BAF" w:rsidRDefault="00044111">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“Artículo 81.-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525BAF" w:rsidRDefault="00044111">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p>
    <w:p w:rsidR="00525BAF" w:rsidRDefault="00044111">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525BAF" w:rsidRDefault="00525BAF">
      <w:pPr>
        <w:pBdr>
          <w:top w:val="nil"/>
          <w:left w:val="nil"/>
          <w:bottom w:val="nil"/>
          <w:right w:val="nil"/>
          <w:between w:val="nil"/>
        </w:pBdr>
        <w:spacing w:after="120" w:line="240" w:lineRule="auto"/>
        <w:ind w:left="567" w:right="990"/>
        <w:jc w:val="both"/>
        <w:rPr>
          <w:rFonts w:ascii="Palatino Linotype" w:eastAsia="Palatino Linotype" w:hAnsi="Palatino Linotype" w:cs="Palatino Linotype"/>
          <w:b/>
          <w:i/>
          <w:u w:val="single"/>
        </w:rPr>
      </w:pPr>
    </w:p>
    <w:p w:rsidR="00525BAF" w:rsidRDefault="00044111">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525BAF" w:rsidRDefault="00044111">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113. Como información reservada podrá clasificarse aquella cuya publicación: </w:t>
      </w:r>
    </w:p>
    <w:p w:rsidR="00525BAF" w:rsidRDefault="00044111">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I. Comprometa la seguridad nacional, la seguridad pública o la defensa nacional y cuente con un propósito genuino y un efecto demostrable;</w:t>
      </w:r>
    </w:p>
    <w:p w:rsidR="00525BAF" w:rsidRDefault="00044111">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w:t>
      </w:r>
    </w:p>
    <w:p w:rsidR="00525BAF" w:rsidRDefault="00044111">
      <w:pPr>
        <w:pBdr>
          <w:top w:val="nil"/>
          <w:left w:val="nil"/>
          <w:bottom w:val="nil"/>
          <w:right w:val="nil"/>
          <w:between w:val="nil"/>
        </w:pBdr>
        <w:tabs>
          <w:tab w:val="left" w:pos="284"/>
        </w:tabs>
        <w:spacing w:after="0" w:line="240" w:lineRule="auto"/>
        <w:ind w:left="992" w:right="70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140. El acceso a la información pública será restringido excepcionalmente, cuando por razones de interés público, ésta sea clasificada como reservada, conforme a los criterios siguientes: </w:t>
      </w:r>
    </w:p>
    <w:p w:rsidR="00525BAF" w:rsidRDefault="00044111">
      <w:pPr>
        <w:numPr>
          <w:ilvl w:val="0"/>
          <w:numId w:val="1"/>
        </w:numPr>
        <w:pBdr>
          <w:top w:val="nil"/>
          <w:left w:val="nil"/>
          <w:bottom w:val="nil"/>
          <w:right w:val="nil"/>
          <w:between w:val="nil"/>
        </w:pBdr>
        <w:tabs>
          <w:tab w:val="left" w:pos="284"/>
        </w:tabs>
        <w:spacing w:after="0" w:line="240" w:lineRule="auto"/>
        <w:ind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Comprometa la seguridad pública y cuente con un propósito genuino y un efecto demostrable…” (Sic)</w:t>
      </w:r>
    </w:p>
    <w:p w:rsidR="00525BAF" w:rsidRDefault="00525BAF">
      <w:pPr>
        <w:pBdr>
          <w:top w:val="nil"/>
          <w:left w:val="nil"/>
          <w:bottom w:val="nil"/>
          <w:right w:val="nil"/>
          <w:between w:val="nil"/>
        </w:pBdr>
        <w:spacing w:after="120" w:line="360" w:lineRule="auto"/>
        <w:jc w:val="both"/>
        <w:rPr>
          <w:rFonts w:ascii="Palatino Linotype" w:eastAsia="Palatino Linotype" w:hAnsi="Palatino Linotype" w:cs="Palatino Linotype"/>
        </w:rPr>
      </w:pPr>
    </w:p>
    <w:p w:rsidR="00525BAF" w:rsidRDefault="00044111">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los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525BAF" w:rsidRDefault="00044111">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525BAF" w:rsidRDefault="00044111">
      <w:pPr>
        <w:pBdr>
          <w:top w:val="nil"/>
          <w:left w:val="nil"/>
          <w:bottom w:val="nil"/>
          <w:right w:val="nil"/>
          <w:between w:val="nil"/>
        </w:pBdr>
        <w:spacing w:after="12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w:t>
      </w:r>
      <w:r>
        <w:rPr>
          <w:rFonts w:ascii="Palatino Linotype" w:eastAsia="Palatino Linotype" w:hAnsi="Palatino Linotype" w:cs="Palatino Linotype"/>
        </w:rPr>
        <w:lastRenderedPageBreak/>
        <w:t>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525BAF" w:rsidRDefault="00044111">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525BAF" w:rsidRDefault="00044111">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525BAF" w:rsidRDefault="00044111">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525BAF" w:rsidRDefault="00044111">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525BAF" w:rsidRDefault="00044111">
      <w:pPr>
        <w:spacing w:before="240" w:after="240" w:line="360" w:lineRule="auto"/>
        <w:ind w:right="-3"/>
        <w:jc w:val="both"/>
        <w:rPr>
          <w:rFonts w:ascii="Palatino Linotype" w:eastAsia="Palatino Linotype" w:hAnsi="Palatino Linotype" w:cs="Palatino Linotype"/>
          <w:highlight w:val="yellow"/>
        </w:rPr>
      </w:pPr>
      <w:r>
        <w:rPr>
          <w:rFonts w:ascii="Palatino Linotype" w:eastAsia="Palatino Linotype" w:hAnsi="Palatino Linotype" w:cs="Palatino Linotype"/>
        </w:rPr>
        <w:t>2. Existe una relación causal general entre la entrega de la información y la afectación a la seguridad pública, pues los grupos criminales estarían en posibilidad de obstaculizar o bloquear actividades encaminadas a preservar el orden dentro de la dinámica social.</w:t>
      </w:r>
    </w:p>
    <w:p w:rsidR="00525BAF" w:rsidRDefault="00044111">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 xml:space="preserve">con que cuentan el Estado y Municipios, mayor es la probabilidad de que la información pueda implementarse como medio para actualizar o potenciar una amenaza en contra de la seguridad pública de los mismos. </w:t>
      </w:r>
    </w:p>
    <w:p w:rsidR="00525BAF" w:rsidRDefault="00044111">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 la fecha de la solicitud, aunado a que no se hace una distinción entre el número de personal operativo y administrativo. </w:t>
      </w:r>
    </w:p>
    <w:p w:rsidR="00525BAF" w:rsidRDefault="00044111">
      <w:pPr>
        <w:pBdr>
          <w:top w:val="nil"/>
          <w:left w:val="nil"/>
          <w:bottom w:val="nil"/>
          <w:right w:val="nil"/>
          <w:between w:val="nil"/>
        </w:pBd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En consecuencia, la información de los elementos operativos adscrito a instituciones de seguridad pública, deben recibir un tratamiento de carácter excepcional, y esto es en razón de que, son los responsables de procurar el orden, la estabilidad y la defensa de la sociedad a la que pertenecen, por lo que, se estima que al proporcionar dicha información se revela el número de servidores públicos operativos con funciones de seguridad pública activos en el Sujeto obligado; información con la que se da a conocer el estado de fuerza y la capacidad de reacción del órgano público.</w:t>
      </w:r>
    </w:p>
    <w:p w:rsidR="00525BAF" w:rsidRDefault="00044111">
      <w:pPr>
        <w:spacing w:before="240" w:after="240" w:line="360" w:lineRule="auto"/>
        <w:jc w:val="both"/>
        <w:rPr>
          <w:rFonts w:ascii="Palatino Linotype" w:eastAsia="Palatino Linotype" w:hAnsi="Palatino Linotype" w:cs="Palatino Linotype"/>
        </w:rPr>
      </w:pPr>
      <w:bookmarkStart w:id="5" w:name="_heading=h.jjcdfz331x30" w:colFirst="0" w:colLast="0"/>
      <w:bookmarkEnd w:id="5"/>
      <w:r>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w:t>
      </w:r>
      <w:r w:rsidRPr="00E45EF3">
        <w:rPr>
          <w:rFonts w:ascii="Palatino Linotype" w:eastAsia="Palatino Linotype" w:hAnsi="Palatino Linotype" w:cs="Palatino Linotype"/>
        </w:rPr>
        <w:t xml:space="preserve">encuentra sustento en el Instructivo del módulo 4 para la entrega del informe trimestral 2023, </w:t>
      </w:r>
      <w:r>
        <w:rPr>
          <w:rFonts w:ascii="Palatino Linotype" w:eastAsia="Palatino Linotype" w:hAnsi="Palatino Linotype" w:cs="Palatino Linotype"/>
        </w:rPr>
        <w:t>en dicho documento obran los siguientes elementos:</w:t>
      </w:r>
    </w:p>
    <w:p w:rsidR="00E45EF3" w:rsidRDefault="00E45EF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simplePos x="0" y="0"/>
                <wp:positionH relativeFrom="column">
                  <wp:posOffset>378130</wp:posOffset>
                </wp:positionH>
                <wp:positionV relativeFrom="paragraph">
                  <wp:posOffset>103682</wp:posOffset>
                </wp:positionV>
                <wp:extent cx="4915814" cy="1345997"/>
                <wp:effectExtent l="38100" t="38100" r="75565" b="83185"/>
                <wp:wrapNone/>
                <wp:docPr id="3" name="Conector recto 3"/>
                <wp:cNvGraphicFramePr/>
                <a:graphic xmlns:a="http://schemas.openxmlformats.org/drawingml/2006/main">
                  <a:graphicData uri="http://schemas.microsoft.com/office/word/2010/wordprocessingShape">
                    <wps:wsp>
                      <wps:cNvCnPr/>
                      <wps:spPr>
                        <a:xfrm>
                          <a:off x="0" y="0"/>
                          <a:ext cx="4915814" cy="1345997"/>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A03B62"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5pt,8.15pt" to="416.8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" strokecolor="black [3213]" strokeweight="1pt">
                <v:shadow on="t" color="black" opacity="24903f" origin=",.5" offset="0,.55556mm"/>
              </v:line>
            </w:pict>
          </mc:Fallback>
        </mc:AlternateContent>
      </w:r>
    </w:p>
    <w:p w:rsidR="00525BAF" w:rsidRDefault="00E45EF3">
      <w:pPr>
        <w:spacing w:before="240" w:after="240" w:line="360" w:lineRule="auto"/>
        <w:ind w:right="139"/>
        <w:jc w:val="both"/>
        <w:rPr>
          <w:rFonts w:ascii="Palatino Linotype" w:eastAsia="Palatino Linotype" w:hAnsi="Palatino Linotype" w:cs="Palatino Linotype"/>
        </w:rPr>
      </w:pPr>
      <w:r w:rsidRPr="00E45EF3">
        <w:rPr>
          <w:rFonts w:ascii="Palatino Linotype" w:eastAsia="Palatino Linotype" w:hAnsi="Palatino Linotype" w:cs="Palatino Linotype"/>
          <w:noProof/>
        </w:rPr>
        <w:lastRenderedPageBreak/>
        <w:drawing>
          <wp:inline distT="0" distB="0" distL="0" distR="0" wp14:anchorId="75FDC1C1" wp14:editId="45F4F3CC">
            <wp:extent cx="5527675" cy="70694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7675" cy="7069455"/>
                    </a:xfrm>
                    <a:prstGeom prst="rect">
                      <a:avLst/>
                    </a:prstGeom>
                  </pic:spPr>
                </pic:pic>
              </a:graphicData>
            </a:graphic>
          </wp:inline>
        </w:drawing>
      </w:r>
    </w:p>
    <w:p w:rsidR="00525BAF" w:rsidRDefault="00E45EF3">
      <w:pPr>
        <w:spacing w:before="240" w:after="240" w:line="360" w:lineRule="auto"/>
        <w:ind w:right="139"/>
        <w:jc w:val="both"/>
        <w:rPr>
          <w:rFonts w:ascii="Palatino Linotype" w:eastAsia="Palatino Linotype" w:hAnsi="Palatino Linotype" w:cs="Palatino Linotype"/>
        </w:rPr>
      </w:pPr>
      <w:r w:rsidRPr="00E45EF3">
        <w:rPr>
          <w:rFonts w:ascii="Palatino Linotype" w:eastAsia="Palatino Linotype" w:hAnsi="Palatino Linotype" w:cs="Palatino Linotype"/>
          <w:noProof/>
        </w:rPr>
        <w:lastRenderedPageBreak/>
        <w:drawing>
          <wp:inline distT="0" distB="0" distL="0" distR="0" wp14:anchorId="7AF376E1" wp14:editId="56BA3F2E">
            <wp:extent cx="5442509" cy="2570683"/>
            <wp:effectExtent l="0" t="0" r="635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2963" cy="2589791"/>
                    </a:xfrm>
                    <a:prstGeom prst="rect">
                      <a:avLst/>
                    </a:prstGeom>
                  </pic:spPr>
                </pic:pic>
              </a:graphicData>
            </a:graphic>
          </wp:inline>
        </w:drawing>
      </w:r>
    </w:p>
    <w:p w:rsidR="00525BAF" w:rsidRDefault="00044111">
      <w:pPr>
        <w:spacing w:before="240" w:after="240" w:line="360" w:lineRule="auto"/>
        <w:ind w:right="139"/>
        <w:jc w:val="both"/>
        <w:rPr>
          <w:rFonts w:ascii="Palatino Linotype" w:eastAsia="Palatino Linotype" w:hAnsi="Palatino Linotype" w:cs="Palatino Linotype"/>
        </w:rPr>
        <w:sectPr w:rsidR="00525BAF">
          <w:headerReference w:type="even" r:id="rId10"/>
          <w:headerReference w:type="default" r:id="rId11"/>
          <w:footerReference w:type="default" r:id="rId12"/>
          <w:pgSz w:w="12240" w:h="15840"/>
          <w:pgMar w:top="1871" w:right="1327" w:bottom="2836" w:left="1985" w:header="709" w:footer="586" w:gutter="0"/>
          <w:pgNumType w:start="1"/>
          <w:cols w:space="720"/>
        </w:sectPr>
      </w:pPr>
      <w:bookmarkStart w:id="6" w:name="_heading=h.2et92p0" w:colFirst="0" w:colLast="0"/>
      <w:bookmarkEnd w:id="6"/>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p w:rsidR="00525BAF" w:rsidRDefault="00525BAF">
      <w:pPr>
        <w:spacing w:after="0" w:line="360" w:lineRule="auto"/>
        <w:ind w:right="139"/>
        <w:jc w:val="both"/>
        <w:rPr>
          <w:rFonts w:ascii="Palatino Linotype" w:eastAsia="Palatino Linotype" w:hAnsi="Palatino Linotype" w:cs="Palatino Linotype"/>
        </w:rPr>
      </w:pPr>
    </w:p>
    <w:sectPr w:rsidR="00525BAF">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CC2" w:rsidRDefault="00196CC2">
      <w:pPr>
        <w:spacing w:after="0" w:line="240" w:lineRule="auto"/>
      </w:pPr>
      <w:r>
        <w:separator/>
      </w:r>
    </w:p>
  </w:endnote>
  <w:endnote w:type="continuationSeparator" w:id="0">
    <w:p w:rsidR="00196CC2" w:rsidRDefault="0019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AF" w:rsidRDefault="0004411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42BA1">
      <w:rPr>
        <w:rFonts w:ascii="Arial" w:eastAsia="Arial" w:hAnsi="Arial" w:cs="Arial"/>
        <w:b/>
        <w:noProof/>
        <w:color w:val="000000"/>
        <w:sz w:val="20"/>
        <w:szCs w:val="20"/>
      </w:rPr>
      <w:t>10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42BA1">
      <w:rPr>
        <w:rFonts w:ascii="Arial" w:eastAsia="Arial" w:hAnsi="Arial" w:cs="Arial"/>
        <w:b/>
        <w:noProof/>
        <w:color w:val="000000"/>
        <w:sz w:val="20"/>
        <w:szCs w:val="20"/>
      </w:rPr>
      <w:t>11</w:t>
    </w:r>
    <w:r>
      <w:rPr>
        <w:rFonts w:ascii="Arial" w:eastAsia="Arial" w:hAnsi="Arial" w:cs="Arial"/>
        <w:b/>
        <w:color w:val="000000"/>
        <w:sz w:val="20"/>
        <w:szCs w:val="20"/>
      </w:rPr>
      <w:fldChar w:fldCharType="end"/>
    </w:r>
  </w:p>
  <w:p w:rsidR="00525BAF" w:rsidRDefault="00525BA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AF" w:rsidRDefault="0004411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42BA1">
      <w:rPr>
        <w:b/>
        <w:noProof/>
        <w:color w:val="000000"/>
        <w:sz w:val="24"/>
        <w:szCs w:val="24"/>
      </w:rPr>
      <w:t>1</w:t>
    </w:r>
    <w:r>
      <w:rPr>
        <w:b/>
        <w:color w:val="000000"/>
        <w:sz w:val="24"/>
        <w:szCs w:val="24"/>
      </w:rPr>
      <w:fldChar w:fldCharType="end"/>
    </w:r>
    <w:r w:rsidR="00E45EF3">
      <w:rPr>
        <w:b/>
        <w:color w:val="000000"/>
        <w:sz w:val="24"/>
        <w:szCs w:val="24"/>
      </w:rPr>
      <w:t>1</w:t>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42BA1">
      <w:rPr>
        <w:b/>
        <w:noProof/>
        <w:color w:val="000000"/>
        <w:sz w:val="24"/>
        <w:szCs w:val="24"/>
      </w:rPr>
      <w:t>11</w:t>
    </w:r>
    <w:r>
      <w:rPr>
        <w:b/>
        <w:color w:val="000000"/>
        <w:sz w:val="24"/>
        <w:szCs w:val="24"/>
      </w:rPr>
      <w:fldChar w:fldCharType="end"/>
    </w:r>
  </w:p>
  <w:p w:rsidR="00525BAF" w:rsidRDefault="00525BAF">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CC2" w:rsidRDefault="00196CC2">
      <w:pPr>
        <w:spacing w:after="0" w:line="240" w:lineRule="auto"/>
      </w:pPr>
      <w:r>
        <w:separator/>
      </w:r>
    </w:p>
  </w:footnote>
  <w:footnote w:type="continuationSeparator" w:id="0">
    <w:p w:rsidR="00196CC2" w:rsidRDefault="00196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AF" w:rsidRDefault="0004411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42643183" cy="42643183"/>
              <wp:effectExtent l="0" t="0" r="0" b="0"/>
              <wp:wrapNone/>
              <wp:docPr id="33" name="Rectángulo 33"/>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rsidR="00525BAF" w:rsidRDefault="00044111">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42643183" cy="42643183"/>
              <wp:effectExtent b="0" l="0" r="0" t="0"/>
              <wp:wrapNone/>
              <wp:docPr id="3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2643183" cy="42643183"/>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AF" w:rsidRDefault="0004411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-1115053</wp:posOffset>
          </wp:positionH>
          <wp:positionV relativeFrom="paragraph">
            <wp:posOffset>-433695</wp:posOffset>
          </wp:positionV>
          <wp:extent cx="7510628" cy="9883775"/>
          <wp:effectExtent l="0" t="0" r="0" b="0"/>
          <wp:wrapNone/>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525BAF" w:rsidRDefault="00525BA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25BAF" w:rsidRDefault="00525BA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25BAF" w:rsidRDefault="0004411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525BAF" w:rsidRDefault="0004411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highlight w:val="yellow"/>
      </w:rPr>
    </w:pPr>
    <w:r>
      <w:rPr>
        <w:rFonts w:ascii="Palatino Linotype" w:eastAsia="Palatino Linotype" w:hAnsi="Palatino Linotype" w:cs="Palatino Linotype"/>
        <w:b/>
        <w:color w:val="000000"/>
        <w:sz w:val="20"/>
        <w:szCs w:val="20"/>
      </w:rPr>
      <w:t xml:space="preserve">   RECURSOS DE REVISIÓN 001025/INFOEM/IP/RR/2024</w:t>
    </w:r>
  </w:p>
  <w:p w:rsidR="00525BAF" w:rsidRDefault="00525BA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AF" w:rsidRDefault="00525BA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25BAF" w:rsidRDefault="00525BA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25BAF" w:rsidRDefault="00525BA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25BAF" w:rsidRDefault="00525BA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4FF0"/>
    <w:multiLevelType w:val="multilevel"/>
    <w:tmpl w:val="F050AF94"/>
    <w:lvl w:ilvl="0">
      <w:start w:val="1"/>
      <w:numFmt w:val="upperRoman"/>
      <w:lvlText w:val="%1."/>
      <w:lvlJc w:val="left"/>
      <w:pPr>
        <w:ind w:left="1712" w:hanging="72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 w15:restartNumberingAfterBreak="0">
    <w:nsid w:val="2D1A77E9"/>
    <w:multiLevelType w:val="multilevel"/>
    <w:tmpl w:val="04E296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AF"/>
    <w:rsid w:val="00044111"/>
    <w:rsid w:val="00196CC2"/>
    <w:rsid w:val="00442BA1"/>
    <w:rsid w:val="00525BAF"/>
    <w:rsid w:val="00E45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0A2C3-EE9D-427A-B0DC-7B6193A9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D60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666"/>
  </w:style>
  <w:style w:type="paragraph" w:styleId="Encabezado">
    <w:name w:val="header"/>
    <w:basedOn w:val="Normal"/>
    <w:link w:val="EncabezadoCar"/>
    <w:uiPriority w:val="99"/>
    <w:unhideWhenUsed/>
    <w:rsid w:val="00D60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666"/>
  </w:style>
  <w:style w:type="table" w:customStyle="1" w:styleId="Tablaconcuadrcula4">
    <w:name w:val="Tabla con cuadrícula4"/>
    <w:basedOn w:val="Tablanormal"/>
    <w:next w:val="Tablaconcuadrcula"/>
    <w:uiPriority w:val="59"/>
    <w:rsid w:val="000158D4"/>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1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61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618E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NFH6bvRopzFq80x37fDDiOxwg==">CgMxLjAyCGguZ2pkZ3hzMgloLjMwajB6bGwyCWguM3pueXNoNzIJaC4xZm9iOXRlMg5oLmpqY2RmejMzMXgzMDIJaC4yZXQ5MnAwOAByITE4aDZvWjFETkhQRkdnaUJOM3RjV2NNNF9BRnd0YXRUaQ==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2208</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3</cp:revision>
  <cp:lastPrinted>2024-04-08T16:36:00Z</cp:lastPrinted>
  <dcterms:created xsi:type="dcterms:W3CDTF">2024-04-04T19:36:00Z</dcterms:created>
  <dcterms:modified xsi:type="dcterms:W3CDTF">2024-04-08T16:36:00Z</dcterms:modified>
</cp:coreProperties>
</file>