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334EB924"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5123A3">
        <w:rPr>
          <w:rFonts w:ascii="Palatino Linotype" w:hAnsi="Palatino Linotype"/>
          <w:b/>
          <w:sz w:val="23"/>
          <w:szCs w:val="23"/>
        </w:rPr>
        <w:t xml:space="preserve">TRIGÉSIMA PRIMERA </w:t>
      </w:r>
      <w:r w:rsidR="005123A3" w:rsidRPr="008546EB">
        <w:rPr>
          <w:rFonts w:ascii="Palatino Linotype" w:hAnsi="Palatino Linotype"/>
          <w:b/>
          <w:sz w:val="23"/>
          <w:szCs w:val="23"/>
        </w:rPr>
        <w:t xml:space="preserve">SESIÓN </w:t>
      </w:r>
      <w:r w:rsidR="0019061A" w:rsidRPr="008546EB">
        <w:rPr>
          <w:rFonts w:ascii="Palatino Linotype" w:hAnsi="Palatino Linotype"/>
          <w:b/>
          <w:sz w:val="23"/>
          <w:szCs w:val="23"/>
        </w:rPr>
        <w:t xml:space="preserve">ORDINARIA DEL PLENO DE FECHA </w:t>
      </w:r>
      <w:r w:rsidR="005123A3">
        <w:rPr>
          <w:rFonts w:ascii="Palatino Linotype" w:hAnsi="Palatino Linotype"/>
          <w:b/>
          <w:sz w:val="23"/>
          <w:szCs w:val="23"/>
        </w:rPr>
        <w:t>CUATRO DE SEPTIEMBRE</w:t>
      </w:r>
      <w:r w:rsidR="0019061A" w:rsidRPr="008546EB">
        <w:rPr>
          <w:rFonts w:ascii="Palatino Linotype" w:hAnsi="Palatino Linotype"/>
          <w:b/>
          <w:sz w:val="23"/>
          <w:szCs w:val="23"/>
        </w:rPr>
        <w:t xml:space="preserve"> DE 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w:t>
      </w:r>
      <w:r w:rsidR="005123A3">
        <w:rPr>
          <w:rFonts w:ascii="Palatino Linotype" w:hAnsi="Palatino Linotype"/>
          <w:b/>
          <w:sz w:val="23"/>
          <w:szCs w:val="23"/>
        </w:rPr>
        <w:t>3704</w:t>
      </w:r>
      <w:r w:rsidR="00E047E0" w:rsidRPr="00E047E0">
        <w:rPr>
          <w:rFonts w:ascii="Palatino Linotype" w:hAnsi="Palatino Linotype"/>
          <w:b/>
          <w:sz w:val="23"/>
          <w:szCs w:val="23"/>
        </w:rPr>
        <w:t>/INFOEM/IP/RR/202</w:t>
      </w:r>
      <w:r w:rsidR="00F148AD">
        <w:rPr>
          <w:rFonts w:ascii="Palatino Linotype" w:hAnsi="Palatino Linotype"/>
          <w:b/>
          <w:sz w:val="23"/>
          <w:szCs w:val="23"/>
        </w:rPr>
        <w:t>4</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1295F892"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5123A3">
        <w:rPr>
          <w:rFonts w:ascii="Palatino Linotype" w:hAnsi="Palatino Linotype"/>
          <w:b/>
          <w:sz w:val="23"/>
          <w:szCs w:val="23"/>
        </w:rPr>
        <w:t>3704</w:t>
      </w:r>
      <w:r w:rsidR="00E047E0" w:rsidRPr="00E047E0">
        <w:rPr>
          <w:rFonts w:ascii="Palatino Linotype" w:hAnsi="Palatino Linotype"/>
          <w:b/>
          <w:sz w:val="23"/>
          <w:szCs w:val="23"/>
        </w:rPr>
        <w:t>/INFOEM/IP/RR/202</w:t>
      </w:r>
      <w:r w:rsidR="00F148AD">
        <w:rPr>
          <w:rFonts w:ascii="Palatino Linotype" w:hAnsi="Palatino Linotype"/>
          <w:b/>
          <w:sz w:val="23"/>
          <w:szCs w:val="23"/>
        </w:rPr>
        <w:t>4</w:t>
      </w:r>
      <w:r w:rsidRPr="008546EB">
        <w:rPr>
          <w:rFonts w:ascii="Palatino Linotype" w:hAnsi="Palatino Linotype"/>
          <w:sz w:val="23"/>
          <w:szCs w:val="23"/>
        </w:rPr>
        <w:t xml:space="preserve">, pronunciada por el Pleno de este Instituto ante el proyecto presentado por </w:t>
      </w:r>
      <w:r w:rsidR="0039658D">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39658D">
        <w:rPr>
          <w:rFonts w:ascii="Palatino Linotype" w:hAnsi="Palatino Linotype"/>
          <w:b/>
          <w:sz w:val="23"/>
          <w:szCs w:val="23"/>
        </w:rPr>
        <w:t>a</w:t>
      </w:r>
      <w:r w:rsidRPr="008546EB">
        <w:rPr>
          <w:rFonts w:ascii="Palatino Linotype" w:hAnsi="Palatino Linotype"/>
          <w:b/>
          <w:sz w:val="23"/>
          <w:szCs w:val="23"/>
        </w:rPr>
        <w:t xml:space="preserve"> </w:t>
      </w:r>
      <w:r w:rsidR="005123A3">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45BD21AC" w14:textId="77777777" w:rsidR="005123A3" w:rsidRDefault="00846F0C" w:rsidP="005123A3">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5123A3" w:rsidRPr="005123A3">
        <w:rPr>
          <w:rFonts w:ascii="Palatino Linotype" w:hAnsi="Palatino Linotype"/>
          <w:b/>
          <w:sz w:val="23"/>
          <w:szCs w:val="23"/>
        </w:rPr>
        <w:t>Ayuntamiento de Ecatepec de Morelos</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B835E7" w:rsidRPr="00B835E7">
        <w:rPr>
          <w:rFonts w:ascii="Palatino Linotype" w:hAnsi="Palatino Linotype"/>
          <w:sz w:val="23"/>
          <w:szCs w:val="23"/>
        </w:rPr>
        <w:t>le proporcionara</w:t>
      </w:r>
      <w:r w:rsidR="0039658D">
        <w:rPr>
          <w:rFonts w:ascii="Palatino Linotype" w:hAnsi="Palatino Linotype"/>
          <w:sz w:val="23"/>
          <w:szCs w:val="23"/>
        </w:rPr>
        <w:t xml:space="preserve">, </w:t>
      </w:r>
      <w:r w:rsidR="005123A3" w:rsidRPr="005123A3">
        <w:rPr>
          <w:rFonts w:ascii="Palatino Linotype" w:hAnsi="Palatino Linotype"/>
          <w:sz w:val="23"/>
          <w:szCs w:val="23"/>
        </w:rPr>
        <w:t>del primero de enero de dos mil diecinueve al veinte de mayo de dos mil veinticuatro, la siguiente información:</w:t>
      </w:r>
    </w:p>
    <w:p w14:paraId="5D902EE4" w14:textId="77777777" w:rsidR="005123A3" w:rsidRPr="005123A3" w:rsidRDefault="005123A3" w:rsidP="005123A3">
      <w:pPr>
        <w:spacing w:after="0" w:line="360" w:lineRule="auto"/>
        <w:jc w:val="both"/>
        <w:rPr>
          <w:rFonts w:ascii="Palatino Linotype" w:hAnsi="Palatino Linotype"/>
          <w:sz w:val="23"/>
          <w:szCs w:val="23"/>
        </w:rPr>
      </w:pPr>
    </w:p>
    <w:p w14:paraId="03C1A8B7" w14:textId="77777777" w:rsidR="005123A3" w:rsidRPr="005123A3" w:rsidRDefault="005123A3" w:rsidP="005123A3">
      <w:pPr>
        <w:spacing w:after="0" w:line="360" w:lineRule="auto"/>
        <w:jc w:val="both"/>
        <w:rPr>
          <w:rFonts w:ascii="Palatino Linotype" w:hAnsi="Palatino Linotype"/>
          <w:sz w:val="23"/>
          <w:szCs w:val="23"/>
        </w:rPr>
      </w:pPr>
      <w:r w:rsidRPr="005123A3">
        <w:rPr>
          <w:rFonts w:ascii="Palatino Linotype" w:hAnsi="Palatino Linotype"/>
          <w:sz w:val="23"/>
          <w:szCs w:val="23"/>
        </w:rPr>
        <w:t>1.</w:t>
      </w:r>
      <w:r w:rsidRPr="005123A3">
        <w:rPr>
          <w:rFonts w:ascii="Palatino Linotype" w:hAnsi="Palatino Linotype"/>
          <w:sz w:val="23"/>
          <w:szCs w:val="23"/>
        </w:rPr>
        <w:tab/>
        <w:t>Nombre completo de todos los servidores públicos que han ocupado un puesto en la tesorería municipal.</w:t>
      </w:r>
    </w:p>
    <w:p w14:paraId="3772372B" w14:textId="77777777" w:rsidR="005123A3" w:rsidRPr="005123A3" w:rsidRDefault="005123A3" w:rsidP="005123A3">
      <w:pPr>
        <w:spacing w:after="0" w:line="360" w:lineRule="auto"/>
        <w:jc w:val="both"/>
        <w:rPr>
          <w:rFonts w:ascii="Palatino Linotype" w:hAnsi="Palatino Linotype"/>
          <w:sz w:val="23"/>
          <w:szCs w:val="23"/>
        </w:rPr>
      </w:pPr>
      <w:r w:rsidRPr="005123A3">
        <w:rPr>
          <w:rFonts w:ascii="Palatino Linotype" w:hAnsi="Palatino Linotype"/>
          <w:sz w:val="23"/>
          <w:szCs w:val="23"/>
        </w:rPr>
        <w:lastRenderedPageBreak/>
        <w:t>2.</w:t>
      </w:r>
      <w:r w:rsidRPr="005123A3">
        <w:rPr>
          <w:rFonts w:ascii="Palatino Linotype" w:hAnsi="Palatino Linotype"/>
          <w:sz w:val="23"/>
          <w:szCs w:val="23"/>
        </w:rPr>
        <w:tab/>
        <w:t xml:space="preserve">Nombre, cargo y escolaridad, del personal que se encuentra dado de alta de la tesorería municipal. </w:t>
      </w:r>
    </w:p>
    <w:p w14:paraId="33BB396C" w14:textId="77777777" w:rsidR="005123A3" w:rsidRPr="005123A3" w:rsidRDefault="005123A3" w:rsidP="005123A3">
      <w:pPr>
        <w:spacing w:after="0" w:line="360" w:lineRule="auto"/>
        <w:jc w:val="both"/>
        <w:rPr>
          <w:rFonts w:ascii="Palatino Linotype" w:hAnsi="Palatino Linotype"/>
          <w:sz w:val="23"/>
          <w:szCs w:val="23"/>
        </w:rPr>
      </w:pPr>
      <w:r w:rsidRPr="005123A3">
        <w:rPr>
          <w:rFonts w:ascii="Palatino Linotype" w:hAnsi="Palatino Linotype"/>
          <w:sz w:val="23"/>
          <w:szCs w:val="23"/>
        </w:rPr>
        <w:t>3.</w:t>
      </w:r>
      <w:r w:rsidRPr="005123A3">
        <w:rPr>
          <w:rFonts w:ascii="Palatino Linotype" w:hAnsi="Palatino Linotype"/>
          <w:sz w:val="23"/>
          <w:szCs w:val="23"/>
        </w:rPr>
        <w:tab/>
        <w:t xml:space="preserve">Nombre, nivel de estudios y copia del título de los servidores públicos que han ocupado el cargo de tesorero o tesorera municipal. </w:t>
      </w:r>
    </w:p>
    <w:p w14:paraId="3096C50B" w14:textId="77777777" w:rsidR="005123A3" w:rsidRPr="005123A3" w:rsidRDefault="005123A3" w:rsidP="005123A3">
      <w:pPr>
        <w:spacing w:after="0" w:line="360" w:lineRule="auto"/>
        <w:jc w:val="both"/>
        <w:rPr>
          <w:rFonts w:ascii="Palatino Linotype" w:hAnsi="Palatino Linotype"/>
          <w:sz w:val="23"/>
          <w:szCs w:val="23"/>
        </w:rPr>
      </w:pPr>
      <w:r w:rsidRPr="005123A3">
        <w:rPr>
          <w:rFonts w:ascii="Palatino Linotype" w:hAnsi="Palatino Linotype"/>
          <w:sz w:val="23"/>
          <w:szCs w:val="23"/>
        </w:rPr>
        <w:t>4.</w:t>
      </w:r>
      <w:r w:rsidRPr="005123A3">
        <w:rPr>
          <w:rFonts w:ascii="Palatino Linotype" w:hAnsi="Palatino Linotype"/>
          <w:sz w:val="23"/>
          <w:szCs w:val="23"/>
        </w:rPr>
        <w:tab/>
        <w:t xml:space="preserve">Nombre completo, nivel de estudios y documento que acredite el nivel de estudios (certificado, boleta, titulo, cedula profesional) de los titulares, jefes de departamento, directores, subdirectores, coordinadores de la tesorería municipal, contando los que se han dado de baja, han sido despedidos. </w:t>
      </w:r>
    </w:p>
    <w:p w14:paraId="2312048D" w14:textId="77777777" w:rsidR="005123A3" w:rsidRPr="005123A3" w:rsidRDefault="005123A3" w:rsidP="005123A3">
      <w:pPr>
        <w:spacing w:after="0" w:line="360" w:lineRule="auto"/>
        <w:jc w:val="both"/>
        <w:rPr>
          <w:rFonts w:ascii="Palatino Linotype" w:hAnsi="Palatino Linotype"/>
          <w:sz w:val="23"/>
          <w:szCs w:val="23"/>
        </w:rPr>
      </w:pPr>
      <w:r w:rsidRPr="005123A3">
        <w:rPr>
          <w:rFonts w:ascii="Palatino Linotype" w:hAnsi="Palatino Linotype"/>
          <w:sz w:val="23"/>
          <w:szCs w:val="23"/>
        </w:rPr>
        <w:t>5.</w:t>
      </w:r>
      <w:r w:rsidRPr="005123A3">
        <w:rPr>
          <w:rFonts w:ascii="Palatino Linotype" w:hAnsi="Palatino Linotype"/>
          <w:sz w:val="23"/>
          <w:szCs w:val="23"/>
        </w:rPr>
        <w:tab/>
        <w:t xml:space="preserve">Cuantas personas y nombre de las personas que trabajan en la tesorería municipal por honorarios. </w:t>
      </w:r>
    </w:p>
    <w:p w14:paraId="054548A1" w14:textId="77777777" w:rsidR="005123A3" w:rsidRPr="005123A3" w:rsidRDefault="005123A3" w:rsidP="005123A3">
      <w:pPr>
        <w:spacing w:after="0" w:line="360" w:lineRule="auto"/>
        <w:jc w:val="both"/>
        <w:rPr>
          <w:rFonts w:ascii="Palatino Linotype" w:hAnsi="Palatino Linotype"/>
          <w:sz w:val="23"/>
          <w:szCs w:val="23"/>
        </w:rPr>
      </w:pPr>
      <w:r w:rsidRPr="005123A3">
        <w:rPr>
          <w:rFonts w:ascii="Palatino Linotype" w:hAnsi="Palatino Linotype"/>
          <w:sz w:val="23"/>
          <w:szCs w:val="23"/>
        </w:rPr>
        <w:t>6.</w:t>
      </w:r>
      <w:r w:rsidRPr="005123A3">
        <w:rPr>
          <w:rFonts w:ascii="Palatino Linotype" w:hAnsi="Palatino Linotype"/>
          <w:sz w:val="23"/>
          <w:szCs w:val="23"/>
        </w:rPr>
        <w:tab/>
        <w:t xml:space="preserve">Motivo por el cual han sido dados de baja, despedidos los servidores públicos que trabajaban en la tesorería municipal y si han sido denunciados, se han iniciado procesos legales en su contra. </w:t>
      </w:r>
    </w:p>
    <w:p w14:paraId="67D3C5DE" w14:textId="4DFFECD4" w:rsidR="00F148AD" w:rsidRDefault="005123A3" w:rsidP="005123A3">
      <w:pPr>
        <w:spacing w:after="0" w:line="360" w:lineRule="auto"/>
        <w:jc w:val="both"/>
        <w:rPr>
          <w:rFonts w:ascii="Palatino Linotype" w:hAnsi="Palatino Linotype"/>
          <w:sz w:val="23"/>
          <w:szCs w:val="23"/>
        </w:rPr>
      </w:pPr>
      <w:r w:rsidRPr="005123A3">
        <w:rPr>
          <w:rFonts w:ascii="Palatino Linotype" w:hAnsi="Palatino Linotype"/>
          <w:sz w:val="23"/>
          <w:szCs w:val="23"/>
        </w:rPr>
        <w:t>7.</w:t>
      </w:r>
      <w:r w:rsidRPr="005123A3">
        <w:rPr>
          <w:rFonts w:ascii="Palatino Linotype" w:hAnsi="Palatino Linotype"/>
          <w:sz w:val="23"/>
          <w:szCs w:val="23"/>
        </w:rPr>
        <w:tab/>
        <w:t>Cuánto ganan los titulares, jefes, directores de departamentos de la tesorería municipal.</w:t>
      </w:r>
    </w:p>
    <w:p w14:paraId="28453A45" w14:textId="77777777" w:rsidR="00846F0C" w:rsidRPr="00B835E7" w:rsidRDefault="00846F0C" w:rsidP="00B835E7">
      <w:pPr>
        <w:spacing w:after="0" w:line="360" w:lineRule="auto"/>
        <w:jc w:val="both"/>
        <w:rPr>
          <w:rFonts w:ascii="Palatino Linotype" w:hAnsi="Palatino Linotype"/>
          <w:sz w:val="23"/>
          <w:szCs w:val="23"/>
        </w:rPr>
      </w:pPr>
    </w:p>
    <w:p w14:paraId="01C20EA6" w14:textId="12F0F995" w:rsidR="00B835E7"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3262E7" w:rsidRPr="005123A3">
        <w:rPr>
          <w:rFonts w:ascii="Palatino Linotype" w:hAnsi="Palatino Linotype"/>
          <w:sz w:val="23"/>
          <w:szCs w:val="23"/>
          <w:lang w:val="es-ES"/>
        </w:rPr>
        <w:t xml:space="preserve">, </w:t>
      </w:r>
      <w:r w:rsidR="005123A3" w:rsidRPr="005123A3">
        <w:rPr>
          <w:rFonts w:ascii="Palatino Linotype" w:hAnsi="Palatino Linotype"/>
          <w:sz w:val="23"/>
          <w:szCs w:val="23"/>
          <w:lang w:val="es-ES"/>
        </w:rPr>
        <w:t>en informe justificado</w:t>
      </w:r>
      <w:r w:rsidR="005123A3">
        <w:rPr>
          <w:rFonts w:ascii="Palatino Linotype" w:hAnsi="Palatino Linotype"/>
          <w:b/>
          <w:bCs/>
          <w:sz w:val="23"/>
          <w:szCs w:val="23"/>
          <w:lang w:val="es-ES"/>
        </w:rPr>
        <w:t xml:space="preserve"> </w:t>
      </w:r>
      <w:r w:rsidR="005123A3" w:rsidRPr="005123A3">
        <w:rPr>
          <w:rFonts w:ascii="Palatino Linotype" w:hAnsi="Palatino Linotype"/>
          <w:bCs/>
          <w:sz w:val="23"/>
          <w:szCs w:val="23"/>
          <w:lang w:val="es-ES"/>
        </w:rPr>
        <w:t xml:space="preserve">rendido por la Jefa de Unidad de la Dirección General de Personal, hizo del conocimiento del particular que la información solicitada puede ser consultada a través de la Plataforma de IPOMEX en la dirección electrónica http://ecatepec.gob.mx/transparencia, ejercicio 2018 y posteriores, artículo 92 fracciones VIII A y XXI, siendo la única información que se encuentra dentro del ámbito de </w:t>
      </w:r>
      <w:r w:rsidR="005123A3" w:rsidRPr="005123A3">
        <w:rPr>
          <w:rFonts w:ascii="Palatino Linotype" w:hAnsi="Palatino Linotype"/>
          <w:bCs/>
          <w:sz w:val="23"/>
          <w:szCs w:val="23"/>
          <w:lang w:val="es-ES"/>
        </w:rPr>
        <w:lastRenderedPageBreak/>
        <w:t>competencia, de conformidad con lo dispuesto por el artículo 34 fracciones VI, VII, IX, X y XI del Reglamento Interno de la Administración Pública Municipal de Ecatepec de Morelos vigente, así como en el artículo 50 del Bando Municipal de Ecatepec de Morelos vigente.</w:t>
      </w:r>
    </w:p>
    <w:p w14:paraId="3751FF18" w14:textId="77777777" w:rsidR="005123A3" w:rsidRPr="008546EB" w:rsidRDefault="005123A3" w:rsidP="00E52718">
      <w:pPr>
        <w:spacing w:after="0" w:line="360" w:lineRule="auto"/>
        <w:ind w:right="-3"/>
        <w:jc w:val="both"/>
        <w:rPr>
          <w:rFonts w:ascii="Palatino Linotype" w:hAnsi="Palatino Linotype"/>
          <w:bCs/>
          <w:sz w:val="23"/>
          <w:szCs w:val="23"/>
          <w:lang w:val="es-ES"/>
        </w:rPr>
      </w:pPr>
    </w:p>
    <w:p w14:paraId="4CEA5552" w14:textId="711D31A9"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39658D">
        <w:rPr>
          <w:rFonts w:ascii="Palatino Linotype" w:hAnsi="Palatino Linotype"/>
          <w:sz w:val="23"/>
          <w:szCs w:val="23"/>
        </w:rPr>
        <w:t>la Comisionada</w:t>
      </w:r>
      <w:r>
        <w:rPr>
          <w:rFonts w:ascii="Palatino Linotype" w:hAnsi="Palatino Linotype"/>
          <w:sz w:val="23"/>
          <w:szCs w:val="23"/>
        </w:rPr>
        <w:t xml:space="preserve"> Ponente resolvió </w:t>
      </w:r>
      <w:r w:rsidR="005123A3">
        <w:rPr>
          <w:rFonts w:ascii="Palatino Linotype" w:hAnsi="Palatino Linotype"/>
          <w:b/>
          <w:sz w:val="23"/>
          <w:szCs w:val="23"/>
        </w:rPr>
        <w:t xml:space="preserve">Ordenar </w:t>
      </w:r>
      <w:r w:rsidR="005123A3" w:rsidRPr="005123A3">
        <w:rPr>
          <w:rFonts w:ascii="Palatino Linotype" w:hAnsi="Palatino Linotype"/>
          <w:bCs/>
          <w:sz w:val="23"/>
          <w:szCs w:val="23"/>
        </w:rPr>
        <w:t>la entrega de la información solicitada</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2247ADA3" w14:textId="4FB6F42B" w:rsidR="005123A3" w:rsidRPr="005123A3" w:rsidRDefault="0019061A" w:rsidP="005123A3">
      <w:pPr>
        <w:pStyle w:val="Citas"/>
        <w:spacing w:line="240" w:lineRule="auto"/>
        <w:ind w:left="567" w:right="423"/>
        <w:rPr>
          <w:lang w:val="es-ES"/>
        </w:rPr>
      </w:pPr>
      <w:r w:rsidRPr="00591F8D">
        <w:t>“</w:t>
      </w:r>
      <w:r w:rsidR="005123A3" w:rsidRPr="005123A3">
        <w:rPr>
          <w:b/>
          <w:lang w:val="es-ES"/>
        </w:rPr>
        <w:t xml:space="preserve">Segundo. </w:t>
      </w:r>
      <w:r w:rsidR="005123A3" w:rsidRPr="005123A3">
        <w:rPr>
          <w:lang w:val="es-ES"/>
        </w:rPr>
        <w:t xml:space="preserve">Se </w:t>
      </w:r>
      <w:r w:rsidR="005123A3" w:rsidRPr="005123A3">
        <w:rPr>
          <w:b/>
          <w:lang w:val="es-ES"/>
        </w:rPr>
        <w:t>ordena</w:t>
      </w:r>
      <w:r w:rsidR="005123A3" w:rsidRPr="005123A3">
        <w:rPr>
          <w:lang w:val="es-ES"/>
        </w:rPr>
        <w:t xml:space="preserve"> al </w:t>
      </w:r>
      <w:r w:rsidR="005123A3" w:rsidRPr="005123A3">
        <w:rPr>
          <w:b/>
          <w:lang w:val="es-ES"/>
        </w:rPr>
        <w:t>Sujeto Obligado</w:t>
      </w:r>
      <w:r w:rsidR="005123A3" w:rsidRPr="005123A3">
        <w:rPr>
          <w:lang w:val="es-ES"/>
        </w:rPr>
        <w:t xml:space="preserve"> que en términos del </w:t>
      </w:r>
      <w:r w:rsidR="005123A3" w:rsidRPr="005123A3">
        <w:rPr>
          <w:b/>
          <w:lang w:val="es-ES"/>
        </w:rPr>
        <w:t>Considerando Cuarto y Quinto</w:t>
      </w:r>
      <w:r w:rsidR="005123A3" w:rsidRPr="005123A3">
        <w:rPr>
          <w:lang w:val="es-ES"/>
        </w:rPr>
        <w:t xml:space="preserve"> y haga entrega, previa búsqueda exhaustiva y razonable, vía Sistema de Acceso a la Información Mexiquense, en versión pública de ser procedente, de lo siguiente: </w:t>
      </w:r>
    </w:p>
    <w:p w14:paraId="670CB74D" w14:textId="7869BBC7" w:rsidR="005123A3" w:rsidRPr="005123A3" w:rsidRDefault="005123A3" w:rsidP="005123A3">
      <w:pPr>
        <w:pStyle w:val="Citas"/>
        <w:numPr>
          <w:ilvl w:val="0"/>
          <w:numId w:val="34"/>
        </w:numPr>
        <w:spacing w:line="240" w:lineRule="auto"/>
        <w:ind w:left="993" w:right="423"/>
        <w:rPr>
          <w:b/>
          <w:lang w:val="es-ES"/>
        </w:rPr>
      </w:pPr>
      <w:r w:rsidRPr="005123A3">
        <w:rPr>
          <w:b/>
          <w:lang w:val="es-ES"/>
        </w:rPr>
        <w:t xml:space="preserve">De primero de enero de dos mil diecinueve al veinte de mayo de dos mil veinticuatro, el o los documentos en donde conste: </w:t>
      </w:r>
    </w:p>
    <w:p w14:paraId="6DE0EE78" w14:textId="77777777" w:rsidR="005123A3" w:rsidRPr="005123A3" w:rsidRDefault="005123A3" w:rsidP="005123A3">
      <w:pPr>
        <w:pStyle w:val="Citas"/>
        <w:numPr>
          <w:ilvl w:val="0"/>
          <w:numId w:val="33"/>
        </w:numPr>
        <w:spacing w:line="240" w:lineRule="auto"/>
        <w:ind w:right="423"/>
        <w:rPr>
          <w:lang w:val="es-ES"/>
        </w:rPr>
      </w:pPr>
      <w:r w:rsidRPr="005123A3">
        <w:rPr>
          <w:lang w:val="es-ES"/>
        </w:rPr>
        <w:t xml:space="preserve">El nombre, cargo y escolaridad del personal que se encuentra dado de alta en la Tesorería Municipal. </w:t>
      </w:r>
    </w:p>
    <w:p w14:paraId="69296834" w14:textId="77777777" w:rsidR="005123A3" w:rsidRPr="005123A3" w:rsidRDefault="005123A3" w:rsidP="005123A3">
      <w:pPr>
        <w:pStyle w:val="Citas"/>
        <w:numPr>
          <w:ilvl w:val="0"/>
          <w:numId w:val="33"/>
        </w:numPr>
        <w:spacing w:line="240" w:lineRule="auto"/>
        <w:ind w:right="423"/>
        <w:rPr>
          <w:lang w:val="es-ES"/>
        </w:rPr>
      </w:pPr>
      <w:r w:rsidRPr="005123A3">
        <w:rPr>
          <w:lang w:val="es-ES"/>
        </w:rPr>
        <w:t xml:space="preserve">El nombre, nivel de estudios y título de los servidores públicos que han ocupado el cargo de tesorero municipal. </w:t>
      </w:r>
    </w:p>
    <w:p w14:paraId="748F8168" w14:textId="77777777" w:rsidR="005123A3" w:rsidRPr="005123A3" w:rsidRDefault="005123A3" w:rsidP="005123A3">
      <w:pPr>
        <w:pStyle w:val="Citas"/>
        <w:numPr>
          <w:ilvl w:val="0"/>
          <w:numId w:val="33"/>
        </w:numPr>
        <w:spacing w:line="240" w:lineRule="auto"/>
        <w:ind w:right="423"/>
        <w:rPr>
          <w:lang w:val="es-ES"/>
        </w:rPr>
      </w:pPr>
      <w:bookmarkStart w:id="0" w:name="_Hlk176542639"/>
      <w:r w:rsidRPr="005123A3">
        <w:rPr>
          <w:lang w:val="es-ES"/>
        </w:rPr>
        <w:t>Nombre completo y comprobante de estudios de los titulares, jefes de departamento, directores, subdirectores y coordinadores de la tesorería municipal, contando los que se han dado de baja.</w:t>
      </w:r>
    </w:p>
    <w:bookmarkEnd w:id="0"/>
    <w:p w14:paraId="40646FE9" w14:textId="77777777" w:rsidR="005123A3" w:rsidRPr="005123A3" w:rsidRDefault="005123A3" w:rsidP="005123A3">
      <w:pPr>
        <w:pStyle w:val="Citas"/>
        <w:numPr>
          <w:ilvl w:val="0"/>
          <w:numId w:val="33"/>
        </w:numPr>
        <w:spacing w:line="240" w:lineRule="auto"/>
        <w:ind w:right="423"/>
        <w:rPr>
          <w:lang w:val="es-ES"/>
        </w:rPr>
      </w:pPr>
      <w:r w:rsidRPr="005123A3">
        <w:rPr>
          <w:lang w:val="es-ES"/>
        </w:rPr>
        <w:t xml:space="preserve">Causa de terminación de la relación laboral por el cual han sido dados de baja. </w:t>
      </w:r>
    </w:p>
    <w:p w14:paraId="682624AB" w14:textId="77777777" w:rsidR="005123A3" w:rsidRPr="005123A3" w:rsidRDefault="005123A3" w:rsidP="005123A3">
      <w:pPr>
        <w:pStyle w:val="Citas"/>
        <w:numPr>
          <w:ilvl w:val="0"/>
          <w:numId w:val="33"/>
        </w:numPr>
        <w:spacing w:line="240" w:lineRule="auto"/>
        <w:ind w:right="423"/>
        <w:rPr>
          <w:lang w:val="es-ES"/>
        </w:rPr>
      </w:pPr>
      <w:r w:rsidRPr="005123A3">
        <w:rPr>
          <w:lang w:val="es-ES"/>
        </w:rPr>
        <w:t xml:space="preserve">El documento en donde se advierta la existencia de procesos legales instaurados en contra de servidores públicos dados de baja en la Tesorería Municipal. </w:t>
      </w:r>
    </w:p>
    <w:p w14:paraId="1A59AAF6" w14:textId="77777777" w:rsidR="005123A3" w:rsidRPr="005123A3" w:rsidRDefault="005123A3" w:rsidP="005123A3">
      <w:pPr>
        <w:pStyle w:val="Citas"/>
        <w:numPr>
          <w:ilvl w:val="0"/>
          <w:numId w:val="33"/>
        </w:numPr>
        <w:spacing w:line="240" w:lineRule="auto"/>
        <w:ind w:right="423"/>
        <w:rPr>
          <w:lang w:val="es-ES"/>
        </w:rPr>
      </w:pPr>
      <w:r w:rsidRPr="005123A3">
        <w:rPr>
          <w:lang w:val="es-ES"/>
        </w:rPr>
        <w:t xml:space="preserve">Nombre de los servidores públicos contratados en la Tesorería Municipal por honorarios </w:t>
      </w:r>
    </w:p>
    <w:p w14:paraId="10EFB4B6" w14:textId="0F4EAEB7" w:rsidR="005123A3" w:rsidRPr="005123A3" w:rsidRDefault="005123A3" w:rsidP="005123A3">
      <w:pPr>
        <w:pStyle w:val="Citas"/>
        <w:numPr>
          <w:ilvl w:val="0"/>
          <w:numId w:val="33"/>
        </w:numPr>
        <w:spacing w:line="240" w:lineRule="auto"/>
        <w:ind w:right="423"/>
        <w:rPr>
          <w:lang w:val="es-ES"/>
        </w:rPr>
      </w:pPr>
      <w:r w:rsidRPr="005123A3">
        <w:rPr>
          <w:lang w:val="es-ES"/>
        </w:rPr>
        <w:lastRenderedPageBreak/>
        <w:t>Remuneraciones bruta y neta de los titulares, jefes y directores de departamento de la Tesorería Municipal.</w:t>
      </w:r>
    </w:p>
    <w:p w14:paraId="7A74C255" w14:textId="53334DA1" w:rsidR="005123A3" w:rsidRPr="005123A3" w:rsidRDefault="005123A3" w:rsidP="005123A3">
      <w:pPr>
        <w:pStyle w:val="Citas"/>
        <w:spacing w:line="240" w:lineRule="auto"/>
        <w:ind w:left="567" w:right="423"/>
        <w:rPr>
          <w:lang w:val="es-ES"/>
        </w:rPr>
      </w:pPr>
      <w:r w:rsidRPr="005123A3">
        <w:rPr>
          <w:lang w:val="es-ES"/>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5123A3">
        <w:rPr>
          <w:b/>
          <w:lang w:val="es-ES"/>
        </w:rPr>
        <w:t>Recurrente</w:t>
      </w:r>
      <w:r w:rsidRPr="005123A3">
        <w:rPr>
          <w:lang w:val="es-ES"/>
        </w:rPr>
        <w:t>, mismo que igualmente hará de su conocimiento.</w:t>
      </w:r>
    </w:p>
    <w:p w14:paraId="5B16411E" w14:textId="3DC53FF4" w:rsidR="005123A3" w:rsidRPr="005123A3" w:rsidRDefault="005123A3" w:rsidP="005123A3">
      <w:pPr>
        <w:pStyle w:val="Citas"/>
        <w:spacing w:line="240" w:lineRule="auto"/>
        <w:ind w:left="567" w:right="423"/>
        <w:rPr>
          <w:lang w:val="es-ES"/>
        </w:rPr>
      </w:pPr>
      <w:r w:rsidRPr="005123A3">
        <w:rPr>
          <w:lang w:val="es-ES"/>
        </w:rPr>
        <w:t xml:space="preserve">Para el caso de que el </w:t>
      </w:r>
      <w:r w:rsidRPr="005123A3">
        <w:rPr>
          <w:b/>
          <w:lang w:val="es-ES"/>
        </w:rPr>
        <w:t>Sujeto Obligado</w:t>
      </w:r>
      <w:r w:rsidRPr="005123A3">
        <w:rPr>
          <w:lang w:val="es-ES"/>
        </w:rPr>
        <w:t xml:space="preserve"> no cuente con la información que se ordena en el numeral 2, referente al Título de los servidores públicos que han ocupado el cargo de Tesorero Municipal, deberá proporcionar el Acuerdo del Comité de Transparencia donde confirme la inexistencia de la información, esto de acuerdo con lo establecido en el artículo 19, párrafo tercero, 169 y 170 de la Ley de Transparencia y Acceso a la Información Pública del Estado de México y Municipios.</w:t>
      </w:r>
    </w:p>
    <w:p w14:paraId="54DD5B3B" w14:textId="504D3A5F" w:rsidR="0019061A" w:rsidRPr="005123A3" w:rsidRDefault="005123A3" w:rsidP="005123A3">
      <w:pPr>
        <w:pStyle w:val="Citas"/>
        <w:spacing w:line="240" w:lineRule="auto"/>
        <w:ind w:left="567" w:right="423"/>
        <w:rPr>
          <w:lang w:val="es-ES"/>
        </w:rPr>
      </w:pPr>
      <w:bookmarkStart w:id="1" w:name="_heading=h.1fob9te" w:colFirst="0" w:colLast="0"/>
      <w:bookmarkEnd w:id="1"/>
      <w:r w:rsidRPr="005123A3">
        <w:rPr>
          <w:lang w:val="es-ES"/>
        </w:rPr>
        <w:t xml:space="preserve">Para el caso de que la información ordenada en los numerales 1, 3, 5 y 6, no obre en los archivos del </w:t>
      </w:r>
      <w:r w:rsidRPr="005123A3">
        <w:rPr>
          <w:b/>
          <w:lang w:val="es-ES"/>
        </w:rPr>
        <w:t>Sujeto Obligado</w:t>
      </w:r>
      <w:r w:rsidRPr="005123A3">
        <w:rPr>
          <w:lang w:val="es-ES"/>
        </w:rPr>
        <w:t xml:space="preserve">, por no haberse generado, poseído y/o administrado, el grado y comprobante de estudios; procedimientos legales en contra de servidores públicos que han sido dados de baja, así como, personal contratado por honorarios, bastará con que así se haga del conocimiento de la parte </w:t>
      </w:r>
      <w:r w:rsidRPr="005123A3">
        <w:rPr>
          <w:b/>
          <w:lang w:val="es-ES"/>
        </w:rPr>
        <w:t>Recurrente</w:t>
      </w:r>
      <w:r w:rsidRPr="005123A3">
        <w:rPr>
          <w:lang w:val="es-ES"/>
        </w:rPr>
        <w:t>, en términos del artículo 19, párrafo segundo de la Ley de Transparencia y Acceso a la Información Pública del Estado de México y Municipios.</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148C8DCD" w14:textId="77777777" w:rsidR="00F148AD" w:rsidRDefault="00F148AD" w:rsidP="00F148AD">
      <w:pPr>
        <w:pStyle w:val="Sinespaciado"/>
      </w:pPr>
    </w:p>
    <w:p w14:paraId="756D8867" w14:textId="053024FA" w:rsidR="001464C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al </w:t>
      </w:r>
      <w:r w:rsidR="005123A3">
        <w:rPr>
          <w:rFonts w:ascii="Palatino Linotype" w:hAnsi="Palatino Linotype"/>
          <w:sz w:val="23"/>
          <w:szCs w:val="23"/>
        </w:rPr>
        <w:t xml:space="preserve">numeral tres, correspondiente al </w:t>
      </w:r>
      <w:r w:rsidR="005123A3" w:rsidRPr="005123A3">
        <w:rPr>
          <w:rFonts w:ascii="Palatino Linotype" w:hAnsi="Palatino Linotype"/>
          <w:sz w:val="23"/>
          <w:szCs w:val="23"/>
        </w:rPr>
        <w:t>comprobante de estudios de los titulares, jefes de departamento, directores, subdirectores y coordinadores de la tesorería municipal, contando los que se han dado de baja</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B06CD33" w14:textId="77777777" w:rsidR="00C75FC8" w:rsidRPr="008546EB" w:rsidRDefault="00C75FC8" w:rsidP="0019061A">
      <w:pPr>
        <w:spacing w:after="0" w:line="360" w:lineRule="auto"/>
        <w:jc w:val="both"/>
        <w:rPr>
          <w:rFonts w:ascii="Palatino Linotype" w:hAnsi="Palatino Linotype"/>
          <w:sz w:val="23"/>
          <w:szCs w:val="23"/>
        </w:rPr>
      </w:pPr>
    </w:p>
    <w:p w14:paraId="4973F928" w14:textId="66A9CCE3" w:rsidR="00ED0FE3"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lastRenderedPageBreak/>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66BFE8DC" w14:textId="77777777" w:rsidR="005123A3" w:rsidRPr="00F148AD" w:rsidRDefault="005123A3" w:rsidP="0019061A">
      <w:pPr>
        <w:spacing w:after="0" w:line="360" w:lineRule="auto"/>
        <w:jc w:val="both"/>
        <w:rPr>
          <w:rFonts w:ascii="Palatino Linotype" w:hAnsi="Palatino Linotype"/>
          <w:sz w:val="23"/>
          <w:szCs w:val="23"/>
        </w:rPr>
      </w:pPr>
    </w:p>
    <w:p w14:paraId="4FEDCF54" w14:textId="6B552406" w:rsidR="008546EB" w:rsidRDefault="00ED0FE3" w:rsidP="005123A3">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7AD66912" w14:textId="77777777" w:rsidR="005123A3" w:rsidRPr="005123A3" w:rsidRDefault="005123A3" w:rsidP="005123A3">
      <w:pPr>
        <w:spacing w:after="0" w:line="360" w:lineRule="auto"/>
        <w:jc w:val="both"/>
        <w:rPr>
          <w:rFonts w:ascii="Palatino Linotype" w:hAnsi="Palatino Linotype"/>
          <w:sz w:val="23"/>
          <w:szCs w:val="23"/>
        </w:rPr>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lastRenderedPageBreak/>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5E87DE6B" w14:textId="6A8E9EF5" w:rsidR="00B17D41" w:rsidRDefault="00B17D41" w:rsidP="0019061A">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1B2610B6" w14:textId="77777777" w:rsidR="00F148AD" w:rsidRDefault="00F148AD"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27FBFF59" w14:textId="77777777" w:rsidR="00DF0127" w:rsidRDefault="00DF0127"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w:t>
      </w:r>
      <w:r w:rsidRPr="00DF0127">
        <w:rPr>
          <w:rFonts w:ascii="Palatino Linotype" w:eastAsia="MS Mincho" w:hAnsi="Palatino Linotype"/>
        </w:rPr>
        <w:lastRenderedPageBreak/>
        <w:t>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11542510"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4C02ACE6"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Por 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w:t>
      </w:r>
      <w:r w:rsidR="005123A3">
        <w:rPr>
          <w:rFonts w:ascii="Palatino Linotype" w:hAnsi="Palatino Linotype"/>
          <w:sz w:val="23"/>
          <w:szCs w:val="23"/>
        </w:rPr>
        <w:t xml:space="preserve"> </w:t>
      </w:r>
      <w:r w:rsidR="005123A3" w:rsidRPr="005123A3">
        <w:rPr>
          <w:rFonts w:ascii="Palatino Linotype" w:hAnsi="Palatino Linotype"/>
          <w:sz w:val="23"/>
          <w:szCs w:val="23"/>
        </w:rPr>
        <w:t xml:space="preserve">de los titulares, jefes de departamento, directores, subdirectores y </w:t>
      </w:r>
      <w:r w:rsidR="005123A3" w:rsidRPr="005123A3">
        <w:rPr>
          <w:rFonts w:ascii="Palatino Linotype" w:hAnsi="Palatino Linotype"/>
          <w:sz w:val="23"/>
          <w:szCs w:val="23"/>
        </w:rPr>
        <w:lastRenderedPageBreak/>
        <w:t>coordinadores de la tesorería municipal</w:t>
      </w:r>
      <w:r w:rsidRPr="008546EB">
        <w:rPr>
          <w:rFonts w:ascii="Palatino Linotype" w:hAnsi="Palatino Linotype"/>
          <w:sz w:val="23"/>
          <w:szCs w:val="23"/>
        </w:rPr>
        <w:t xml:space="preserve">, 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37886B33" w14:textId="1DAFE034" w:rsidR="00963470" w:rsidRPr="00684268" w:rsidRDefault="00211741" w:rsidP="00684268">
      <w:pPr>
        <w:spacing w:after="0" w:line="360" w:lineRule="auto"/>
        <w:jc w:val="both"/>
        <w:rPr>
          <w:rFonts w:ascii="Palatino Linotype" w:hAnsi="Palatino Linotype"/>
          <w:bCs/>
          <w:i/>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963470" w:rsidRPr="008546EB">
        <w:rPr>
          <w:rFonts w:ascii="Palatino Linotype" w:hAnsi="Palatino Linotype"/>
          <w:b/>
          <w:bCs/>
          <w:sz w:val="23"/>
          <w:szCs w:val="23"/>
        </w:rPr>
        <w:t xml:space="preserve">El Sujeto Obligado, </w:t>
      </w:r>
      <w:r w:rsidR="00963470" w:rsidRPr="008546EB">
        <w:rPr>
          <w:rFonts w:ascii="Palatino Linotype" w:hAnsi="Palatino Linotype"/>
          <w:sz w:val="23"/>
          <w:szCs w:val="23"/>
        </w:rPr>
        <w:t xml:space="preserve">en etapa de cumplimiento pueda manifestar únicamente que no cuenta con la información referida en el </w:t>
      </w:r>
      <w:r w:rsidR="005123A3">
        <w:rPr>
          <w:rFonts w:ascii="Palatino Linotype" w:hAnsi="Palatino Linotype"/>
          <w:sz w:val="23"/>
          <w:szCs w:val="23"/>
        </w:rPr>
        <w:t>numeral</w:t>
      </w:r>
      <w:r w:rsidR="00F148AD">
        <w:rPr>
          <w:rFonts w:ascii="Palatino Linotype" w:hAnsi="Palatino Linotype"/>
          <w:sz w:val="23"/>
          <w:szCs w:val="23"/>
        </w:rPr>
        <w:t xml:space="preserve"> </w:t>
      </w:r>
      <w:r w:rsidR="005123A3">
        <w:rPr>
          <w:rFonts w:ascii="Palatino Linotype" w:hAnsi="Palatino Linotype"/>
          <w:sz w:val="23"/>
          <w:szCs w:val="23"/>
        </w:rPr>
        <w:t>3</w:t>
      </w:r>
      <w:r w:rsidR="00F148AD">
        <w:rPr>
          <w:rFonts w:ascii="Palatino Linotype" w:hAnsi="Palatino Linotype"/>
          <w:sz w:val="23"/>
          <w:szCs w:val="23"/>
        </w:rPr>
        <w:t>)</w:t>
      </w:r>
      <w:r w:rsidR="009C0BE4">
        <w:rPr>
          <w:rFonts w:ascii="Palatino Linotype" w:hAnsi="Palatino Linotype"/>
          <w:sz w:val="23"/>
          <w:szCs w:val="23"/>
        </w:rPr>
        <w:t>,</w:t>
      </w:r>
      <w:r w:rsidR="00F148AD">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A635EC">
        <w:rPr>
          <w:rFonts w:ascii="Palatino Linotype" w:hAnsi="Palatino Linotype"/>
          <w:bCs/>
          <w:sz w:val="23"/>
          <w:szCs w:val="23"/>
        </w:rPr>
        <w:t xml:space="preserve"> </w:t>
      </w:r>
      <w:r w:rsidR="00A635EC">
        <w:rPr>
          <w:rFonts w:ascii="Palatino Linotype" w:hAnsi="Palatino Linotype"/>
          <w:bCs/>
          <w:i/>
          <w:sz w:val="23"/>
          <w:szCs w:val="23"/>
        </w:rPr>
        <w:t>(</w:t>
      </w:r>
      <w:r w:rsidR="005123A3" w:rsidRPr="005123A3">
        <w:rPr>
          <w:rFonts w:ascii="Palatino Linotype" w:hAnsi="Palatino Linotype"/>
          <w:bCs/>
          <w:i/>
          <w:sz w:val="23"/>
          <w:szCs w:val="23"/>
        </w:rPr>
        <w:t xml:space="preserve">Nombre completo y comprobante de estudios </w:t>
      </w:r>
      <w:bookmarkStart w:id="2" w:name="_Hlk176542736"/>
      <w:r w:rsidR="005123A3" w:rsidRPr="005123A3">
        <w:rPr>
          <w:rFonts w:ascii="Palatino Linotype" w:hAnsi="Palatino Linotype"/>
          <w:bCs/>
          <w:i/>
          <w:sz w:val="23"/>
          <w:szCs w:val="23"/>
        </w:rPr>
        <w:t>de los titulares, jefes de departamento, directores, subdirectores y coordinadores de la tesorería municipal</w:t>
      </w:r>
      <w:bookmarkEnd w:id="2"/>
      <w:r w:rsidR="005123A3" w:rsidRPr="005123A3">
        <w:rPr>
          <w:rFonts w:ascii="Palatino Linotype" w:hAnsi="Palatino Linotype"/>
          <w:bCs/>
          <w:i/>
          <w:sz w:val="23"/>
          <w:szCs w:val="23"/>
        </w:rPr>
        <w:t>, contando los que se han dado de baja</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2980E1B" w14:textId="77777777" w:rsidR="00963470" w:rsidRPr="008546EB" w:rsidRDefault="00963470"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747B6" w14:textId="77777777" w:rsidR="0048392D" w:rsidRDefault="0048392D" w:rsidP="004C1443">
      <w:pPr>
        <w:spacing w:after="0" w:line="240" w:lineRule="auto"/>
      </w:pPr>
      <w:r>
        <w:separator/>
      </w:r>
    </w:p>
  </w:endnote>
  <w:endnote w:type="continuationSeparator" w:id="0">
    <w:p w14:paraId="78BE07F9" w14:textId="77777777" w:rsidR="0048392D" w:rsidRDefault="0048392D"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9C0BE4">
              <w:rPr>
                <w:b/>
                <w:bCs/>
                <w:noProof/>
              </w:rPr>
              <w:t>8</w:t>
            </w:r>
            <w:r>
              <w:rPr>
                <w:b/>
                <w:bCs/>
              </w:rPr>
              <w:fldChar w:fldCharType="end"/>
            </w:r>
            <w:r>
              <w:t xml:space="preserve"> de </w:t>
            </w:r>
            <w:r>
              <w:rPr>
                <w:b/>
                <w:bCs/>
              </w:rPr>
              <w:fldChar w:fldCharType="begin"/>
            </w:r>
            <w:r>
              <w:rPr>
                <w:b/>
                <w:bCs/>
              </w:rPr>
              <w:instrText>NUMPAGES</w:instrText>
            </w:r>
            <w:r>
              <w:rPr>
                <w:b/>
                <w:bCs/>
              </w:rPr>
              <w:fldChar w:fldCharType="separate"/>
            </w:r>
            <w:r w:rsidR="009C0BE4">
              <w:rPr>
                <w:b/>
                <w:bCs/>
                <w:noProof/>
              </w:rPr>
              <w:t>8</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EAFC9" w14:textId="77777777" w:rsidR="0048392D" w:rsidRDefault="0048392D" w:rsidP="004C1443">
      <w:pPr>
        <w:spacing w:after="0" w:line="240" w:lineRule="auto"/>
      </w:pPr>
      <w:r>
        <w:separator/>
      </w:r>
    </w:p>
  </w:footnote>
  <w:footnote w:type="continuationSeparator" w:id="0">
    <w:p w14:paraId="637650D0" w14:textId="77777777" w:rsidR="0048392D" w:rsidRDefault="0048392D"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22071479"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A41664">
      <w:rPr>
        <w:rFonts w:ascii="Palatino Linotype" w:hAnsi="Palatino Linotype" w:cs="Arial"/>
        <w:b/>
        <w:bCs/>
        <w:sz w:val="22"/>
        <w:szCs w:val="22"/>
        <w:lang w:eastAsia="es-MX"/>
      </w:rPr>
      <w:t>3704</w:t>
    </w:r>
    <w:r w:rsidR="001348A8" w:rsidRPr="001348A8">
      <w:rPr>
        <w:rFonts w:ascii="Palatino Linotype" w:hAnsi="Palatino Linotype" w:cs="Arial"/>
        <w:b/>
        <w:bCs/>
        <w:sz w:val="22"/>
        <w:szCs w:val="22"/>
        <w:lang w:eastAsia="es-MX"/>
      </w:rPr>
      <w:t>/INFOEM/IP/RR/202</w:t>
    </w:r>
    <w:r w:rsidR="004F0706">
      <w:rPr>
        <w:rFonts w:ascii="Palatino Linotype" w:hAnsi="Palatino Linotype" w:cs="Arial"/>
        <w:b/>
        <w:bCs/>
        <w:sz w:val="22"/>
        <w:szCs w:val="22"/>
        <w:lang w:eastAsia="es-MX"/>
      </w:rPr>
      <w:t>4</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0"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90A2052"/>
    <w:multiLevelType w:val="multilevel"/>
    <w:tmpl w:val="323A3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F4C082B"/>
    <w:multiLevelType w:val="multilevel"/>
    <w:tmpl w:val="F076817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113937203">
    <w:abstractNumId w:val="15"/>
  </w:num>
  <w:num w:numId="2" w16cid:durableId="86392670">
    <w:abstractNumId w:val="1"/>
  </w:num>
  <w:num w:numId="3" w16cid:durableId="1952010734">
    <w:abstractNumId w:val="26"/>
  </w:num>
  <w:num w:numId="4" w16cid:durableId="1633289924">
    <w:abstractNumId w:val="20"/>
  </w:num>
  <w:num w:numId="5" w16cid:durableId="684285009">
    <w:abstractNumId w:val="23"/>
  </w:num>
  <w:num w:numId="6" w16cid:durableId="1488403103">
    <w:abstractNumId w:val="28"/>
  </w:num>
  <w:num w:numId="7" w16cid:durableId="901722076">
    <w:abstractNumId w:val="9"/>
  </w:num>
  <w:num w:numId="8" w16cid:durableId="562644463">
    <w:abstractNumId w:val="3"/>
  </w:num>
  <w:num w:numId="9" w16cid:durableId="570891903">
    <w:abstractNumId w:val="11"/>
  </w:num>
  <w:num w:numId="10" w16cid:durableId="1545218183">
    <w:abstractNumId w:val="4"/>
  </w:num>
  <w:num w:numId="11" w16cid:durableId="872772349">
    <w:abstractNumId w:val="33"/>
  </w:num>
  <w:num w:numId="12" w16cid:durableId="948128651">
    <w:abstractNumId w:val="13"/>
  </w:num>
  <w:num w:numId="13" w16cid:durableId="1771975151">
    <w:abstractNumId w:val="6"/>
  </w:num>
  <w:num w:numId="14" w16cid:durableId="59715010">
    <w:abstractNumId w:val="32"/>
  </w:num>
  <w:num w:numId="15" w16cid:durableId="410125392">
    <w:abstractNumId w:val="18"/>
  </w:num>
  <w:num w:numId="16" w16cid:durableId="1461846116">
    <w:abstractNumId w:val="10"/>
  </w:num>
  <w:num w:numId="17" w16cid:durableId="852574683">
    <w:abstractNumId w:val="14"/>
  </w:num>
  <w:num w:numId="18" w16cid:durableId="895047676">
    <w:abstractNumId w:val="8"/>
  </w:num>
  <w:num w:numId="19" w16cid:durableId="1731608612">
    <w:abstractNumId w:val="30"/>
  </w:num>
  <w:num w:numId="20" w16cid:durableId="46926948">
    <w:abstractNumId w:val="16"/>
  </w:num>
  <w:num w:numId="21" w16cid:durableId="1150248160">
    <w:abstractNumId w:val="5"/>
  </w:num>
  <w:num w:numId="22" w16cid:durableId="15878848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847736">
    <w:abstractNumId w:val="0"/>
  </w:num>
  <w:num w:numId="24" w16cid:durableId="337082822">
    <w:abstractNumId w:val="31"/>
  </w:num>
  <w:num w:numId="25" w16cid:durableId="334387219">
    <w:abstractNumId w:val="25"/>
  </w:num>
  <w:num w:numId="26" w16cid:durableId="2041395772">
    <w:abstractNumId w:val="21"/>
  </w:num>
  <w:num w:numId="27" w16cid:durableId="563638747">
    <w:abstractNumId w:val="22"/>
  </w:num>
  <w:num w:numId="28" w16cid:durableId="1190920648">
    <w:abstractNumId w:val="27"/>
  </w:num>
  <w:num w:numId="29" w16cid:durableId="1456368404">
    <w:abstractNumId w:val="17"/>
  </w:num>
  <w:num w:numId="30" w16cid:durableId="1680959915">
    <w:abstractNumId w:val="2"/>
  </w:num>
  <w:num w:numId="31" w16cid:durableId="1205751242">
    <w:abstractNumId w:val="7"/>
  </w:num>
  <w:num w:numId="32" w16cid:durableId="540632571">
    <w:abstractNumId w:val="12"/>
  </w:num>
  <w:num w:numId="33" w16cid:durableId="233587932">
    <w:abstractNumId w:val="29"/>
  </w:num>
  <w:num w:numId="34" w16cid:durableId="10451321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43B20"/>
    <w:rsid w:val="0009787F"/>
    <w:rsid w:val="000C3815"/>
    <w:rsid w:val="000D21E7"/>
    <w:rsid w:val="000D26DF"/>
    <w:rsid w:val="000E1ABA"/>
    <w:rsid w:val="000E517C"/>
    <w:rsid w:val="000F14DA"/>
    <w:rsid w:val="000F1B77"/>
    <w:rsid w:val="000F49C4"/>
    <w:rsid w:val="00104F5C"/>
    <w:rsid w:val="00105765"/>
    <w:rsid w:val="001348A8"/>
    <w:rsid w:val="00137BCF"/>
    <w:rsid w:val="00145FED"/>
    <w:rsid w:val="001464CB"/>
    <w:rsid w:val="00153EE2"/>
    <w:rsid w:val="001822DD"/>
    <w:rsid w:val="00186357"/>
    <w:rsid w:val="0019061A"/>
    <w:rsid w:val="0019696B"/>
    <w:rsid w:val="001A72AA"/>
    <w:rsid w:val="001B3D19"/>
    <w:rsid w:val="00211741"/>
    <w:rsid w:val="002351CE"/>
    <w:rsid w:val="002374B9"/>
    <w:rsid w:val="00240D8D"/>
    <w:rsid w:val="00252976"/>
    <w:rsid w:val="00256512"/>
    <w:rsid w:val="00264201"/>
    <w:rsid w:val="002660DA"/>
    <w:rsid w:val="002A39CA"/>
    <w:rsid w:val="002C14F9"/>
    <w:rsid w:val="00302C71"/>
    <w:rsid w:val="00307916"/>
    <w:rsid w:val="0031079C"/>
    <w:rsid w:val="003262E7"/>
    <w:rsid w:val="0032728C"/>
    <w:rsid w:val="00330955"/>
    <w:rsid w:val="00335851"/>
    <w:rsid w:val="00336332"/>
    <w:rsid w:val="00341093"/>
    <w:rsid w:val="003847F7"/>
    <w:rsid w:val="00384C8B"/>
    <w:rsid w:val="0039658D"/>
    <w:rsid w:val="00396F4A"/>
    <w:rsid w:val="003D76A7"/>
    <w:rsid w:val="003F52D7"/>
    <w:rsid w:val="00403FFD"/>
    <w:rsid w:val="004269DC"/>
    <w:rsid w:val="004307BD"/>
    <w:rsid w:val="00437D21"/>
    <w:rsid w:val="004402F7"/>
    <w:rsid w:val="004446DD"/>
    <w:rsid w:val="00456F17"/>
    <w:rsid w:val="00463A29"/>
    <w:rsid w:val="0048392D"/>
    <w:rsid w:val="00491A04"/>
    <w:rsid w:val="00494F48"/>
    <w:rsid w:val="004B585F"/>
    <w:rsid w:val="004C1443"/>
    <w:rsid w:val="004C5122"/>
    <w:rsid w:val="004D3A6E"/>
    <w:rsid w:val="004D5C09"/>
    <w:rsid w:val="004F0706"/>
    <w:rsid w:val="004F50E3"/>
    <w:rsid w:val="004F5AE8"/>
    <w:rsid w:val="005123A3"/>
    <w:rsid w:val="005251CB"/>
    <w:rsid w:val="00526C8E"/>
    <w:rsid w:val="00530131"/>
    <w:rsid w:val="00546280"/>
    <w:rsid w:val="005534B4"/>
    <w:rsid w:val="005733EB"/>
    <w:rsid w:val="0058084B"/>
    <w:rsid w:val="00591F8D"/>
    <w:rsid w:val="00592E63"/>
    <w:rsid w:val="005D0EB7"/>
    <w:rsid w:val="005E2445"/>
    <w:rsid w:val="005E313C"/>
    <w:rsid w:val="005E760F"/>
    <w:rsid w:val="006023F6"/>
    <w:rsid w:val="006069F7"/>
    <w:rsid w:val="00613A04"/>
    <w:rsid w:val="006275C6"/>
    <w:rsid w:val="006342FD"/>
    <w:rsid w:val="00667D1F"/>
    <w:rsid w:val="00684268"/>
    <w:rsid w:val="00693262"/>
    <w:rsid w:val="006A51FD"/>
    <w:rsid w:val="006D3740"/>
    <w:rsid w:val="006D627E"/>
    <w:rsid w:val="006E0C0A"/>
    <w:rsid w:val="006E25F1"/>
    <w:rsid w:val="006E4C00"/>
    <w:rsid w:val="006F544E"/>
    <w:rsid w:val="006F7F79"/>
    <w:rsid w:val="00707558"/>
    <w:rsid w:val="0071133A"/>
    <w:rsid w:val="0071304D"/>
    <w:rsid w:val="007518F5"/>
    <w:rsid w:val="007552BF"/>
    <w:rsid w:val="0077712D"/>
    <w:rsid w:val="00787CFE"/>
    <w:rsid w:val="007B5209"/>
    <w:rsid w:val="007B733E"/>
    <w:rsid w:val="007C0DCC"/>
    <w:rsid w:val="007C4507"/>
    <w:rsid w:val="008037AF"/>
    <w:rsid w:val="008178C6"/>
    <w:rsid w:val="00846F0C"/>
    <w:rsid w:val="00847B09"/>
    <w:rsid w:val="00852785"/>
    <w:rsid w:val="008546EB"/>
    <w:rsid w:val="00860B45"/>
    <w:rsid w:val="00866E23"/>
    <w:rsid w:val="00875FA7"/>
    <w:rsid w:val="008768A7"/>
    <w:rsid w:val="0088608D"/>
    <w:rsid w:val="008A3C33"/>
    <w:rsid w:val="008D6140"/>
    <w:rsid w:val="008E47B8"/>
    <w:rsid w:val="008F6B22"/>
    <w:rsid w:val="00900682"/>
    <w:rsid w:val="00904938"/>
    <w:rsid w:val="00911F00"/>
    <w:rsid w:val="00915E74"/>
    <w:rsid w:val="0091785D"/>
    <w:rsid w:val="00924459"/>
    <w:rsid w:val="00950CD7"/>
    <w:rsid w:val="00963470"/>
    <w:rsid w:val="00967270"/>
    <w:rsid w:val="0099768F"/>
    <w:rsid w:val="009A72D3"/>
    <w:rsid w:val="009B0A29"/>
    <w:rsid w:val="009B46D0"/>
    <w:rsid w:val="009C0BE4"/>
    <w:rsid w:val="009C651B"/>
    <w:rsid w:val="009E2133"/>
    <w:rsid w:val="009E6EF2"/>
    <w:rsid w:val="00A10C19"/>
    <w:rsid w:val="00A16488"/>
    <w:rsid w:val="00A41664"/>
    <w:rsid w:val="00A41FAD"/>
    <w:rsid w:val="00A430F5"/>
    <w:rsid w:val="00A635EC"/>
    <w:rsid w:val="00A773A2"/>
    <w:rsid w:val="00A85CFE"/>
    <w:rsid w:val="00A9353F"/>
    <w:rsid w:val="00AC1F7C"/>
    <w:rsid w:val="00AF71C1"/>
    <w:rsid w:val="00B17D41"/>
    <w:rsid w:val="00B40E2E"/>
    <w:rsid w:val="00B41E23"/>
    <w:rsid w:val="00B6198B"/>
    <w:rsid w:val="00B71EFC"/>
    <w:rsid w:val="00B77C19"/>
    <w:rsid w:val="00B835E7"/>
    <w:rsid w:val="00B91483"/>
    <w:rsid w:val="00C32F97"/>
    <w:rsid w:val="00C42420"/>
    <w:rsid w:val="00C61583"/>
    <w:rsid w:val="00C65E0C"/>
    <w:rsid w:val="00C73D52"/>
    <w:rsid w:val="00C75FC8"/>
    <w:rsid w:val="00C828B9"/>
    <w:rsid w:val="00C96E88"/>
    <w:rsid w:val="00CD09AB"/>
    <w:rsid w:val="00CE0B39"/>
    <w:rsid w:val="00CE6B6A"/>
    <w:rsid w:val="00CF11A8"/>
    <w:rsid w:val="00D014A2"/>
    <w:rsid w:val="00D040F5"/>
    <w:rsid w:val="00D23555"/>
    <w:rsid w:val="00D26D4E"/>
    <w:rsid w:val="00D4116A"/>
    <w:rsid w:val="00D57282"/>
    <w:rsid w:val="00D675E4"/>
    <w:rsid w:val="00D875B1"/>
    <w:rsid w:val="00D953EF"/>
    <w:rsid w:val="00DB0A5B"/>
    <w:rsid w:val="00DB6F26"/>
    <w:rsid w:val="00DC57C3"/>
    <w:rsid w:val="00DC5F78"/>
    <w:rsid w:val="00DD13E2"/>
    <w:rsid w:val="00DF0127"/>
    <w:rsid w:val="00E047E0"/>
    <w:rsid w:val="00E34CA6"/>
    <w:rsid w:val="00E52718"/>
    <w:rsid w:val="00E554DC"/>
    <w:rsid w:val="00E6367E"/>
    <w:rsid w:val="00E915D1"/>
    <w:rsid w:val="00E92686"/>
    <w:rsid w:val="00EA61C1"/>
    <w:rsid w:val="00EC70B3"/>
    <w:rsid w:val="00ED0FE3"/>
    <w:rsid w:val="00EE051D"/>
    <w:rsid w:val="00EE08E3"/>
    <w:rsid w:val="00F07361"/>
    <w:rsid w:val="00F133A3"/>
    <w:rsid w:val="00F148AD"/>
    <w:rsid w:val="00F20432"/>
    <w:rsid w:val="00F2106C"/>
    <w:rsid w:val="00F57C84"/>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2D9CE-5AD7-4B7E-991A-0DDE6A7F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1862</Words>
  <Characters>10245</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4</cp:revision>
  <cp:lastPrinted>2024-09-09T18:01:00Z</cp:lastPrinted>
  <dcterms:created xsi:type="dcterms:W3CDTF">2024-09-07T01:11:00Z</dcterms:created>
  <dcterms:modified xsi:type="dcterms:W3CDTF">2024-09-09T19:25:00Z</dcterms:modified>
</cp:coreProperties>
</file>