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912" w:rsidRDefault="00EE2912">
      <w:pPr>
        <w:spacing w:after="0" w:line="360" w:lineRule="auto"/>
        <w:jc w:val="both"/>
        <w:rPr>
          <w:rFonts w:ascii="Palatino Linotype" w:eastAsia="Palatino Linotype" w:hAnsi="Palatino Linotype" w:cs="Palatino Linotype"/>
          <w:b/>
        </w:rPr>
      </w:pPr>
      <w:bookmarkStart w:id="0" w:name="_heading=h.4s2qapfj6qj3" w:colFirst="0" w:colLast="0"/>
      <w:bookmarkStart w:id="1" w:name="_GoBack"/>
      <w:bookmarkEnd w:id="0"/>
      <w:bookmarkEnd w:id="1"/>
    </w:p>
    <w:p w:rsidR="00EE2912" w:rsidRDefault="00DA5663">
      <w:pPr>
        <w:spacing w:after="0" w:line="360" w:lineRule="auto"/>
        <w:jc w:val="both"/>
        <w:rPr>
          <w:rFonts w:ascii="Palatino Linotype" w:eastAsia="Palatino Linotype" w:hAnsi="Palatino Linotype" w:cs="Palatino Linotype"/>
          <w:b/>
        </w:rPr>
      </w:pPr>
      <w:bookmarkStart w:id="2" w:name="_heading=h.gjdgxs" w:colFirst="0" w:colLast="0"/>
      <w:bookmarkEnd w:id="2"/>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DÉCIMA PRIMERA SESIÓN ORDINARIA DEL TRES DE ABRIL DE DOS MIL VEINTICUATRO, EN EL RECURSO DE REVISIÓN 00520/INFOEM/IP/RR/2024.</w:t>
      </w:r>
    </w:p>
    <w:p w:rsidR="00EE2912" w:rsidRDefault="00EE2912">
      <w:pPr>
        <w:spacing w:after="0" w:line="360" w:lineRule="auto"/>
        <w:jc w:val="both"/>
        <w:rPr>
          <w:rFonts w:ascii="Palatino Linotype" w:eastAsia="Palatino Linotype" w:hAnsi="Palatino Linotype" w:cs="Palatino Linotype"/>
          <w:b/>
        </w:rPr>
      </w:pPr>
    </w:p>
    <w:p w:rsidR="00EE2912" w:rsidRDefault="00DA5663">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00520/INFOEM/IP/RR/2024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pronunciada por el Pleno de este Instituto ante el proyecto presentado por el </w:t>
      </w:r>
      <w:r>
        <w:rPr>
          <w:rFonts w:ascii="Palatino Linotype" w:eastAsia="Palatino Linotype" w:hAnsi="Palatino Linotype" w:cs="Palatino Linotype"/>
          <w:b/>
        </w:rPr>
        <w:t>Comisionado Presidente José Martínez Vilchis</w:t>
      </w:r>
      <w:r>
        <w:rPr>
          <w:rFonts w:ascii="Palatino Linotype" w:eastAsia="Palatino Linotype" w:hAnsi="Palatino Linotype" w:cs="Palatino Linotype"/>
        </w:rPr>
        <w:t>, el cual es al tenor siguiente:</w:t>
      </w:r>
    </w:p>
    <w:p w:rsidR="00EE2912" w:rsidRDefault="00EE2912">
      <w:pPr>
        <w:spacing w:after="0" w:line="360" w:lineRule="auto"/>
        <w:jc w:val="both"/>
        <w:rPr>
          <w:rFonts w:ascii="Palatino Linotype" w:eastAsia="Palatino Linotype" w:hAnsi="Palatino Linotype" w:cs="Palatino Linotype"/>
        </w:rPr>
      </w:pPr>
    </w:p>
    <w:p w:rsidR="00EE2912" w:rsidRDefault="00DA5663">
      <w:pPr>
        <w:numPr>
          <w:ilvl w:val="0"/>
          <w:numId w:val="3"/>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EE2912" w:rsidRDefault="00EE2912">
      <w:pPr>
        <w:spacing w:after="0" w:line="360" w:lineRule="auto"/>
        <w:ind w:left="567"/>
        <w:jc w:val="both"/>
        <w:rPr>
          <w:rFonts w:ascii="Palatino Linotype" w:eastAsia="Palatino Linotype" w:hAnsi="Palatino Linotype" w:cs="Palatino Linotype"/>
          <w:b/>
        </w:rPr>
      </w:pPr>
    </w:p>
    <w:p w:rsidR="00EE2912" w:rsidRDefault="00DA5663">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parte Recurrente solicitó al </w:t>
      </w:r>
      <w:r>
        <w:rPr>
          <w:rFonts w:ascii="Palatino Linotype" w:eastAsia="Palatino Linotype" w:hAnsi="Palatino Linotype" w:cs="Palatino Linotype"/>
          <w:b/>
        </w:rPr>
        <w:t>Tribunal de Justicia Administrativa del Estado de México</w:t>
      </w:r>
      <w:r>
        <w:rPr>
          <w:rFonts w:ascii="Palatino Linotype" w:eastAsia="Palatino Linotype" w:hAnsi="Palatino Linotype" w:cs="Palatino Linotype"/>
        </w:rPr>
        <w:t xml:space="preserve">,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proporcionará, lo siguiente: </w:t>
      </w:r>
    </w:p>
    <w:p w:rsidR="00EE2912" w:rsidRDefault="00DA5663">
      <w:pPr>
        <w:pBdr>
          <w:top w:val="nil"/>
          <w:left w:val="nil"/>
          <w:bottom w:val="nil"/>
          <w:right w:val="nil"/>
          <w:between w:val="nil"/>
        </w:pBdr>
        <w:spacing w:before="240" w:line="240" w:lineRule="auto"/>
        <w:ind w:left="851" w:right="851"/>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i/>
          <w:color w:val="000000"/>
        </w:rPr>
        <w:t xml:space="preserve">“Recientemente, el Tribunal de Justicia Administrativa ha manifestado que le han otorgado diversos REVOE. Respecto de ello, deseo me proporcione copia de éstos (REVOE) así como de los documentos, oficios y acreditación que fue entregada para que les otorgaran éstos” </w:t>
      </w:r>
      <w:r>
        <w:rPr>
          <w:rFonts w:ascii="Palatino Linotype" w:eastAsia="Palatino Linotype" w:hAnsi="Palatino Linotype" w:cs="Palatino Linotype"/>
          <w:b/>
          <w:i/>
          <w:color w:val="000000"/>
        </w:rPr>
        <w:t xml:space="preserve">(Sic) </w:t>
      </w:r>
    </w:p>
    <w:p w:rsidR="00EE2912" w:rsidRDefault="00DA5663">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Unidad de Información, Planeación, Programación y Evaluación remitió ficha de los reconocimientos de validez oficial de estudios obtenidos e informó que se requería un pago por la expedición de copias simples.</w:t>
      </w:r>
    </w:p>
    <w:p w:rsidR="00EE2912" w:rsidRDefault="00DA5663">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Una vez conocida la respuesta la parte Recurrente se inconformó por la modalidad de entrega. </w:t>
      </w:r>
    </w:p>
    <w:p w:rsidR="00EE2912" w:rsidRDefault="00DA5663">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Una vez notificado el recurso de revisión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este rindió su informe justificado, mediante el cual entregó en versión pública de los documentos presentados por la obtención de los multicitados RVOE, constante de 421 fojas; sin embargo la Ponencia Resolutoria determinó no poner a la vista de la parte </w:t>
      </w:r>
      <w:r>
        <w:rPr>
          <w:rFonts w:ascii="Palatino Linotype" w:eastAsia="Palatino Linotype" w:hAnsi="Palatino Linotype" w:cs="Palatino Linotype"/>
          <w:b/>
        </w:rPr>
        <w:t>RECURRENTE</w:t>
      </w:r>
      <w:r>
        <w:rPr>
          <w:rFonts w:ascii="Palatino Linotype" w:eastAsia="Palatino Linotype" w:hAnsi="Palatino Linotype" w:cs="Palatino Linotype"/>
        </w:rPr>
        <w:t>, por contener datos personales como Calificaciones, crédito y promedio, Pasaporte y visa.</w:t>
      </w:r>
    </w:p>
    <w:p w:rsidR="00EE2912" w:rsidRDefault="00EE2912">
      <w:pPr>
        <w:spacing w:after="0" w:line="360" w:lineRule="auto"/>
        <w:ind w:right="-28"/>
        <w:jc w:val="both"/>
        <w:rPr>
          <w:rFonts w:ascii="Palatino Linotype" w:eastAsia="Palatino Linotype" w:hAnsi="Palatino Linotype" w:cs="Palatino Linotype"/>
        </w:rPr>
      </w:pPr>
    </w:p>
    <w:p w:rsidR="00EE2912" w:rsidRDefault="00DA5663">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Por otro lado, se consideró por parte de la Ponencia Resolutoria, que se testó información que es considerada como pública como el nombre de servidores públicos, fotografías, número de cédula profesional, nombre del titular de la cédula profesional, firma, estudios, nombre de escuela, nombre del programa, grado académico, institución educativa y carrera cursada.</w:t>
      </w:r>
    </w:p>
    <w:p w:rsidR="00EE2912" w:rsidRDefault="00EE2912">
      <w:pPr>
        <w:spacing w:after="0" w:line="360" w:lineRule="auto"/>
        <w:jc w:val="both"/>
        <w:rPr>
          <w:rFonts w:ascii="Palatino Linotype" w:eastAsia="Palatino Linotype" w:hAnsi="Palatino Linotype" w:cs="Palatino Linotype"/>
        </w:rPr>
      </w:pPr>
    </w:p>
    <w:p w:rsidR="00EE2912" w:rsidRDefault="00DA5663">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Así las cosas, la ponencia Resolutora una vez analizadas las constancias que obran en el expediente electrónico del SAIMEX, determinó que los motivos de inconformidad de la parte Recurrente son parcialmente fundados, por lo que modifica la respuesta y ordena la entrega en versión pública de ser procedente, de lo siguiente</w:t>
      </w:r>
      <w:r>
        <w:rPr>
          <w:rFonts w:ascii="Palatino Linotype" w:eastAsia="Palatino Linotype" w:hAnsi="Palatino Linotype" w:cs="Palatino Linotype"/>
          <w:color w:val="000000"/>
        </w:rPr>
        <w:t>:</w:t>
      </w:r>
    </w:p>
    <w:p w:rsidR="00EE2912" w:rsidRDefault="00EE2912">
      <w:pPr>
        <w:spacing w:after="0" w:line="360" w:lineRule="auto"/>
        <w:jc w:val="both"/>
        <w:rPr>
          <w:rFonts w:ascii="Palatino Linotype" w:eastAsia="Palatino Linotype" w:hAnsi="Palatino Linotype" w:cs="Palatino Linotype"/>
          <w:color w:val="000000"/>
        </w:rPr>
      </w:pPr>
    </w:p>
    <w:p w:rsidR="00EE2912" w:rsidRDefault="00DA5663">
      <w:pPr>
        <w:spacing w:line="240" w:lineRule="auto"/>
        <w:ind w:right="49"/>
        <w:jc w:val="both"/>
        <w:rPr>
          <w:rFonts w:ascii="Palatino Linotype" w:eastAsia="Palatino Linotype" w:hAnsi="Palatino Linotype" w:cs="Palatino Linotype"/>
        </w:rPr>
      </w:pPr>
      <w:r>
        <w:rPr>
          <w:rFonts w:ascii="Palatino Linotype" w:eastAsia="Palatino Linotype" w:hAnsi="Palatino Linotype" w:cs="Palatino Linotype"/>
          <w:b/>
          <w:i/>
        </w:rPr>
        <w:t>“</w:t>
      </w:r>
      <w:r>
        <w:rPr>
          <w:rFonts w:ascii="Palatino Linotype" w:eastAsia="Palatino Linotype" w:hAnsi="Palatino Linotype" w:cs="Palatino Linotype"/>
          <w:b/>
        </w:rPr>
        <w:t>SEGUNDO.</w:t>
      </w:r>
      <w:r>
        <w:rPr>
          <w:rFonts w:ascii="Palatino Linotype" w:eastAsia="Palatino Linotype" w:hAnsi="Palatino Linotype" w:cs="Palatino Linotype"/>
        </w:rPr>
        <w:t xml:space="preserve">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haga entrega al </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de esta resolución</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versión pública de ser </w:t>
      </w:r>
      <w:r>
        <w:rPr>
          <w:rFonts w:ascii="Palatino Linotype" w:eastAsia="Palatino Linotype" w:hAnsi="Palatino Linotype" w:cs="Palatino Linotype"/>
        </w:rPr>
        <w:lastRenderedPageBreak/>
        <w:t xml:space="preserve">procedente, a través del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de lo siguiente: </w:t>
      </w:r>
    </w:p>
    <w:p w:rsidR="00EE2912" w:rsidRDefault="00DA5663">
      <w:pPr>
        <w:numPr>
          <w:ilvl w:val="0"/>
          <w:numId w:val="1"/>
        </w:numPr>
        <w:pBdr>
          <w:top w:val="nil"/>
          <w:left w:val="nil"/>
          <w:bottom w:val="nil"/>
          <w:right w:val="nil"/>
          <w:between w:val="nil"/>
        </w:pBdr>
        <w:spacing w:before="240" w:after="0" w:line="24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Reconocimiento de validez oficial (RVOE) emitido por autoridad educativa competente a favor del Tribunal de Justicia Administrativa del Estado de México, del periodo comprendido del cinco de diciembre de dos mil veintidós al cinco de diciembre de dos mil veintitrés. </w:t>
      </w:r>
    </w:p>
    <w:p w:rsidR="00EE2912" w:rsidRDefault="00DA5663">
      <w:pPr>
        <w:numPr>
          <w:ilvl w:val="0"/>
          <w:numId w:val="1"/>
        </w:numPr>
        <w:pBdr>
          <w:top w:val="nil"/>
          <w:left w:val="nil"/>
          <w:bottom w:val="nil"/>
          <w:right w:val="nil"/>
          <w:between w:val="nil"/>
        </w:pBdr>
        <w:spacing w:line="24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 xml:space="preserve">El o los documentos, oficios y acreditaciones vinculados con la emisión por autoridad educativa competente de reconocimientos de validez oficial (RVOE) a favor del Tribunal de Justicia Administrativa del Estado de México, del periodo comprendido del cinco de diciembre de dos mil veintidós al cinco de diciembre de dos mil veintitrés.  </w:t>
      </w:r>
    </w:p>
    <w:p w:rsidR="00EE2912" w:rsidRDefault="00DA5663">
      <w:pPr>
        <w:pBdr>
          <w:top w:val="nil"/>
          <w:left w:val="nil"/>
          <w:bottom w:val="nil"/>
          <w:right w:val="nil"/>
          <w:between w:val="nil"/>
        </w:pBdr>
        <w:spacing w:before="240" w:after="0" w:line="240" w:lineRule="auto"/>
        <w:ind w:lef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EE2912" w:rsidRDefault="00EE2912">
      <w:pPr>
        <w:pBdr>
          <w:top w:val="nil"/>
          <w:left w:val="nil"/>
          <w:bottom w:val="nil"/>
          <w:right w:val="nil"/>
          <w:between w:val="nil"/>
        </w:pBdr>
        <w:spacing w:after="0" w:line="240" w:lineRule="auto"/>
        <w:ind w:left="709"/>
        <w:jc w:val="both"/>
        <w:rPr>
          <w:rFonts w:ascii="Palatino Linotype" w:eastAsia="Palatino Linotype" w:hAnsi="Palatino Linotype" w:cs="Palatino Linotype"/>
          <w:i/>
          <w:color w:val="000000"/>
          <w:sz w:val="18"/>
          <w:szCs w:val="18"/>
        </w:rPr>
      </w:pPr>
    </w:p>
    <w:p w:rsidR="00EE2912" w:rsidRDefault="00DA5663">
      <w:pPr>
        <w:numPr>
          <w:ilvl w:val="0"/>
          <w:numId w:val="3"/>
        </w:numPr>
        <w:spacing w:after="0" w:line="360" w:lineRule="auto"/>
        <w:ind w:left="567" w:hanging="283"/>
        <w:jc w:val="both"/>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 xml:space="preserve">Razones del Voto Particular. </w:t>
      </w:r>
    </w:p>
    <w:p w:rsidR="00EE2912" w:rsidRDefault="00EE2912">
      <w:pPr>
        <w:spacing w:after="0" w:line="360" w:lineRule="auto"/>
        <w:jc w:val="both"/>
        <w:rPr>
          <w:rFonts w:ascii="Palatino Linotype" w:eastAsia="Palatino Linotype" w:hAnsi="Palatino Linotype" w:cs="Palatino Linotype"/>
          <w:b/>
        </w:rPr>
      </w:pPr>
    </w:p>
    <w:p w:rsidR="00EE2912" w:rsidRPr="00000A22" w:rsidRDefault="00DA5663">
      <w:pPr>
        <w:spacing w:after="0" w:line="360" w:lineRule="auto"/>
        <w:ind w:right="140"/>
        <w:jc w:val="both"/>
        <w:rPr>
          <w:rFonts w:ascii="Palatino Linotype" w:eastAsia="Palatino Linotype" w:hAnsi="Palatino Linotype" w:cs="Palatino Linotype"/>
        </w:rPr>
      </w:pPr>
      <w:r w:rsidRPr="00000A22">
        <w:rPr>
          <w:rFonts w:ascii="Palatino Linotype" w:eastAsia="Palatino Linotype" w:hAnsi="Palatino Linotype" w:cs="Palatino Linotype"/>
        </w:rPr>
        <w:t xml:space="preserve">Es importante señalar que se comparte el sentido de la resolución, no obstante,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w:t>
      </w:r>
    </w:p>
    <w:p w:rsidR="00EE2912" w:rsidRPr="00000A22" w:rsidRDefault="00EE2912">
      <w:pPr>
        <w:spacing w:after="0" w:line="360" w:lineRule="auto"/>
        <w:ind w:right="140"/>
        <w:jc w:val="both"/>
        <w:rPr>
          <w:rFonts w:ascii="Palatino Linotype" w:eastAsia="Palatino Linotype" w:hAnsi="Palatino Linotype" w:cs="Palatino Linotype"/>
        </w:rPr>
      </w:pPr>
    </w:p>
    <w:p w:rsidR="00EE2912" w:rsidRPr="00000A22" w:rsidRDefault="00DA5663">
      <w:pPr>
        <w:spacing w:after="0" w:line="360" w:lineRule="auto"/>
        <w:ind w:right="140"/>
        <w:jc w:val="both"/>
        <w:rPr>
          <w:rFonts w:ascii="Palatino Linotype" w:eastAsia="Palatino Linotype" w:hAnsi="Palatino Linotype" w:cs="Palatino Linotype"/>
        </w:rPr>
      </w:pPr>
      <w:r w:rsidRPr="00000A22">
        <w:rPr>
          <w:rFonts w:ascii="Palatino Linotype" w:eastAsia="Palatino Linotype" w:hAnsi="Palatino Linotype" w:cs="Palatino Linotype"/>
        </w:rPr>
        <w:t xml:space="preserve">Situación que la suscrita comparte, sin embargo, el presente voto se formula con relación a la fotografía, toda vez que no se coincide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EE2912" w:rsidRPr="00000A22" w:rsidRDefault="00EE2912">
      <w:pPr>
        <w:spacing w:after="0" w:line="360" w:lineRule="auto"/>
        <w:ind w:right="140"/>
        <w:jc w:val="both"/>
        <w:rPr>
          <w:rFonts w:ascii="Palatino Linotype" w:eastAsia="Palatino Linotype" w:hAnsi="Palatino Linotype" w:cs="Palatino Linotype"/>
        </w:rPr>
      </w:pPr>
    </w:p>
    <w:p w:rsidR="00EE2912" w:rsidRPr="00000A22" w:rsidRDefault="00DA5663">
      <w:pPr>
        <w:spacing w:after="0" w:line="360" w:lineRule="auto"/>
        <w:ind w:right="140"/>
        <w:jc w:val="both"/>
        <w:rPr>
          <w:rFonts w:ascii="Palatino Linotype" w:eastAsia="Palatino Linotype" w:hAnsi="Palatino Linotype" w:cs="Palatino Linotype"/>
        </w:rPr>
      </w:pPr>
      <w:r w:rsidRPr="00000A22">
        <w:rPr>
          <w:rFonts w:ascii="Palatino Linotype" w:eastAsia="Palatino Linotype" w:hAnsi="Palatino Linotype" w:cs="Palatino Linotype"/>
        </w:rPr>
        <w:lastRenderedPageBreak/>
        <w:t>Al respecto el criterio mayoritario que resolvió, consideró lo siguiente:</w:t>
      </w:r>
    </w:p>
    <w:p w:rsidR="00EE2912" w:rsidRDefault="00DA5663">
      <w:pPr>
        <w:pBdr>
          <w:top w:val="nil"/>
          <w:left w:val="nil"/>
          <w:bottom w:val="nil"/>
          <w:right w:val="nil"/>
          <w:between w:val="nil"/>
        </w:pBdr>
        <w:spacing w:before="240" w:after="0" w:line="240"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Fotografía:</w:t>
      </w:r>
      <w:r>
        <w:rPr>
          <w:rFonts w:ascii="Palatino Linotype" w:eastAsia="Palatino Linotype" w:hAnsi="Palatino Linotype" w:cs="Palatino Linotype"/>
          <w:i/>
          <w:color w:val="000000"/>
        </w:rPr>
        <w:t xml:space="preserve"> tratándose de servidores públicos se cuenta con un espectro menor de protección a sus datos personales en comparación con cualquier otra persona física, en razón del interés público que revisten sus funciones, por lo que, </w:t>
      </w:r>
      <w:r>
        <w:rPr>
          <w:rFonts w:ascii="Palatino Linotype" w:eastAsia="Palatino Linotype" w:hAnsi="Palatino Linotype" w:cs="Palatino Linotype"/>
          <w:i/>
          <w:color w:val="444444"/>
        </w:rPr>
        <w:t>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rsidR="00EE2912" w:rsidRDefault="00DA5663">
      <w:pPr>
        <w:pBdr>
          <w:top w:val="nil"/>
          <w:left w:val="nil"/>
          <w:bottom w:val="nil"/>
          <w:right w:val="nil"/>
          <w:between w:val="nil"/>
        </w:pBdr>
        <w:spacing w:after="0" w:line="240" w:lineRule="auto"/>
        <w:ind w:left="720"/>
        <w:jc w:val="both"/>
        <w:rPr>
          <w:rFonts w:ascii="Palatino Linotype" w:eastAsia="Palatino Linotype" w:hAnsi="Palatino Linotype" w:cs="Palatino Linotype"/>
          <w:i/>
          <w:color w:val="333333"/>
        </w:rPr>
      </w:pPr>
      <w:r>
        <w:rPr>
          <w:rFonts w:ascii="Palatino Linotype" w:eastAsia="Palatino Linotype" w:hAnsi="Palatino Linotype" w:cs="Palatino Linotype"/>
          <w:i/>
          <w:color w:val="000000"/>
        </w:rPr>
        <w:t xml:space="preserve">Conforme a lo anterior, resulta necesario señalar que el Pleno del Órgano Garante local sustentó el criterio </w:t>
      </w:r>
      <w:r>
        <w:rPr>
          <w:rFonts w:ascii="Palatino Linotype" w:eastAsia="Palatino Linotype" w:hAnsi="Palatino Linotype" w:cs="Palatino Linotype"/>
          <w:b/>
          <w:i/>
          <w:color w:val="000000"/>
        </w:rPr>
        <w:t xml:space="preserve">03/2019 </w:t>
      </w:r>
      <w:r>
        <w:rPr>
          <w:rFonts w:ascii="Palatino Linotype" w:eastAsia="Palatino Linotype" w:hAnsi="Palatino Linotype" w:cs="Palatino Linotype"/>
          <w:i/>
          <w:color w:val="000000"/>
        </w:rPr>
        <w:t xml:space="preserve">cuyo rubro dispone a la literalidad lo siguiente: </w:t>
      </w:r>
      <w:r>
        <w:rPr>
          <w:rFonts w:ascii="Palatino Linotype" w:eastAsia="Palatino Linotype" w:hAnsi="Palatino Linotype" w:cs="Palatino Linotype"/>
          <w:b/>
          <w:i/>
          <w:color w:val="000000"/>
        </w:rPr>
        <w:t xml:space="preserve">“SERVIDORES PÚBLICOS CON CATEGORÍA DE MANDO MEDIO Y SUPERIOR. LA FOTOGRAFÍA DE AQUELLOS ES DE CARÁCTER PÚBLICO.”, </w:t>
      </w:r>
      <w:r>
        <w:rPr>
          <w:rFonts w:ascii="Palatino Linotype" w:eastAsia="Palatino Linotype" w:hAnsi="Palatino Linotype" w:cs="Palatino Linotype"/>
          <w:i/>
          <w:color w:val="000000"/>
        </w:rPr>
        <w:t xml:space="preserve">mismo que fue interrumpido en términos del artículo </w:t>
      </w:r>
      <w:r>
        <w:rPr>
          <w:rFonts w:ascii="Palatino Linotype" w:eastAsia="Palatino Linotype" w:hAnsi="Palatino Linotype" w:cs="Palatino Linotype"/>
          <w:i/>
          <w:color w:val="333333"/>
        </w:rPr>
        <w:t>9, fracción XXVII del Reglamento Interior del Instituto de Transparencia, Acceso a la Información Pública y Protección de Datos Personales del Estado de México y Municipios.</w:t>
      </w:r>
    </w:p>
    <w:p w:rsidR="00EE2912" w:rsidRDefault="00DA5663">
      <w:pPr>
        <w:pBdr>
          <w:top w:val="nil"/>
          <w:left w:val="nil"/>
          <w:bottom w:val="nil"/>
          <w:right w:val="nil"/>
          <w:between w:val="nil"/>
        </w:pBdr>
        <w:spacing w:after="0" w:line="240"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333333"/>
          <w:u w:val="single"/>
        </w:rPr>
        <w:t xml:space="preserve">Debido a lo anterior, </w:t>
      </w:r>
      <w:r>
        <w:rPr>
          <w:rFonts w:ascii="Palatino Linotype" w:eastAsia="Palatino Linotype" w:hAnsi="Palatino Linotype" w:cs="Palatino Linotype"/>
          <w:b/>
          <w:i/>
          <w:color w:val="000000"/>
          <w:u w:val="single"/>
        </w:rPr>
        <w:t xml:space="preserve">las fotografías de servidores públicos sin importar el nivel o rango guardan la naturaleza de públicas (con excepción del personal operativo en materia de seguridad) y no procede su clasificación, en términos del artículo 143, fracción I, </w:t>
      </w:r>
      <w:r>
        <w:rPr>
          <w:rFonts w:ascii="Palatino Linotype" w:eastAsia="Palatino Linotype" w:hAnsi="Palatino Linotype" w:cs="Palatino Linotype"/>
          <w:i/>
          <w:color w:val="000000"/>
        </w:rPr>
        <w:t>de la Ley de Transparencia y Acceso a la Información Pública del Estado de México y Municipios, por lo que en las versiones públicas que se ordenen,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 Por otra parte, tratándose de particulares la fotografía encuadra como un dato confidencial en términos del artículo 143 de la ley de transparencia</w:t>
      </w:r>
      <w:r>
        <w:rPr>
          <w:rFonts w:ascii="Palatino Linotype" w:eastAsia="Palatino Linotype" w:hAnsi="Palatino Linotype" w:cs="Palatino Linotype"/>
          <w:i/>
          <w:color w:val="000000"/>
          <w:sz w:val="24"/>
          <w:szCs w:val="24"/>
        </w:rPr>
        <w:t>…” (Sic)</w:t>
      </w:r>
    </w:p>
    <w:p w:rsidR="00EE2912" w:rsidRDefault="00EE2912">
      <w:pPr>
        <w:spacing w:before="80" w:after="240" w:line="360" w:lineRule="auto"/>
        <w:jc w:val="both"/>
        <w:rPr>
          <w:rFonts w:ascii="Palatino Linotype" w:eastAsia="Palatino Linotype" w:hAnsi="Palatino Linotype" w:cs="Palatino Linotype"/>
        </w:rPr>
      </w:pPr>
      <w:bookmarkStart w:id="4" w:name="_heading=h.b4iiy4ij0zq" w:colFirst="0" w:colLast="0"/>
      <w:bookmarkEnd w:id="4"/>
    </w:p>
    <w:p w:rsidR="00EE2912" w:rsidRDefault="00DA5663">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Como se puede advertir, en el criterio de la mayoría no se distingue el nivel o cargo que ostente los servidores públicos. Sin embargo, a consideración de la suscrita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w:t>
      </w:r>
      <w:r>
        <w:rPr>
          <w:rFonts w:ascii="Palatino Linotype" w:eastAsia="Palatino Linotype" w:hAnsi="Palatino Linotype" w:cs="Palatino Linotype"/>
        </w:rPr>
        <w:lastRenderedPageBreak/>
        <w:t>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EE2912" w:rsidRDefault="00DA5663">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servidores públicos existen funciones que por su naturaleza pueden ser de un mayor interés público, es decir, aquellas que tienen 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rsidR="00EE2912" w:rsidRDefault="00EE2912">
      <w:pPr>
        <w:spacing w:after="0" w:line="360" w:lineRule="auto"/>
        <w:jc w:val="both"/>
        <w:rPr>
          <w:rFonts w:ascii="Palatino Linotype" w:eastAsia="Palatino Linotype" w:hAnsi="Palatino Linotype" w:cs="Palatino Linotype"/>
        </w:rPr>
      </w:pPr>
    </w:p>
    <w:p w:rsidR="00EE2912" w:rsidRDefault="00DA5663">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 a las funciones de las y los funcionarios que dan atención al público, así como aquellos que cuenten con la calidad de mando medio y/o superior, las suscritas consideramos que se debe dejar visible su fotografía pues, hacer pública la imagen de éstos, puede contribuir a la transparencia y la rendición de cuentas, ya que permite a la ciudadanía identificar a los funcionarios que toman decisiones importantes en su nombre.</w:t>
      </w:r>
    </w:p>
    <w:p w:rsidR="00EE2912" w:rsidRDefault="00DA5663">
      <w:pPr>
        <w:tabs>
          <w:tab w:val="left" w:pos="4962"/>
        </w:tabs>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en la resolución se estipuló que </w:t>
      </w:r>
      <w:r>
        <w:rPr>
          <w:rFonts w:ascii="Palatino Linotype" w:eastAsia="Palatino Linotype" w:hAnsi="Palatino Linotype" w:cs="Palatino Linotype"/>
          <w:b/>
          <w:u w:val="single"/>
        </w:rPr>
        <w:t>las fotografías de servidores públicos, sin importar el nivel o rango, guardan la naturaleza de públicas</w:t>
      </w:r>
      <w:r>
        <w:rPr>
          <w:rFonts w:ascii="Palatino Linotype" w:eastAsia="Palatino Linotype" w:hAnsi="Palatino Linotype" w:cs="Palatino Linotype"/>
        </w:rPr>
        <w:t xml:space="preserve">, -con excepción del personal operativo en materia de seguridad-, </w:t>
      </w:r>
      <w:r>
        <w:rPr>
          <w:rFonts w:ascii="Palatino Linotype" w:eastAsia="Palatino Linotype" w:hAnsi="Palatino Linotype" w:cs="Palatino Linotype"/>
          <w:b/>
          <w:u w:val="single"/>
        </w:rPr>
        <w:t>por lo tanto, que no procede su clasificación</w:t>
      </w:r>
      <w:r>
        <w:rPr>
          <w:rFonts w:ascii="Palatino Linotype" w:eastAsia="Palatino Linotype" w:hAnsi="Palatino Linotype" w:cs="Palatino Linotype"/>
        </w:rPr>
        <w:t xml:space="preserve"> en términos del artículo 143, fracción I, de la Ley de Transparencia y Acceso a la Información </w:t>
      </w:r>
      <w:r>
        <w:rPr>
          <w:rFonts w:ascii="Palatino Linotype" w:eastAsia="Palatino Linotype" w:hAnsi="Palatino Linotype" w:cs="Palatino Linotype"/>
        </w:rPr>
        <w:lastRenderedPageBreak/>
        <w:t>Pública del Estado de México y Municipios, sin embargo,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se ha expresado con anterioridad, en algunos casos, el interés público de hacer pública la imagen de un servidor público puede justificar la limitación de su derecho a la privacidad, pero esto debe evaluarse cuidadosamente en cada caso y no ser la regla general.</w:t>
      </w:r>
    </w:p>
    <w:p w:rsidR="00EE2912" w:rsidRDefault="00DA5663">
      <w:pPr>
        <w:tabs>
          <w:tab w:val="left" w:pos="4962"/>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estimo que el acceso a los documentos que contengan el dato materia de análisis, aún clasificado, daría cuenta de lo que en realidad se pretende transparentar, como lo es, por ejemplo, la preparación académica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EE2912" w:rsidRDefault="00DA5663">
      <w:pPr>
        <w:tabs>
          <w:tab w:val="left" w:pos="4962"/>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EE2912" w:rsidRDefault="00DA5663">
      <w:pPr>
        <w:tabs>
          <w:tab w:val="left" w:pos="4962"/>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 xml:space="preserve">no se debe </w:t>
      </w:r>
      <w:r>
        <w:rPr>
          <w:rFonts w:ascii="Palatino Linotype" w:eastAsia="Palatino Linotype" w:hAnsi="Palatino Linotype" w:cs="Palatino Linotype"/>
          <w:b/>
          <w:u w:val="single"/>
        </w:rPr>
        <w:lastRenderedPageBreak/>
        <w:t>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tengan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EE2912" w:rsidRDefault="00DA5663">
      <w:pPr>
        <w:tabs>
          <w:tab w:val="left" w:pos="4962"/>
        </w:tabs>
        <w:spacing w:after="0" w:line="360" w:lineRule="auto"/>
        <w:ind w:right="-3"/>
        <w:jc w:val="both"/>
        <w:rPr>
          <w:rFonts w:ascii="Palatino Linotype" w:eastAsia="Palatino Linotype" w:hAnsi="Palatino Linotype" w:cs="Palatino Linotype"/>
        </w:rPr>
        <w:sectPr w:rsidR="00EE2912">
          <w:headerReference w:type="even" r:id="rId8"/>
          <w:headerReference w:type="default" r:id="rId9"/>
          <w:footerReference w:type="default" r:id="rId10"/>
          <w:pgSz w:w="12240" w:h="15840"/>
          <w:pgMar w:top="1871" w:right="1327" w:bottom="2836" w:left="1985" w:header="709" w:footer="586" w:gutter="0"/>
          <w:pgNumType w:start="1"/>
          <w:cols w:space="720"/>
        </w:sectPr>
      </w:pPr>
      <w:bookmarkStart w:id="5" w:name="_heading=h.3znysh7" w:colFirst="0" w:colLast="0"/>
      <w:bookmarkEnd w:id="5"/>
      <w:r>
        <w:rPr>
          <w:rFonts w:ascii="Palatino Linotype" w:eastAsia="Palatino Linotype" w:hAnsi="Palatino Linotype" w:cs="Palatino Linotype"/>
        </w:rPr>
        <w:t>Por las razones antes expuestas, se emite el presente Voto Particular.</w:t>
      </w: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292100</wp:posOffset>
                </wp:positionV>
                <wp:extent cx="5467350" cy="4730750"/>
                <wp:effectExtent l="0" t="0" r="0" b="0"/>
                <wp:wrapNone/>
                <wp:docPr id="15" name="Conector recto de flecha 15"/>
                <wp:cNvGraphicFramePr/>
                <a:graphic xmlns:a="http://schemas.openxmlformats.org/drawingml/2006/main">
                  <a:graphicData uri="http://schemas.microsoft.com/office/word/2010/wordprocessingShape">
                    <wps:wsp>
                      <wps:cNvCnPr/>
                      <wps:spPr>
                        <a:xfrm>
                          <a:off x="2625025" y="1427325"/>
                          <a:ext cx="5441950" cy="470535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63501</wp:posOffset>
                </wp:positionH>
                <wp:positionV relativeFrom="paragraph">
                  <wp:posOffset>292100</wp:posOffset>
                </wp:positionV>
                <wp:extent cx="5467350" cy="4730750"/>
                <wp:effectExtent b="0" l="0" r="0" t="0"/>
                <wp:wrapNone/>
                <wp:docPr id="1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467350" cy="4730750"/>
                        </a:xfrm>
                        <a:prstGeom prst="rect"/>
                        <a:ln/>
                      </pic:spPr>
                    </pic:pic>
                  </a:graphicData>
                </a:graphic>
              </wp:anchor>
            </w:drawing>
          </mc:Fallback>
        </mc:AlternateContent>
      </w:r>
    </w:p>
    <w:p w:rsidR="00EE2912" w:rsidRDefault="00EE2912">
      <w:pPr>
        <w:spacing w:before="240" w:after="240" w:line="360" w:lineRule="auto"/>
        <w:ind w:right="423"/>
        <w:jc w:val="both"/>
        <w:rPr>
          <w:rFonts w:ascii="Palatino Linotype" w:eastAsia="Palatino Linotype" w:hAnsi="Palatino Linotype" w:cs="Palatino Linotype"/>
        </w:rPr>
      </w:pPr>
    </w:p>
    <w:sectPr w:rsidR="00EE2912">
      <w:headerReference w:type="default" r:id="rId12"/>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128" w:rsidRDefault="000F1128">
      <w:pPr>
        <w:spacing w:after="0" w:line="240" w:lineRule="auto"/>
      </w:pPr>
      <w:r>
        <w:separator/>
      </w:r>
    </w:p>
  </w:endnote>
  <w:endnote w:type="continuationSeparator" w:id="0">
    <w:p w:rsidR="000F1128" w:rsidRDefault="000F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12" w:rsidRDefault="00DA566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810B3">
      <w:rPr>
        <w:rFonts w:ascii="Arial" w:eastAsia="Arial" w:hAnsi="Arial" w:cs="Arial"/>
        <w:b/>
        <w:noProof/>
        <w:color w:val="000000"/>
        <w:sz w:val="20"/>
        <w:szCs w:val="20"/>
      </w:rPr>
      <w:t>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810B3">
      <w:rPr>
        <w:rFonts w:ascii="Arial" w:eastAsia="Arial" w:hAnsi="Arial" w:cs="Arial"/>
        <w:b/>
        <w:noProof/>
        <w:color w:val="000000"/>
        <w:sz w:val="20"/>
        <w:szCs w:val="20"/>
      </w:rPr>
      <w:t>8</w:t>
    </w:r>
    <w:r>
      <w:rPr>
        <w:rFonts w:ascii="Arial" w:eastAsia="Arial" w:hAnsi="Arial" w:cs="Arial"/>
        <w:b/>
        <w:color w:val="000000"/>
        <w:sz w:val="20"/>
        <w:szCs w:val="20"/>
      </w:rPr>
      <w:fldChar w:fldCharType="end"/>
    </w:r>
  </w:p>
  <w:p w:rsidR="00EE2912" w:rsidRDefault="00EE2912">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128" w:rsidRDefault="000F1128">
      <w:pPr>
        <w:spacing w:after="0" w:line="240" w:lineRule="auto"/>
      </w:pPr>
      <w:r>
        <w:separator/>
      </w:r>
    </w:p>
  </w:footnote>
  <w:footnote w:type="continuationSeparator" w:id="0">
    <w:p w:rsidR="000F1128" w:rsidRDefault="000F1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12" w:rsidRDefault="00DA566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60320038" cy="60320038"/>
              <wp:effectExtent l="0" t="0" r="0" b="0"/>
              <wp:wrapNone/>
              <wp:docPr id="14" name="Rectángulo 14"/>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EE2912" w:rsidRDefault="00DA5663">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0320038" cy="60320038"/>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320038" cy="60320038"/>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12" w:rsidRDefault="00DA566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-695320</wp:posOffset>
          </wp:positionH>
          <wp:positionV relativeFrom="paragraph">
            <wp:posOffset>-433063</wp:posOffset>
          </wp:positionV>
          <wp:extent cx="7510628" cy="988377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E2912" w:rsidRDefault="00EE291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E2912" w:rsidRDefault="00EE291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E2912" w:rsidRDefault="00DA566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E2912" w:rsidRDefault="00DA566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   RECURSOS DE REVISIÓN 00520/INFOEM/IP/RR/202</w:t>
    </w:r>
    <w:r>
      <w:rPr>
        <w:rFonts w:ascii="Palatino Linotype" w:eastAsia="Palatino Linotype" w:hAnsi="Palatino Linotype" w:cs="Palatino Linotype"/>
        <w:b/>
        <w:sz w:val="20"/>
        <w:szCs w:val="20"/>
      </w:rPr>
      <w:t>4</w:t>
    </w:r>
  </w:p>
  <w:p w:rsidR="00EE2912" w:rsidRDefault="00EE291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12" w:rsidRDefault="00EE291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E2912" w:rsidRDefault="00EE291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E2912" w:rsidRDefault="00EE291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EE2912" w:rsidRDefault="00EE291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328DE"/>
    <w:multiLevelType w:val="multilevel"/>
    <w:tmpl w:val="EE723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4E1DCB"/>
    <w:multiLevelType w:val="multilevel"/>
    <w:tmpl w:val="6E16D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9376B0"/>
    <w:multiLevelType w:val="multilevel"/>
    <w:tmpl w:val="13EEF5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12"/>
    <w:rsid w:val="00000A22"/>
    <w:rsid w:val="000F1128"/>
    <w:rsid w:val="00646267"/>
    <w:rsid w:val="00772A43"/>
    <w:rsid w:val="0097364A"/>
    <w:rsid w:val="00A810B3"/>
    <w:rsid w:val="00AC6272"/>
    <w:rsid w:val="00CE0178"/>
    <w:rsid w:val="00DA5663"/>
    <w:rsid w:val="00EE2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E9308-F9F5-438C-9990-D4A1F92F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862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0AB"/>
  </w:style>
  <w:style w:type="paragraph" w:styleId="Encabezado">
    <w:name w:val="header"/>
    <w:basedOn w:val="Normal"/>
    <w:link w:val="EncabezadoCar"/>
    <w:uiPriority w:val="99"/>
    <w:unhideWhenUsed/>
    <w:rsid w:val="00862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0A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620AB"/>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620AB"/>
    <w:rPr>
      <w:rFonts w:ascii="Times New Roman" w:eastAsia="Times New Roman" w:hAnsi="Times New Roman" w:cs="Times New Roman"/>
      <w:sz w:val="24"/>
      <w:szCs w:val="24"/>
      <w:lang w:val="es-MX" w:eastAsia="es-ES"/>
    </w:rPr>
  </w:style>
  <w:style w:type="paragraph" w:customStyle="1" w:styleId="Fundamentos">
    <w:name w:val="Fundamentos"/>
    <w:basedOn w:val="Normal"/>
    <w:qFormat/>
    <w:rsid w:val="00C262C1"/>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character" w:styleId="Hipervnculo">
    <w:name w:val="Hyperlink"/>
    <w:aliases w:val="Hipervínculo1,Hipervínculo11,Hipervínculo12,Hipervínculo13,Hipervínculo14,Hipervínculo15"/>
    <w:basedOn w:val="Fuentedeprrafopredeter"/>
    <w:uiPriority w:val="99"/>
    <w:unhideWhenUsed/>
    <w:rsid w:val="002573C2"/>
    <w:rPr>
      <w:color w:val="0000FF" w:themeColor="hyperlink"/>
      <w:u w:val="single"/>
    </w:rPr>
  </w:style>
  <w:style w:type="paragraph" w:customStyle="1" w:styleId="Citas">
    <w:name w:val="Citas"/>
    <w:basedOn w:val="Normal"/>
    <w:qFormat/>
    <w:rsid w:val="00F16AC9"/>
    <w:pPr>
      <w:spacing w:before="240" w:line="360" w:lineRule="auto"/>
      <w:ind w:left="851" w:right="851"/>
      <w:jc w:val="both"/>
    </w:pPr>
    <w:rPr>
      <w:rFonts w:ascii="Palatino Linotype" w:eastAsiaTheme="minorHAnsi" w:hAnsi="Palatino Linotype" w:cs="Arial"/>
      <w: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OoT0U8yutzYUnvEIHDVYNV0Z2A==">CgMxLjAyDmguNHMycWFwZmo2cWozMghoLmdqZGd4czIJaC4zMGowemxsMg1oLmI0aWl5NGlqMHpxMgloLjN6bnlzaDc4AHIhMVJnaUIxNGhDMmthZ05uRzF0MWktSWVSeFhvX1NoekhO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1760</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6</cp:revision>
  <cp:lastPrinted>2024-04-08T17:51:00Z</cp:lastPrinted>
  <dcterms:created xsi:type="dcterms:W3CDTF">2024-04-04T18:32:00Z</dcterms:created>
  <dcterms:modified xsi:type="dcterms:W3CDTF">2024-04-08T17:51:00Z</dcterms:modified>
</cp:coreProperties>
</file>