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BD" w:rsidRDefault="001917BA">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SEXTA SESIÓN ORDINARIA DEL VEINTIUNO DE FEBRERO DE DOS MIL VEINTICUATRO, EN EL RECURSO DE REVISIÓN 00141/INFOEM/IP/RR/2024. </w:t>
      </w:r>
    </w:p>
    <w:p w:rsidR="00B576BD" w:rsidRDefault="001917BA">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 In</w:t>
      </w:r>
      <w:r>
        <w:rPr>
          <w:rFonts w:ascii="Palatino Linotype" w:eastAsia="Palatino Linotype" w:hAnsi="Palatino Linotype" w:cs="Palatino Linotype"/>
          <w:sz w:val="24"/>
          <w:szCs w:val="24"/>
        </w:rPr>
        <w:t xml:space="preserve">formación Pública y Protección de Datos Personales del Estado de México, </w:t>
      </w:r>
      <w:r>
        <w:rPr>
          <w:rFonts w:ascii="Palatino Linotype" w:eastAsia="Palatino Linotype" w:hAnsi="Palatino Linotype" w:cs="Palatino Linotype"/>
          <w:b/>
          <w:sz w:val="24"/>
          <w:szCs w:val="24"/>
        </w:rPr>
        <w:t>la Comisionada 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00141/INFOEM/IP/RR/2024 </w:t>
      </w:r>
      <w:r>
        <w:rPr>
          <w:rFonts w:ascii="Palatino Linotype" w:eastAsia="Palatino Linotype" w:hAnsi="Palatino Linotype" w:cs="Palatino Linotype"/>
          <w:sz w:val="24"/>
          <w:szCs w:val="24"/>
        </w:rPr>
        <w:t>pronunciada por el Pleno de este</w:t>
      </w:r>
      <w:r>
        <w:rPr>
          <w:rFonts w:ascii="Palatino Linotype" w:eastAsia="Palatino Linotype" w:hAnsi="Palatino Linotype" w:cs="Palatino Linotype"/>
          <w:sz w:val="24"/>
          <w:szCs w:val="24"/>
        </w:rPr>
        <w:t xml:space="preserve"> Instituto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conforme al tenor siguiente:</w:t>
      </w:r>
    </w:p>
    <w:p w:rsidR="00B576BD" w:rsidRDefault="001917BA">
      <w:pPr>
        <w:numPr>
          <w:ilvl w:val="0"/>
          <w:numId w:val="1"/>
        </w:numPr>
        <w:spacing w:before="240" w:after="240" w:line="360" w:lineRule="auto"/>
        <w:ind w:left="142" w:hanging="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B576BD" w:rsidRDefault="001917BA">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w:t>
      </w:r>
      <w:r>
        <w:rPr>
          <w:rFonts w:ascii="Palatino Linotype" w:eastAsia="Palatino Linotype" w:hAnsi="Palatino Linotype" w:cs="Palatino Linotype"/>
          <w:b/>
          <w:sz w:val="24"/>
          <w:szCs w:val="24"/>
        </w:rPr>
        <w:t>la</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le proporcionara lo siguiente:</w:t>
      </w:r>
    </w:p>
    <w:p w:rsidR="00B576BD" w:rsidRDefault="001917BA">
      <w:pPr>
        <w:spacing w:before="240" w:after="24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“Solicito la nómin</w:t>
      </w:r>
      <w:r>
        <w:rPr>
          <w:rFonts w:ascii="Palatino Linotype" w:eastAsia="Palatino Linotype" w:hAnsi="Palatino Linotype" w:cs="Palatino Linotype"/>
          <w:i/>
        </w:rPr>
        <w:t>a, conciliación de nómina, dispersión de nómina y estados de cuenta donde se refleje los movimientos de nómina de la primera quincena de octubre” (Sic)</w:t>
      </w:r>
    </w:p>
    <w:p w:rsidR="00B576BD" w:rsidRDefault="001917BA">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respuesta,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los siguientes archivos electrónicos:</w:t>
      </w:r>
    </w:p>
    <w:p w:rsidR="00B576BD" w:rsidRDefault="001917BA">
      <w:pPr>
        <w:spacing w:before="240" w:after="24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1) Acuerdo de clasifi</w:t>
      </w:r>
      <w:r>
        <w:rPr>
          <w:rFonts w:ascii="Palatino Linotype" w:eastAsia="Palatino Linotype" w:hAnsi="Palatino Linotype" w:cs="Palatino Linotype"/>
          <w:sz w:val="24"/>
          <w:szCs w:val="24"/>
        </w:rPr>
        <w:t xml:space="preserve">cación de información como confidencial y reservada 04/CT/47-ORD/2023, de la Cuadragésima Séptima Sesión Ordinaria del Comité de Transparencia, de fecha diecinueve de diciembre del año de dos mil veintitrés, en el cual se estableció lo siguiente: </w:t>
      </w:r>
    </w:p>
    <w:p w:rsidR="00B576BD" w:rsidRDefault="001917BA">
      <w:pPr>
        <w:spacing w:before="240" w:after="24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Ofici</w:t>
      </w:r>
      <w:r>
        <w:rPr>
          <w:rFonts w:ascii="Palatino Linotype" w:eastAsia="Palatino Linotype" w:hAnsi="Palatino Linotype" w:cs="Palatino Linotype"/>
          <w:sz w:val="24"/>
          <w:szCs w:val="24"/>
        </w:rPr>
        <w:t>o DA/4713/2023 de fecha veinte de diciembre de dos mil veintitrés, suscrito por el Director de Administración y dirigido a la Titular de la Unidad de Transparencia y Acceso a la Información Pública Municipal, mediante el cual señaló que, después de una bús</w:t>
      </w:r>
      <w:r>
        <w:rPr>
          <w:rFonts w:ascii="Palatino Linotype" w:eastAsia="Palatino Linotype" w:hAnsi="Palatino Linotype" w:cs="Palatino Linotype"/>
          <w:sz w:val="24"/>
          <w:szCs w:val="24"/>
        </w:rPr>
        <w:t>queda exhaustiva y minuciosa, se visualizó que a la fecha de la solicitud se encuentra en proceso de integración para remitirlo en los informes trimestrales del Órgano Superior de Fiscalización.</w:t>
      </w:r>
    </w:p>
    <w:p w:rsidR="00B576BD" w:rsidRDefault="001917BA">
      <w:pPr>
        <w:spacing w:before="240" w:after="24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Reporte General de nómina de octubre dos mil veintitrés.</w:t>
      </w:r>
    </w:p>
    <w:p w:rsidR="00B576BD" w:rsidRDefault="001917BA">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s de precisar que esta circunstancia trajo como consecuencia la interposición del recurso de revisión que nos ocupa, expresando las siguientes consideraciones:</w:t>
      </w:r>
    </w:p>
    <w:p w:rsidR="00B576BD" w:rsidRDefault="001917BA">
      <w:pPr>
        <w:spacing w:after="0" w:line="240" w:lineRule="auto"/>
        <w:ind w:left="567" w:right="565"/>
        <w:jc w:val="both"/>
        <w:rPr>
          <w:rFonts w:ascii="Palatino Linotype" w:eastAsia="Palatino Linotype" w:hAnsi="Palatino Linotype" w:cs="Palatino Linotype"/>
          <w:i/>
          <w:color w:val="000000"/>
        </w:rPr>
      </w:pPr>
      <w:r>
        <w:rPr>
          <w:rFonts w:ascii="Palatino Linotype" w:eastAsia="Palatino Linotype" w:hAnsi="Palatino Linotype" w:cs="Palatino Linotype"/>
          <w:b/>
        </w:rPr>
        <w:t>Acto impugnado</w:t>
      </w:r>
      <w:r>
        <w:rPr>
          <w:rFonts w:ascii="Palatino Linotype" w:eastAsia="Palatino Linotype" w:hAnsi="Palatino Linotype" w:cs="Palatino Linotype"/>
          <w:i/>
        </w:rPr>
        <w:t xml:space="preserve">: </w:t>
      </w:r>
      <w:r>
        <w:rPr>
          <w:rFonts w:ascii="Palatino Linotype" w:eastAsia="Palatino Linotype" w:hAnsi="Palatino Linotype" w:cs="Palatino Linotype"/>
          <w:i/>
          <w:color w:val="000000"/>
        </w:rPr>
        <w:t>“DOCUMENTO ENVIADO” (Sic)</w:t>
      </w:r>
    </w:p>
    <w:p w:rsidR="00B576BD" w:rsidRDefault="00B576BD">
      <w:pPr>
        <w:spacing w:after="0" w:line="240" w:lineRule="auto"/>
        <w:ind w:left="567" w:right="565"/>
        <w:jc w:val="both"/>
        <w:rPr>
          <w:rFonts w:ascii="Palatino Linotype" w:eastAsia="Palatino Linotype" w:hAnsi="Palatino Linotype" w:cs="Palatino Linotype"/>
          <w:i/>
        </w:rPr>
      </w:pPr>
    </w:p>
    <w:p w:rsidR="00B576BD" w:rsidRDefault="001917BA">
      <w:pPr>
        <w:spacing w:after="0" w:line="240" w:lineRule="auto"/>
        <w:ind w:left="567" w:right="565"/>
        <w:jc w:val="both"/>
        <w:rPr>
          <w:rFonts w:ascii="Palatino Linotype" w:eastAsia="Palatino Linotype" w:hAnsi="Palatino Linotype" w:cs="Palatino Linotype"/>
          <w:b/>
        </w:rPr>
      </w:pPr>
      <w:r>
        <w:rPr>
          <w:rFonts w:ascii="Palatino Linotype" w:eastAsia="Palatino Linotype" w:hAnsi="Palatino Linotype" w:cs="Palatino Linotype"/>
          <w:b/>
        </w:rPr>
        <w:t xml:space="preserve">Motivo de inconformidad: </w:t>
      </w:r>
      <w:r>
        <w:rPr>
          <w:rFonts w:ascii="Palatino Linotype" w:eastAsia="Palatino Linotype" w:hAnsi="Palatino Linotype" w:cs="Palatino Linotype"/>
        </w:rPr>
        <w:t>“</w:t>
      </w:r>
      <w:r>
        <w:rPr>
          <w:rFonts w:ascii="Palatino Linotype" w:eastAsia="Palatino Linotype" w:hAnsi="Palatino Linotype" w:cs="Palatino Linotype"/>
          <w:i/>
        </w:rPr>
        <w:t>NO ENVIAN LO QUE SOLICITE” (Sic)</w:t>
      </w:r>
    </w:p>
    <w:p w:rsidR="00B576BD" w:rsidRDefault="00B576BD">
      <w:pPr>
        <w:spacing w:after="0" w:line="240" w:lineRule="auto"/>
        <w:ind w:left="567" w:right="565"/>
        <w:jc w:val="both"/>
        <w:rPr>
          <w:rFonts w:ascii="Palatino Linotype" w:eastAsia="Palatino Linotype" w:hAnsi="Palatino Linotype" w:cs="Palatino Linotype"/>
          <w:i/>
        </w:rPr>
      </w:pPr>
    </w:p>
    <w:p w:rsidR="00B576BD" w:rsidRDefault="00B576BD">
      <w:pPr>
        <w:spacing w:after="0" w:line="240" w:lineRule="auto"/>
        <w:ind w:right="902"/>
        <w:jc w:val="both"/>
        <w:rPr>
          <w:rFonts w:ascii="Palatino Linotype" w:eastAsia="Palatino Linotype" w:hAnsi="Palatino Linotype" w:cs="Palatino Linotype"/>
          <w:i/>
        </w:rPr>
      </w:pPr>
    </w:p>
    <w:p w:rsidR="00B576BD" w:rsidRDefault="001917BA">
      <w:pPr>
        <w:spacing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interpuesto el recurso de revisión, de las constancias que obran en el expediente del SAIMEX, se advierte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ratificó su respuesta inicial, mientras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en emitir </w:t>
      </w:r>
      <w:r>
        <w:rPr>
          <w:rFonts w:ascii="Palatino Linotype" w:eastAsia="Palatino Linotype" w:hAnsi="Palatino Linotype" w:cs="Palatino Linotype"/>
          <w:sz w:val="24"/>
          <w:szCs w:val="24"/>
        </w:rPr>
        <w:t xml:space="preserve">sus manifestaciones en </w:t>
      </w:r>
      <w:r>
        <w:rPr>
          <w:rFonts w:ascii="Palatino Linotype" w:eastAsia="Palatino Linotype" w:hAnsi="Palatino Linotype" w:cs="Palatino Linotype"/>
          <w:sz w:val="24"/>
          <w:szCs w:val="24"/>
        </w:rPr>
        <w:lastRenderedPageBreak/>
        <w:t>el tiempo procesal establecido para tal efecto, por lo que se tuvo por precluido su derecho y se procedió a la emisión de la resolución.</w:t>
      </w:r>
    </w:p>
    <w:p w:rsidR="00B576BD" w:rsidRDefault="001917BA">
      <w:pPr>
        <w:spacing w:before="240" w:after="240" w:line="360" w:lineRule="auto"/>
        <w:ind w:right="-6"/>
        <w:jc w:val="both"/>
        <w:rPr>
          <w:rFonts w:ascii="Palatino Linotype" w:eastAsia="Palatino Linotype" w:hAnsi="Palatino Linotype" w:cs="Palatino Linotype"/>
          <w:sz w:val="24"/>
          <w:szCs w:val="24"/>
        </w:rPr>
      </w:pPr>
      <w:bookmarkStart w:id="1" w:name="_heading=h.30j0zll" w:colFirst="0" w:colLast="0"/>
      <w:bookmarkEnd w:id="1"/>
      <w:r>
        <w:rPr>
          <w:rFonts w:ascii="Palatino Linotype" w:eastAsia="Palatino Linotype" w:hAnsi="Palatino Linotype" w:cs="Palatino Linotype"/>
          <w:sz w:val="24"/>
          <w:szCs w:val="24"/>
        </w:rPr>
        <w:t xml:space="preserve">Así las cosas, el Comisionado Ponente consideró que los motivos de inconformidad aducidos por la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fundados</w:t>
      </w:r>
      <w:r>
        <w:rPr>
          <w:rFonts w:ascii="Palatino Linotype" w:eastAsia="Palatino Linotype" w:hAnsi="Palatino Linotype" w:cs="Palatino Linotype"/>
          <w:sz w:val="24"/>
          <w:szCs w:val="24"/>
        </w:rPr>
        <w:t>, y determinó ordenar la entrega de la siguiente información:</w:t>
      </w:r>
    </w:p>
    <w:p w:rsidR="00B576BD" w:rsidRDefault="001917BA">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“PRIMERO. Se MODIFICA la respuesta otorgada por el Ayuntamiento</w:t>
      </w:r>
      <w:r>
        <w:rPr>
          <w:rFonts w:ascii="Palatino Linotype" w:eastAsia="Palatino Linotype" w:hAnsi="Palatino Linotype" w:cs="Palatino Linotype"/>
          <w:i/>
        </w:rPr>
        <w:t xml:space="preserve"> de Tlalnepantla de Baz a la solicitud de acceso a la información 01201/TLALNEPA/IP/2023, por resultar FUNDADOS los agravios hechos valer por el Particular, en el Recurso de Revisión, en términos de los Considerandos QUINTO y SEXTO de la presente Resolució</w:t>
      </w:r>
      <w:r>
        <w:rPr>
          <w:rFonts w:ascii="Palatino Linotype" w:eastAsia="Palatino Linotype" w:hAnsi="Palatino Linotype" w:cs="Palatino Linotype"/>
          <w:i/>
        </w:rPr>
        <w:t xml:space="preserve">n.  </w:t>
      </w:r>
    </w:p>
    <w:p w:rsidR="00B576BD" w:rsidRDefault="001917BA">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Sujeto Obligado, a efecto de que, previa búsqueda exhaustiva y razonable en las áreas competentes, a través del Sistema de Acceso a la Información Mexiquense (SAIMEX), entregue, en versión pública, lo siguiente:</w:t>
      </w:r>
    </w:p>
    <w:p w:rsidR="00B576BD" w:rsidRDefault="001917BA">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La Conciliación</w:t>
      </w:r>
      <w:r>
        <w:rPr>
          <w:rFonts w:ascii="Palatino Linotype" w:eastAsia="Palatino Linotype" w:hAnsi="Palatino Linotype" w:cs="Palatino Linotype"/>
          <w:i/>
        </w:rPr>
        <w:t xml:space="preserve"> de nómina, de la primera quincena de octubre de dos mil veintitrés;</w:t>
      </w:r>
    </w:p>
    <w:p w:rsidR="00B576BD" w:rsidRDefault="001917BA">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El Comprobante Bancario de la Dispersión de nómina, de la primera quincena de octubre de dos mil veintitrés</w:t>
      </w:r>
    </w:p>
    <w:p w:rsidR="00B576BD" w:rsidRDefault="001917BA">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El Estado de cuenta bancario que refleje el pago de nómina de la primera qu</w:t>
      </w:r>
      <w:r>
        <w:rPr>
          <w:rFonts w:ascii="Palatino Linotype" w:eastAsia="Palatino Linotype" w:hAnsi="Palatino Linotype" w:cs="Palatino Linotype"/>
          <w:i/>
        </w:rPr>
        <w:t>incena de octubre de dos mil veintitrés.</w:t>
      </w:r>
    </w:p>
    <w:p w:rsidR="00B576BD" w:rsidRDefault="001917BA">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Además, deberá proporcionar el Acuerdo de Clasificación donde el Comité de Transparencia, confirme la eliminación de los datos o información clasificada, en la versión pública, en términos del Considerando QUINTO, d</w:t>
      </w:r>
      <w:r>
        <w:rPr>
          <w:rFonts w:ascii="Palatino Linotype" w:eastAsia="Palatino Linotype" w:hAnsi="Palatino Linotype" w:cs="Palatino Linotype"/>
          <w:i/>
        </w:rPr>
        <w:t>e conformidad con los artículos 49, fracciones II y VIII, y 132, fracción II, de la Ley de Transparencia y Acceso a la Información Pública del Estado de México y Municipios.…”</w:t>
      </w:r>
    </w:p>
    <w:p w:rsidR="00B576BD" w:rsidRDefault="00B576BD">
      <w:pPr>
        <w:spacing w:before="240" w:after="240" w:line="276" w:lineRule="auto"/>
        <w:ind w:left="567" w:right="990"/>
        <w:jc w:val="both"/>
        <w:rPr>
          <w:rFonts w:ascii="Palatino Linotype" w:eastAsia="Palatino Linotype" w:hAnsi="Palatino Linotype" w:cs="Palatino Linotype"/>
          <w:i/>
        </w:rPr>
      </w:pPr>
    </w:p>
    <w:p w:rsidR="00B576BD" w:rsidRDefault="001917BA">
      <w:pPr>
        <w:spacing w:before="240" w:after="240" w:line="276" w:lineRule="auto"/>
        <w:ind w:right="99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II. Razones del Voto Particular.</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este orden de ideas, resulta importante señalar que coincido con los términos generales planteados en la resolución toda vez que si bien es cierto, la información relativa a las remuneraciones de servidores públicos adscritos al Ayuntamiento, es de cará</w:t>
      </w:r>
      <w:r>
        <w:rPr>
          <w:rFonts w:ascii="Palatino Linotype" w:eastAsia="Palatino Linotype" w:hAnsi="Palatino Linotype" w:cs="Palatino Linotype"/>
          <w:color w:val="000000"/>
          <w:sz w:val="24"/>
          <w:szCs w:val="24"/>
        </w:rPr>
        <w:t>cter público, pues involucra la prestación de servicios y ejercicio de recursos públicos; no obstante lo anterior, considero que dicha regla está sujeta a claro régimen de excepción, la cual concretamente se aprecia en el caso del personal que se encuentra</w:t>
      </w:r>
      <w:r>
        <w:rPr>
          <w:rFonts w:ascii="Palatino Linotype" w:eastAsia="Palatino Linotype" w:hAnsi="Palatino Linotype" w:cs="Palatino Linotype"/>
          <w:color w:val="000000"/>
          <w:sz w:val="24"/>
          <w:szCs w:val="24"/>
        </w:rPr>
        <w:t xml:space="preserve"> adscrito a instituciones de seguridad pública con funciones operativas en atención a los consideraciones que a continuación se exponen. </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Sobre este punto, debemos partir desde la máxima establecida en nuestro texto Constitucional Federal pues el artículo </w:t>
      </w:r>
      <w:r>
        <w:rPr>
          <w:rFonts w:ascii="Palatino Linotype" w:eastAsia="Palatino Linotype" w:hAnsi="Palatino Linotype" w:cs="Palatino Linotype"/>
          <w:color w:val="000000"/>
          <w:sz w:val="24"/>
          <w:szCs w:val="24"/>
        </w:rPr>
        <w:t xml:space="preserve">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4"/>
          <w:szCs w:val="24"/>
        </w:rPr>
        <w:t>los Municipios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cuyos fines son salvaguardar la vida, las libertades, la integridad y el patrimonio de las personas, a</w:t>
      </w:r>
      <w:r>
        <w:rPr>
          <w:rFonts w:ascii="Palatino Linotype" w:eastAsia="Palatino Linotype" w:hAnsi="Palatino Linotype" w:cs="Palatino Linotype"/>
          <w:b/>
          <w:color w:val="000000"/>
          <w:sz w:val="24"/>
          <w:szCs w:val="24"/>
        </w:rPr>
        <w:t>sí como contribuir a la generación y preservación del orden público y la paz social</w:t>
      </w:r>
      <w:r>
        <w:rPr>
          <w:rFonts w:ascii="Palatino Linotype" w:eastAsia="Palatino Linotype" w:hAnsi="Palatino Linotype" w:cs="Palatino Linotype"/>
          <w:color w:val="000000"/>
          <w:sz w:val="24"/>
          <w:szCs w:val="24"/>
        </w:rPr>
        <w:t xml:space="preserve">. </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señala que la actuación de las instituciones de seguridad pública se regirá por los principios de legalidad, objetividad, eficiencia, profesionalismo, honradez </w:t>
      </w:r>
      <w:r>
        <w:rPr>
          <w:rFonts w:ascii="Palatino Linotype" w:eastAsia="Palatino Linotype" w:hAnsi="Palatino Linotype" w:cs="Palatino Linotype"/>
          <w:color w:val="000000"/>
          <w:sz w:val="24"/>
          <w:szCs w:val="24"/>
        </w:rPr>
        <w:t>y respeto a los derechos humanos.</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Dicha circunstancia es replicada por la Ley de Seguridad del Estado de México en su artículo 1, fracciones II, III y V, las cuales señalan que dicho ordenamiento es de orden público, de interés social y de observancia gene</w:t>
      </w:r>
      <w:r>
        <w:rPr>
          <w:rFonts w:ascii="Palatino Linotype" w:eastAsia="Palatino Linotype" w:hAnsi="Palatino Linotype" w:cs="Palatino Linotype"/>
          <w:color w:val="000000"/>
          <w:sz w:val="24"/>
          <w:szCs w:val="24"/>
        </w:rPr>
        <w:t xml:space="preserve">ral en todo el territorio del </w:t>
      </w:r>
      <w:r>
        <w:rPr>
          <w:rFonts w:ascii="Palatino Linotype" w:eastAsia="Palatino Linotype" w:hAnsi="Palatino Linotype" w:cs="Palatino Linotype"/>
          <w:color w:val="000000"/>
          <w:sz w:val="24"/>
          <w:szCs w:val="24"/>
        </w:rPr>
        <w:lastRenderedPageBreak/>
        <w:t>Estado de México y tiene por objeto establecer las bases de coordinación del Estado y los Municipios con la Federación, las Entidades Federativas, Municipios y Alcaldías de la Ciudad de México; integrar el Sistema Estatal de S</w:t>
      </w:r>
      <w:r>
        <w:rPr>
          <w:rFonts w:ascii="Palatino Linotype" w:eastAsia="Palatino Linotype" w:hAnsi="Palatino Linotype" w:cs="Palatino Linotype"/>
          <w:color w:val="000000"/>
          <w:sz w:val="24"/>
          <w:szCs w:val="24"/>
        </w:rPr>
        <w:t>eguridad Pública, que a su vez contribuirá con el Sistema Nacional de Seguridad Pública; para la construcción de las bases para una plena seguridad ciudadana.</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suerte que con lo señalado hasta este punto se advierte que la finalidad de la función de </w:t>
      </w:r>
      <w:r>
        <w:rPr>
          <w:rFonts w:ascii="Palatino Linotype" w:eastAsia="Palatino Linotype" w:hAnsi="Palatino Linotype" w:cs="Palatino Linotype"/>
          <w:sz w:val="24"/>
          <w:szCs w:val="24"/>
        </w:rPr>
        <w:t>seguridad pública indudablemente tienen como eje central a la persona humana y, por ende, contribuyen al establecimiento de la seguridad ciudadana, la cual tiene por objeto proteger a las personas; asegurar el ejercicio de su ciudadanía, sus libertades y d</w:t>
      </w:r>
      <w:r>
        <w:rPr>
          <w:rFonts w:ascii="Palatino Linotype" w:eastAsia="Palatino Linotype" w:hAnsi="Palatino Linotype" w:cs="Palatino Linotype"/>
          <w:sz w:val="24"/>
          <w:szCs w:val="24"/>
        </w:rPr>
        <w:t>erechos fundamentales; establecer espacios de participación social corresponsable y armónica; propiciar la solución pacífica de los conflictos interpersonales y sociales; fortalecer a las instituciones, y propiciar condiciones durables que permitan a los c</w:t>
      </w:r>
      <w:r>
        <w:rPr>
          <w:rFonts w:ascii="Palatino Linotype" w:eastAsia="Palatino Linotype" w:hAnsi="Palatino Linotype" w:cs="Palatino Linotype"/>
          <w:sz w:val="24"/>
          <w:szCs w:val="24"/>
        </w:rPr>
        <w:t>iudadanos desarrollar sus capacidades, en un ambiente de paz y democracia.</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acreditado el objeto de la seguridad pública, así como los sujetos encargados de ejecutar las acciones para consumar esta función, podemos observar con claridad la importanc</w:t>
      </w:r>
      <w:r>
        <w:rPr>
          <w:rFonts w:ascii="Palatino Linotype" w:eastAsia="Palatino Linotype" w:hAnsi="Palatino Linotype" w:cs="Palatino Linotype"/>
          <w:sz w:val="24"/>
          <w:szCs w:val="24"/>
        </w:rPr>
        <w:t>ia de los elementos operativos que ejecutan estas acciones encaminadas a preservar el orden dentro de la dinámica social y podemos partir de este punto para determinar el riesgo de la divulgación de esta información y por ende, la procedencia de su clasifi</w:t>
      </w:r>
      <w:r>
        <w:rPr>
          <w:rFonts w:ascii="Palatino Linotype" w:eastAsia="Palatino Linotype" w:hAnsi="Palatino Linotype" w:cs="Palatino Linotype"/>
          <w:sz w:val="24"/>
          <w:szCs w:val="24"/>
        </w:rPr>
        <w:t xml:space="preserve">cación como información reservada. </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momento podemos vislumbrar que el artículo 81, fracción II de la Ley de Seguridad del Estado de México dispone de manera expresa que toda información </w:t>
      </w:r>
      <w:r>
        <w:rPr>
          <w:rFonts w:ascii="Palatino Linotype" w:eastAsia="Palatino Linotype" w:hAnsi="Palatino Linotype" w:cs="Palatino Linotype"/>
          <w:sz w:val="24"/>
          <w:szCs w:val="24"/>
        </w:rPr>
        <w:lastRenderedPageBreak/>
        <w:t>para la seguridad pública generada o en poder de Institucion</w:t>
      </w:r>
      <w:r>
        <w:rPr>
          <w:rFonts w:ascii="Palatino Linotype" w:eastAsia="Palatino Linotype" w:hAnsi="Palatino Linotype" w:cs="Palatino Linotype"/>
          <w:sz w:val="24"/>
          <w:szCs w:val="24"/>
        </w:rPr>
        <w:t>es de Seguridad Pública o de cualquier instancia del Sistema Estatal debe clasificarse, sirve de referencia la siguiente cita:</w:t>
      </w:r>
    </w:p>
    <w:p w:rsidR="00B576BD" w:rsidRDefault="001917BA">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w:t>
      </w:r>
      <w:r>
        <w:rPr>
          <w:rFonts w:ascii="Palatino Linotype" w:eastAsia="Palatino Linotype" w:hAnsi="Palatino Linotype" w:cs="Palatino Linotype"/>
          <w:i/>
        </w:rPr>
        <w:t>erior, esta información se considerará reservada en los casos siguientes:</w:t>
      </w:r>
    </w:p>
    <w:p w:rsidR="00B576BD" w:rsidRDefault="001917BA">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B576BD" w:rsidRDefault="001917BA">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rPr>
        <w:t xml:space="preserve">” </w:t>
      </w:r>
    </w:p>
    <w:p w:rsidR="00B576BD" w:rsidRDefault="00B576BD">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B576BD" w:rsidRDefault="001917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w:t>
      </w:r>
      <w:r>
        <w:rPr>
          <w:rFonts w:ascii="Palatino Linotype" w:eastAsia="Palatino Linotype" w:hAnsi="Palatino Linotype" w:cs="Palatino Linotype"/>
          <w:sz w:val="24"/>
          <w:szCs w:val="24"/>
        </w:rPr>
        <w:t>isposición normativa, la Ley General de Transparencia y Acceso a la Información Pública, en su artículo 113, fracción I señala que deberá reservarse la información que con su publicación se comprometa a la seguridad pública y cuente con un efecto demostrab</w:t>
      </w:r>
      <w:r>
        <w:rPr>
          <w:rFonts w:ascii="Palatino Linotype" w:eastAsia="Palatino Linotype" w:hAnsi="Palatino Linotype" w:cs="Palatino Linotype"/>
          <w:sz w:val="24"/>
          <w:szCs w:val="24"/>
        </w:rPr>
        <w:t xml:space="preserve">le, posteriormente el artículo 140 fracción I de la Ley de Transparencia Local replica esta circunstancia de reserva, que señalan: </w:t>
      </w:r>
    </w:p>
    <w:p w:rsidR="00B576BD" w:rsidRDefault="00B576BD">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B576BD" w:rsidRDefault="001917BA">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B576BD" w:rsidRDefault="001917BA">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B576BD" w:rsidRDefault="001917BA">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B576BD" w:rsidRDefault="001917BA">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B576BD" w:rsidRDefault="001917BA">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B576BD" w:rsidRDefault="001917BA">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sz w:val="24"/>
          <w:szCs w:val="24"/>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sz w:val="24"/>
          <w:szCs w:val="24"/>
        </w:rPr>
        <w:t>sguardar la vida, la salud, la integridad y el ejercicio de los derechos de las personas, así como para el mantenimiento del orden público.</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crucial señalar que estos Lineamientos señalan </w:t>
      </w:r>
      <w:r>
        <w:rPr>
          <w:rFonts w:ascii="Palatino Linotype" w:eastAsia="Palatino Linotype" w:hAnsi="Palatino Linotype" w:cs="Palatino Linotype"/>
          <w:b/>
          <w:sz w:val="24"/>
          <w:szCs w:val="24"/>
          <w:u w:val="single"/>
        </w:rPr>
        <w:t>que es susceptible de considerarse como reservada aquella que reve</w:t>
      </w:r>
      <w:r>
        <w:rPr>
          <w:rFonts w:ascii="Palatino Linotype" w:eastAsia="Palatino Linotype" w:hAnsi="Palatino Linotype" w:cs="Palatino Linotype"/>
          <w:b/>
          <w:sz w:val="24"/>
          <w:szCs w:val="24"/>
          <w:u w:val="single"/>
        </w:rPr>
        <w:t>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 información, sistemas de comunicaciones.</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Hasta este punto tenemos que los instrumento</w:t>
      </w:r>
      <w:r>
        <w:rPr>
          <w:rFonts w:ascii="Palatino Linotype" w:eastAsia="Palatino Linotype" w:hAnsi="Palatino Linotype" w:cs="Palatino Linotype"/>
          <w:sz w:val="24"/>
          <w:szCs w:val="24"/>
        </w:rPr>
        <w:t>s normativos que debemos observar en estricto sentido disponen puntualmente la reserva de información para los casos en los que se revele información que pueda ser empleada para conocer la capacidad de reacción, es decir, todo lo relativo a servidores públ</w:t>
      </w:r>
      <w:r>
        <w:rPr>
          <w:rFonts w:ascii="Palatino Linotype" w:eastAsia="Palatino Linotype" w:hAnsi="Palatino Linotype" w:cs="Palatino Linotype"/>
          <w:sz w:val="24"/>
          <w:szCs w:val="24"/>
        </w:rPr>
        <w:t xml:space="preserve">icos operativos que integran </w:t>
      </w:r>
      <w:r>
        <w:rPr>
          <w:rFonts w:ascii="Palatino Linotype" w:eastAsia="Palatino Linotype" w:hAnsi="Palatino Linotype" w:cs="Palatino Linotype"/>
          <w:sz w:val="24"/>
          <w:szCs w:val="24"/>
        </w:rPr>
        <w:lastRenderedPageBreak/>
        <w:t>las instituciones de seguridad pública, ya que su divulgación podría ser utilizada para actualizar o potenciar una amenaza para la seguridad pública de la sociedad; teniendo esto en cuenta y trasladando estas premisas al caso p</w:t>
      </w:r>
      <w:r>
        <w:rPr>
          <w:rFonts w:ascii="Palatino Linotype" w:eastAsia="Palatino Linotype" w:hAnsi="Palatino Linotype" w:cs="Palatino Linotype"/>
          <w:sz w:val="24"/>
          <w:szCs w:val="24"/>
        </w:rPr>
        <w:t>articular se estima que con la entrega de información de los servidores públicos con funciones operativas adscritos a instituciones de seguridad pública, revela información actualizada sobre el número de policías operativos en activo a la fecha de la solic</w:t>
      </w:r>
      <w:r>
        <w:rPr>
          <w:rFonts w:ascii="Palatino Linotype" w:eastAsia="Palatino Linotype" w:hAnsi="Palatino Linotype" w:cs="Palatino Linotype"/>
          <w:sz w:val="24"/>
          <w:szCs w:val="24"/>
        </w:rPr>
        <w:t>itud de información y en consecuencia su estado de fuerza vigente, lo cual no sólo contraviene lo dispuesto expresamente por las disposiciones previamente insertadas, sino que, además, pone en riesgo los valores jurídicos y los principios bajo los cuales d</w:t>
      </w:r>
      <w:r>
        <w:rPr>
          <w:rFonts w:ascii="Palatino Linotype" w:eastAsia="Palatino Linotype" w:hAnsi="Palatino Linotype" w:cs="Palatino Linotype"/>
          <w:sz w:val="24"/>
          <w:szCs w:val="24"/>
        </w:rPr>
        <w:t>e las instituciones de seguridad pública se debe regir como son la legalidad, objetividad, eficiencia, profesionalismo, honradez y respeto a los derechos humanos reconocidos en la Constitución General.</w:t>
      </w:r>
    </w:p>
    <w:p w:rsidR="00B576BD" w:rsidRDefault="001917BA">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w:t>
      </w:r>
      <w:r>
        <w:rPr>
          <w:rFonts w:ascii="Palatino Linotype" w:eastAsia="Palatino Linotype" w:hAnsi="Palatino Linotype" w:cs="Palatino Linotype"/>
          <w:sz w:val="24"/>
          <w:szCs w:val="24"/>
        </w:rPr>
        <w:t>de por dos circunstancias:</w:t>
      </w:r>
    </w:p>
    <w:p w:rsidR="00B576BD" w:rsidRDefault="001917BA">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sz w:val="24"/>
          <w:szCs w:val="24"/>
        </w:rPr>
        <w:t xml:space="preserve">pública, </w:t>
      </w:r>
      <w:r>
        <w:rPr>
          <w:rFonts w:ascii="Palatino Linotype" w:eastAsia="Palatino Linotype" w:hAnsi="Palatino Linotype" w:cs="Palatino Linotype"/>
          <w:sz w:val="24"/>
          <w:szCs w:val="24"/>
        </w:rPr>
        <w:t xml:space="preserve">en virtud de que: </w:t>
      </w:r>
    </w:p>
    <w:p w:rsidR="00B576BD" w:rsidRDefault="001917BA">
      <w:pPr>
        <w:spacing w:before="240" w:after="24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La información podría ser apr</w:t>
      </w:r>
      <w:r>
        <w:rPr>
          <w:rFonts w:ascii="Palatino Linotype" w:eastAsia="Palatino Linotype" w:hAnsi="Palatino Linotype" w:cs="Palatino Linotype"/>
          <w:sz w:val="24"/>
          <w:szCs w:val="24"/>
        </w:rPr>
        <w:t xml:space="preserve">ovechada por los grupos criminales para conocer la capacidad de reacción </w:t>
      </w:r>
    </w:p>
    <w:p w:rsidR="00B576BD" w:rsidRDefault="001917BA">
      <w:pPr>
        <w:spacing w:before="240" w:after="240" w:line="360" w:lineRule="auto"/>
        <w:ind w:left="567" w:right="-3"/>
        <w:jc w:val="both"/>
        <w:rPr>
          <w:rFonts w:ascii="Palatino Linotype" w:eastAsia="Palatino Linotype" w:hAnsi="Palatino Linotype" w:cs="Palatino Linotype"/>
          <w:sz w:val="24"/>
          <w:szCs w:val="24"/>
        </w:rPr>
      </w:pPr>
      <w:bookmarkStart w:id="3" w:name="_heading=h.1fob9te" w:colFirst="0" w:colLast="0"/>
      <w:bookmarkEnd w:id="3"/>
      <w:r>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rsidR="00B576BD" w:rsidRDefault="001917BA">
      <w:pPr>
        <w:spacing w:before="240" w:after="240" w:line="360" w:lineRule="auto"/>
        <w:ind w:left="284" w:right="-3"/>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sz w:val="24"/>
          <w:szCs w:val="24"/>
        </w:rPr>
        <w:lastRenderedPageBreak/>
        <w:t>2. Existe una rela</w:t>
      </w:r>
      <w:r>
        <w:rPr>
          <w:rFonts w:ascii="Palatino Linotype" w:eastAsia="Palatino Linotype" w:hAnsi="Palatino Linotype" w:cs="Palatino Linotype"/>
          <w:sz w:val="24"/>
          <w:szCs w:val="24"/>
        </w:rPr>
        <w:t xml:space="preserve">ción causal general entre la entrega de la información y la afectación a la seguridad pública, pues los grupos criminales estarían en posibilidad de obstaculizar o bloquear actividades encaminadas a preservar el orden dentro de la dinámica social. </w:t>
      </w:r>
    </w:p>
    <w:p w:rsidR="00B576BD" w:rsidRDefault="001917BA">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w:t>
      </w:r>
      <w:r>
        <w:rPr>
          <w:rFonts w:ascii="Palatino Linotype" w:eastAsia="Palatino Linotype" w:hAnsi="Palatino Linotype" w:cs="Palatino Linotype"/>
          <w:sz w:val="24"/>
          <w:szCs w:val="24"/>
        </w:rPr>
        <w:t xml:space="preserve">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rsidR="00B576BD" w:rsidRDefault="001917BA">
      <w:pPr>
        <w:spacing w:before="240" w:after="24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No pasa inadvertido para la suscrita que en los </w:t>
      </w:r>
      <w:r>
        <w:rPr>
          <w:rFonts w:ascii="Palatino Linotype" w:eastAsia="Palatino Linotype" w:hAnsi="Palatino Linotype" w:cs="Palatino Linotype"/>
          <w:sz w:val="24"/>
          <w:szCs w:val="24"/>
        </w:rPr>
        <w:t>casos en los que se publiciten diversas notas o documentos en los que se dé a conocer información estadística sobre el número de elementos de policía con los que cuentan los ayuntamientos, esta información no se encuentra actualizada, aunado a que no se ha</w:t>
      </w:r>
      <w:r>
        <w:rPr>
          <w:rFonts w:ascii="Palatino Linotype" w:eastAsia="Palatino Linotype" w:hAnsi="Palatino Linotype" w:cs="Palatino Linotype"/>
          <w:sz w:val="24"/>
          <w:szCs w:val="24"/>
        </w:rPr>
        <w:t>ce una distinción entre el número de personal operativo y administrativo, sin embargo, en el presente asunto, la Ponencia señala que para satisfacerse este punto, pudiera hacerse entrega de la plantilla de personal o el directorio, esto, testando los nombr</w:t>
      </w:r>
      <w:r>
        <w:rPr>
          <w:rFonts w:ascii="Palatino Linotype" w:eastAsia="Palatino Linotype" w:hAnsi="Palatino Linotype" w:cs="Palatino Linotype"/>
          <w:sz w:val="24"/>
          <w:szCs w:val="24"/>
        </w:rPr>
        <w:t xml:space="preserve">es de los elementos operativos. </w:t>
      </w:r>
    </w:p>
    <w:p w:rsidR="00B576BD" w:rsidRDefault="001917B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consecuencia, la información de los elementos operativos adscrito a instituciones de seguridad pública,  deben recibir un tratamiento de carácter excepcional, y esto es en razón de que,  son los responsables de procurar </w:t>
      </w:r>
      <w:r>
        <w:rPr>
          <w:rFonts w:ascii="Palatino Linotype" w:eastAsia="Palatino Linotype" w:hAnsi="Palatino Linotype" w:cs="Palatino Linotype"/>
          <w:color w:val="000000"/>
          <w:sz w:val="24"/>
          <w:szCs w:val="24"/>
        </w:rPr>
        <w:t>el orden, la estabilidad y la defensa de la sociedad a la que pertenecen, por lo que, se estima que al proporcionar documentales en las que se aprecie dicha información dicha información se revela el número de servidores públicos operativos con funciones d</w:t>
      </w:r>
      <w:r>
        <w:rPr>
          <w:rFonts w:ascii="Palatino Linotype" w:eastAsia="Palatino Linotype" w:hAnsi="Palatino Linotype" w:cs="Palatino Linotype"/>
          <w:color w:val="000000"/>
          <w:sz w:val="24"/>
          <w:szCs w:val="24"/>
        </w:rPr>
        <w:t xml:space="preserve">e seguridad pública </w:t>
      </w:r>
      <w:r>
        <w:rPr>
          <w:rFonts w:ascii="Palatino Linotype" w:eastAsia="Palatino Linotype" w:hAnsi="Palatino Linotype" w:cs="Palatino Linotype"/>
          <w:color w:val="000000"/>
          <w:sz w:val="24"/>
          <w:szCs w:val="24"/>
        </w:rPr>
        <w:lastRenderedPageBreak/>
        <w:t>activos en el Sujeto obligado; información con la que se da a conocer el estado de fuerza y la capacidad de reacción del órgano público.</w:t>
      </w:r>
    </w:p>
    <w:p w:rsidR="00B576BD" w:rsidRDefault="001917BA">
      <w:pPr>
        <w:spacing w:before="240" w:after="240" w:line="360" w:lineRule="auto"/>
        <w:jc w:val="both"/>
        <w:rPr>
          <w:rFonts w:ascii="Palatino Linotype" w:eastAsia="Palatino Linotype" w:hAnsi="Palatino Linotype" w:cs="Palatino Linotype"/>
          <w:sz w:val="24"/>
          <w:szCs w:val="24"/>
        </w:rPr>
      </w:pPr>
      <w:bookmarkStart w:id="4" w:name="_GoBack"/>
      <w:bookmarkEnd w:id="4"/>
      <w:r>
        <w:rPr>
          <w:rFonts w:ascii="Palatino Linotype" w:eastAsia="Palatino Linotype" w:hAnsi="Palatino Linotype" w:cs="Palatino Linotype"/>
          <w:sz w:val="24"/>
          <w:szCs w:val="24"/>
        </w:rPr>
        <w:t>Ahora bien, la suscrita considera que es de vital importancia señalar que para los casos en los qu</w:t>
      </w:r>
      <w:r>
        <w:rPr>
          <w:rFonts w:ascii="Palatino Linotype" w:eastAsia="Palatino Linotype" w:hAnsi="Palatino Linotype" w:cs="Palatino Linotype"/>
          <w:sz w:val="24"/>
          <w:szCs w:val="24"/>
        </w:rPr>
        <w:t>e los particulares deseen conocer las remuneraciones de los elementos operativos de las instituciones de seguridad pública, estas se pueden otorgar mediante el tabulador de sueldos, pues en este soporte se asientan los puestos funcionales y las remuneracio</w:t>
      </w:r>
      <w:r>
        <w:rPr>
          <w:rFonts w:ascii="Palatino Linotype" w:eastAsia="Palatino Linotype" w:hAnsi="Palatino Linotype" w:cs="Palatino Linotype"/>
          <w:sz w:val="24"/>
          <w:szCs w:val="24"/>
        </w:rPr>
        <w:t xml:space="preserve">nes, lo anterior encuentra sustento en el Instructivo </w:t>
      </w:r>
      <w:r>
        <w:rPr>
          <w:rFonts w:ascii="Palatino Linotype" w:eastAsia="Palatino Linotype" w:hAnsi="Palatino Linotype" w:cs="Palatino Linotype"/>
          <w:sz w:val="24"/>
          <w:szCs w:val="24"/>
        </w:rPr>
        <w:lastRenderedPageBreak/>
        <w:t xml:space="preserve">del módulo 4 para la entrega del informe trimestral 2023, en dicho documento obran </w:t>
      </w:r>
      <w:r w:rsidR="0050131F">
        <w:rPr>
          <w:noProof/>
        </w:rPr>
        <w:drawing>
          <wp:anchor distT="0" distB="0" distL="114300" distR="114300" simplePos="0" relativeHeight="251658240" behindDoc="0" locked="0" layoutInCell="1" hidden="0" allowOverlap="1">
            <wp:simplePos x="0" y="0"/>
            <wp:positionH relativeFrom="column">
              <wp:posOffset>-74295</wp:posOffset>
            </wp:positionH>
            <wp:positionV relativeFrom="paragraph">
              <wp:posOffset>533400</wp:posOffset>
            </wp:positionV>
            <wp:extent cx="5524500" cy="5334000"/>
            <wp:effectExtent l="0" t="0" r="0" b="0"/>
            <wp:wrapTopAndBottom distT="0" dist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24500" cy="5334000"/>
                    </a:xfrm>
                    <a:prstGeom prst="rect">
                      <a:avLst/>
                    </a:prstGeom>
                    <a:ln/>
                  </pic:spPr>
                </pic:pic>
              </a:graphicData>
            </a:graphic>
          </wp:anchor>
        </w:drawing>
      </w:r>
      <w:r>
        <w:rPr>
          <w:rFonts w:ascii="Palatino Linotype" w:eastAsia="Palatino Linotype" w:hAnsi="Palatino Linotype" w:cs="Palatino Linotype"/>
          <w:sz w:val="24"/>
          <w:szCs w:val="24"/>
        </w:rPr>
        <w:t>los siguientes elementos:</w:t>
      </w:r>
    </w:p>
    <w:p w:rsidR="00B576BD" w:rsidRDefault="00B576BD">
      <w:pPr>
        <w:spacing w:after="0" w:line="360" w:lineRule="auto"/>
        <w:jc w:val="both"/>
        <w:rPr>
          <w:rFonts w:ascii="Palatino Linotype" w:eastAsia="Palatino Linotype" w:hAnsi="Palatino Linotype" w:cs="Palatino Linotype"/>
          <w:sz w:val="24"/>
          <w:szCs w:val="24"/>
        </w:rPr>
      </w:pP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r>
        <w:rPr>
          <w:noProof/>
        </w:rPr>
        <w:lastRenderedPageBreak/>
        <w:drawing>
          <wp:anchor distT="0" distB="0" distL="114300" distR="114300" simplePos="0" relativeHeight="251660288" behindDoc="0" locked="0" layoutInCell="1" hidden="0" allowOverlap="1" wp14:anchorId="1C0F6BBD" wp14:editId="16A4F0D4">
            <wp:simplePos x="0" y="0"/>
            <wp:positionH relativeFrom="margin">
              <wp:align>right</wp:align>
            </wp:positionH>
            <wp:positionV relativeFrom="paragraph">
              <wp:posOffset>371475</wp:posOffset>
            </wp:positionV>
            <wp:extent cx="5029200" cy="6029325"/>
            <wp:effectExtent l="0" t="0" r="0" b="9525"/>
            <wp:wrapTopAndBottom distT="0" dist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29200" cy="6029325"/>
                    </a:xfrm>
                    <a:prstGeom prst="rect">
                      <a:avLst/>
                    </a:prstGeom>
                    <a:ln/>
                  </pic:spPr>
                </pic:pic>
              </a:graphicData>
            </a:graphic>
          </wp:anchor>
        </w:drawing>
      </w: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p>
    <w:p w:rsidR="0050131F" w:rsidRDefault="0050131F">
      <w:pPr>
        <w:spacing w:after="0" w:line="360" w:lineRule="auto"/>
        <w:ind w:right="139"/>
        <w:jc w:val="both"/>
        <w:rPr>
          <w:rFonts w:ascii="Palatino Linotype" w:eastAsia="Palatino Linotype" w:hAnsi="Palatino Linotype" w:cs="Palatino Linotype"/>
          <w:sz w:val="24"/>
          <w:szCs w:val="24"/>
          <w:highlight w:val="green"/>
        </w:rPr>
      </w:pPr>
    </w:p>
    <w:p w:rsidR="00B576BD" w:rsidRPr="0050131F" w:rsidRDefault="001917BA">
      <w:pPr>
        <w:spacing w:after="0" w:line="360" w:lineRule="auto"/>
        <w:ind w:right="139"/>
        <w:jc w:val="both"/>
        <w:rPr>
          <w:rFonts w:ascii="Palatino Linotype" w:eastAsia="Palatino Linotype" w:hAnsi="Palatino Linotype" w:cs="Palatino Linotype"/>
          <w:sz w:val="24"/>
          <w:szCs w:val="24"/>
        </w:rPr>
      </w:pPr>
      <w:r w:rsidRPr="0050131F">
        <w:rPr>
          <w:rFonts w:ascii="Palatino Linotype" w:eastAsia="Palatino Linotype" w:hAnsi="Palatino Linotype" w:cs="Palatino Linotype"/>
          <w:sz w:val="24"/>
          <w:szCs w:val="24"/>
        </w:rPr>
        <w:t>De manera que con la consulta de este documento podrá visualizarse con claridad el cargo y la remuneración sin conocer el estado de fuerza de las entidades públicas y así no se restringe el derecho de acceso a la información de los particulares</w:t>
      </w:r>
      <w:r w:rsidR="0050131F">
        <w:rPr>
          <w:rFonts w:ascii="Palatino Linotype" w:eastAsia="Palatino Linotype" w:hAnsi="Palatino Linotype" w:cs="Palatino Linotype"/>
          <w:sz w:val="24"/>
          <w:szCs w:val="24"/>
        </w:rPr>
        <w:t>.</w:t>
      </w:r>
    </w:p>
    <w:p w:rsidR="00B576BD" w:rsidRDefault="001917BA">
      <w:pPr>
        <w:spacing w:before="240" w:after="240" w:line="360" w:lineRule="auto"/>
        <w:ind w:right="139"/>
        <w:jc w:val="both"/>
        <w:rPr>
          <w:rFonts w:ascii="Palatino Linotype" w:eastAsia="Palatino Linotype" w:hAnsi="Palatino Linotype" w:cs="Palatino Linotype"/>
          <w:sz w:val="24"/>
          <w:szCs w:val="24"/>
        </w:rPr>
        <w:sectPr w:rsidR="00B576BD">
          <w:headerReference w:type="even" r:id="rId10"/>
          <w:headerReference w:type="default" r:id="rId11"/>
          <w:footerReference w:type="default" r:id="rId12"/>
          <w:pgSz w:w="12240" w:h="15840"/>
          <w:pgMar w:top="1985" w:right="1701" w:bottom="2268" w:left="1701" w:header="709" w:footer="584" w:gutter="0"/>
          <w:pgNumType w:start="1"/>
          <w:cols w:space="720"/>
        </w:sectPr>
      </w:pPr>
      <w:bookmarkStart w:id="5" w:name="_heading=h.3znysh7" w:colFirst="0" w:colLast="0"/>
      <w:bookmarkEnd w:id="5"/>
      <w:r>
        <w:rPr>
          <w:rFonts w:ascii="Palatino Linotype" w:eastAsia="Palatino Linotype" w:hAnsi="Palatino Linotype" w:cs="Palatino Linotype"/>
          <w:sz w:val="24"/>
          <w:szCs w:val="24"/>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sz w:val="24"/>
          <w:szCs w:val="24"/>
        </w:rPr>
        <w:t xml:space="preserve">d de reacción de las instituciones encargadas de la seguridad pública y </w:t>
      </w:r>
      <w:r>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sz w:val="24"/>
          <w:szCs w:val="24"/>
        </w:rPr>
        <w:t>realizar actos para amenazar, inhibir, extorsionar o corromper la</w:t>
      </w:r>
      <w:r>
        <w:rPr>
          <w:rFonts w:ascii="Palatino Linotype" w:eastAsia="Palatino Linotype" w:hAnsi="Palatino Linotype" w:cs="Palatino Linotype"/>
          <w:sz w:val="24"/>
          <w:szCs w:val="24"/>
        </w:rPr>
        <w:t>s funciones del personal operativo, lo que causaría una vulneración a la Seguridad Municipal, por lo tanto la suscrita no comparte las consideraciones vertidas en la resolución respecto del tratamiento que se le da a la información relativa a elementos ope</w:t>
      </w:r>
      <w:r>
        <w:rPr>
          <w:rFonts w:ascii="Palatino Linotype" w:eastAsia="Palatino Linotype" w:hAnsi="Palatino Linotype" w:cs="Palatino Linotype"/>
          <w:sz w:val="24"/>
          <w:szCs w:val="24"/>
        </w:rPr>
        <w:t xml:space="preserve">rativos de instituciones de seguridad pública, y  por ende formula el presente voto particular. </w:t>
      </w:r>
    </w:p>
    <w:p w:rsidR="00B576BD" w:rsidRDefault="00B576BD">
      <w:pPr>
        <w:spacing w:before="240" w:after="240" w:line="360" w:lineRule="auto"/>
        <w:ind w:right="139"/>
        <w:jc w:val="both"/>
        <w:rPr>
          <w:rFonts w:ascii="Palatino Linotype" w:eastAsia="Palatino Linotype" w:hAnsi="Palatino Linotype" w:cs="Palatino Linotype"/>
          <w:sz w:val="24"/>
          <w:szCs w:val="24"/>
        </w:rPr>
      </w:pPr>
      <w:bookmarkStart w:id="6" w:name="_heading=h.tyjcwt" w:colFirst="0" w:colLast="0"/>
      <w:bookmarkEnd w:id="6"/>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p w:rsidR="00B576BD" w:rsidRDefault="00B576BD">
      <w:pPr>
        <w:spacing w:before="240" w:after="240" w:line="360" w:lineRule="auto"/>
        <w:ind w:right="139"/>
        <w:jc w:val="both"/>
        <w:rPr>
          <w:rFonts w:ascii="Palatino Linotype" w:eastAsia="Palatino Linotype" w:hAnsi="Palatino Linotype" w:cs="Palatino Linotype"/>
          <w:sz w:val="24"/>
          <w:szCs w:val="24"/>
        </w:rPr>
      </w:pPr>
    </w:p>
    <w:sectPr w:rsidR="00B576BD">
      <w:headerReference w:type="default" r:id="rId13"/>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17BA">
      <w:pPr>
        <w:spacing w:after="0" w:line="240" w:lineRule="auto"/>
      </w:pPr>
      <w:r>
        <w:separator/>
      </w:r>
    </w:p>
  </w:endnote>
  <w:endnote w:type="continuationSeparator" w:id="0">
    <w:p w:rsidR="00000000" w:rsidRDefault="0019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D" w:rsidRDefault="001917B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0131F">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0131F">
      <w:rPr>
        <w:rFonts w:ascii="Arial" w:eastAsia="Arial" w:hAnsi="Arial" w:cs="Arial"/>
        <w:b/>
        <w:color w:val="000000"/>
        <w:sz w:val="20"/>
        <w:szCs w:val="20"/>
      </w:rPr>
      <w:fldChar w:fldCharType="separate"/>
    </w:r>
    <w:r>
      <w:rPr>
        <w:rFonts w:ascii="Arial" w:eastAsia="Arial" w:hAnsi="Arial" w:cs="Arial"/>
        <w:b/>
        <w:noProof/>
        <w:color w:val="000000"/>
        <w:sz w:val="20"/>
        <w:szCs w:val="20"/>
      </w:rPr>
      <w:t>14</w:t>
    </w:r>
    <w:r>
      <w:rPr>
        <w:rFonts w:ascii="Arial" w:eastAsia="Arial" w:hAnsi="Arial" w:cs="Arial"/>
        <w:b/>
        <w:color w:val="000000"/>
        <w:sz w:val="20"/>
        <w:szCs w:val="20"/>
      </w:rPr>
      <w:fldChar w:fldCharType="end"/>
    </w:r>
  </w:p>
  <w:p w:rsidR="00B576BD" w:rsidRDefault="00B576BD">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17BA">
      <w:pPr>
        <w:spacing w:after="0" w:line="240" w:lineRule="auto"/>
      </w:pPr>
      <w:r>
        <w:separator/>
      </w:r>
    </w:p>
  </w:footnote>
  <w:footnote w:type="continuationSeparator" w:id="0">
    <w:p w:rsidR="00000000" w:rsidRDefault="00191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D" w:rsidRDefault="001917B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20672596" cy="120672596"/>
              <wp:effectExtent l="0" t="0" r="0" b="0"/>
              <wp:wrapNone/>
              <wp:docPr id="19"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B576BD" w:rsidRDefault="001917BA">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20672596" cy="120672596"/>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0672596" cy="120672596"/>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D" w:rsidRDefault="001917B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-666742</wp:posOffset>
          </wp:positionH>
          <wp:positionV relativeFrom="paragraph">
            <wp:posOffset>-366387</wp:posOffset>
          </wp:positionV>
          <wp:extent cx="7510628" cy="9883775"/>
          <wp:effectExtent l="0" t="0" r="0" b="0"/>
          <wp:wrapNone/>
          <wp:docPr id="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B576BD" w:rsidRDefault="00B576B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B576BD" w:rsidRDefault="00B576B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B576BD" w:rsidRDefault="001917B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B576BD" w:rsidRDefault="001917B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RECURSOS DE REVISIÓN 00141/INFOEM/IP/RR/2024</w:t>
    </w:r>
  </w:p>
  <w:p w:rsidR="00B576BD" w:rsidRDefault="00B576B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BD" w:rsidRDefault="001917B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simplePos x="0" y="0"/>
          <wp:positionH relativeFrom="column">
            <wp:posOffset>-1341748</wp:posOffset>
          </wp:positionH>
          <wp:positionV relativeFrom="paragraph">
            <wp:posOffset>-453383</wp:posOffset>
          </wp:positionV>
          <wp:extent cx="7510145" cy="9883775"/>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B576BD" w:rsidRDefault="001917B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B576BD" w:rsidRDefault="001917B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RECURSOS DE REVISIÓN 07133/INFOEM/IP/RR/2023 Y ACUMULADO.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43944"/>
    <w:multiLevelType w:val="multilevel"/>
    <w:tmpl w:val="2A321F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BD"/>
    <w:rsid w:val="001917BA"/>
    <w:rsid w:val="0050131F"/>
    <w:rsid w:val="00B57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8DA82-9954-4276-806D-DDC1D29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56C2D"/>
    <w:pPr>
      <w:ind w:left="720"/>
      <w:contextualSpacing/>
    </w:pPr>
  </w:style>
  <w:style w:type="paragraph" w:styleId="Piedepgina">
    <w:name w:val="footer"/>
    <w:basedOn w:val="Normal"/>
    <w:link w:val="PiedepginaCar"/>
    <w:uiPriority w:val="99"/>
    <w:unhideWhenUsed/>
    <w:rsid w:val="00E94D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D43"/>
  </w:style>
  <w:style w:type="paragraph" w:styleId="Encabezado">
    <w:name w:val="header"/>
    <w:basedOn w:val="Normal"/>
    <w:link w:val="EncabezadoCar"/>
    <w:uiPriority w:val="99"/>
    <w:unhideWhenUsed/>
    <w:rsid w:val="00E94D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D43"/>
  </w:style>
  <w:style w:type="character" w:styleId="Hipervnculo">
    <w:name w:val="Hyperlink"/>
    <w:basedOn w:val="Fuentedeprrafopredeter"/>
    <w:uiPriority w:val="99"/>
    <w:unhideWhenUsed/>
    <w:rsid w:val="00E94D43"/>
    <w:rPr>
      <w:color w:val="0000FF" w:themeColor="hyperlink"/>
      <w:u w:val="single"/>
    </w:rPr>
  </w:style>
  <w:style w:type="character" w:styleId="Hipervnculovisitado">
    <w:name w:val="FollowedHyperlink"/>
    <w:basedOn w:val="Fuentedeprrafopredeter"/>
    <w:uiPriority w:val="99"/>
    <w:semiHidden/>
    <w:unhideWhenUsed/>
    <w:rsid w:val="00E94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56Pxx9B5pm7WErsA7x0iHL3GQ==">CgMxLjAyCGguZ2pkZ3hzMgloLjMwajB6bGwyCWguMmV0OTJwMDIJaC4xZm9iOXRlMgloLjN6bnlzaDcyCGgudHlqY3d0OAByITFMcFdUaDRoR1Awc01UN3lxdFdXdktUQnAtSDh2UXl5LQ==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2390</Words>
  <Characters>13147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2024-02-26T19:00:00Z</cp:lastPrinted>
  <dcterms:created xsi:type="dcterms:W3CDTF">2024-02-26T19:00:00Z</dcterms:created>
  <dcterms:modified xsi:type="dcterms:W3CDTF">2024-02-26T19:00:00Z</dcterms:modified>
</cp:coreProperties>
</file>