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2E91F1B1"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0353B6">
        <w:rPr>
          <w:rFonts w:ascii="Palatino Linotype" w:hAnsi="Palatino Linotype"/>
          <w:b/>
          <w:sz w:val="23"/>
          <w:szCs w:val="23"/>
        </w:rPr>
        <w:t>DÉCIMA PRIMERA</w:t>
      </w:r>
      <w:r w:rsidR="0019061A" w:rsidRPr="008546EB">
        <w:rPr>
          <w:rFonts w:ascii="Palatino Linotype" w:hAnsi="Palatino Linotype"/>
          <w:b/>
          <w:sz w:val="23"/>
          <w:szCs w:val="23"/>
        </w:rPr>
        <w:t xml:space="preserve"> SESIÓN ORDINARIA DEL PLENO DE FECHA </w:t>
      </w:r>
      <w:r w:rsidR="000353B6">
        <w:rPr>
          <w:rFonts w:ascii="Palatino Linotype" w:hAnsi="Palatino Linotype"/>
          <w:b/>
          <w:sz w:val="23"/>
          <w:szCs w:val="23"/>
        </w:rPr>
        <w:t>TRES DE ABRIL</w:t>
      </w:r>
      <w:r w:rsidR="008E005D" w:rsidRPr="008546EB">
        <w:rPr>
          <w:rFonts w:ascii="Palatino Linotype" w:hAnsi="Palatino Linotype"/>
          <w:b/>
          <w:sz w:val="23"/>
          <w:szCs w:val="23"/>
        </w:rPr>
        <w:t xml:space="preserve"> DE </w:t>
      </w:r>
      <w:r w:rsidR="0019061A" w:rsidRPr="008546EB">
        <w:rPr>
          <w:rFonts w:ascii="Palatino Linotype" w:hAnsi="Palatino Linotype"/>
          <w:b/>
          <w:sz w:val="23"/>
          <w:szCs w:val="23"/>
        </w:rPr>
        <w:t>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0353B6">
        <w:rPr>
          <w:rFonts w:ascii="Palatino Linotype" w:hAnsi="Palatino Linotype"/>
          <w:b/>
          <w:sz w:val="23"/>
          <w:szCs w:val="23"/>
        </w:rPr>
        <w:t>05264</w:t>
      </w:r>
      <w:r w:rsidR="00E047E0" w:rsidRPr="00E047E0">
        <w:rPr>
          <w:rFonts w:ascii="Palatino Linotype" w:hAnsi="Palatino Linotype"/>
          <w:b/>
          <w:sz w:val="23"/>
          <w:szCs w:val="23"/>
        </w:rPr>
        <w:t>/INFOEM/IP/RR/2023</w:t>
      </w:r>
      <w:r w:rsidR="000353B6">
        <w:rPr>
          <w:rFonts w:ascii="Palatino Linotype" w:hAnsi="Palatino Linotype"/>
          <w:b/>
          <w:sz w:val="23"/>
          <w:szCs w:val="23"/>
        </w:rPr>
        <w:t xml:space="preserve"> Y SUS ACUMULADOS </w:t>
      </w:r>
      <w:r w:rsidR="000353B6" w:rsidRPr="000353B6">
        <w:rPr>
          <w:rFonts w:ascii="Palatino Linotype" w:hAnsi="Palatino Linotype"/>
          <w:b/>
          <w:sz w:val="23"/>
          <w:szCs w:val="23"/>
        </w:rPr>
        <w:t>05266/INFOEM/IP/RR/2023, 05267/INFOEM/IP/RR/2023, 05268/INFOEM/IP/RR/2023, 05269/INFOEM/IP/RR/2023,  05270/INFOEM/IP/RR/2023, 05271/INFOEM/IP/RR/2023, 05272/INFOEM/IP/RR/2023, 05273/INFOEM/IP/RR/2023, 05274/INFOEM/IP/RR/2023, 05275/INFOEM/IP/RR/2023, 05276/INFOEM/IP/RR/2023, 05277/INFOEM/IP/RR/2023, 05281/INFOEM/IP/RR/2023, 05282/INFOEM/IP/RR/2023,  05283/INFOEM/IP/RR/2023, 05284/INFOEM/IP/RR/2023, 05286/INFOEM/IP/RR/2023, 05287/INFOEM/IP/RR/2023,  05288/INFOEM/IP/RR/2023, 05290/INFOEM/IP/RR/2023, 05291/INFOEM/IP/RR/2023, 05292/INFOEM/IP/RR/2023,  05293/INFOEM/IP/RR/2023, 05294/INFOEM/IP/RR/2023, 05295/INFOEM/IP/RR/2023, 05296/INFOEM/IP/RR/2023, 05297/INFOEM/IP/RR/2023, 05298/INFOEM/IP/RR/2023, 05299/INFOEM/IP/RR/2023, 05300/INFOEM/IP/RR/2023,  05301/INFOEM/IP/RR/2023, 05302/INFOEM/IP/RR/2023, 05304/INFOEM/IP/RR/2023, 05305/INFOEM/IP/R</w:t>
      </w:r>
      <w:r w:rsidR="000353B6">
        <w:rPr>
          <w:rFonts w:ascii="Palatino Linotype" w:hAnsi="Palatino Linotype"/>
          <w:b/>
          <w:sz w:val="23"/>
          <w:szCs w:val="23"/>
        </w:rPr>
        <w:t>R/2023, 05306/INFOEM/IP/RR/2023 Y</w:t>
      </w:r>
      <w:r w:rsidR="000353B6" w:rsidRPr="000353B6">
        <w:rPr>
          <w:rFonts w:ascii="Palatino Linotype" w:hAnsi="Palatino Linotype"/>
          <w:b/>
          <w:sz w:val="23"/>
          <w:szCs w:val="23"/>
        </w:rPr>
        <w:t xml:space="preserve"> 05307/INFOEM/IP/RR/2023</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609CD3D0"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w:t>
      </w:r>
      <w:r w:rsidRPr="008546EB">
        <w:rPr>
          <w:rFonts w:ascii="Palatino Linotype" w:hAnsi="Palatino Linotype"/>
          <w:sz w:val="23"/>
          <w:szCs w:val="23"/>
        </w:rPr>
        <w:lastRenderedPageBreak/>
        <w:t xml:space="preserve">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0353B6">
        <w:rPr>
          <w:rFonts w:ascii="Palatino Linotype" w:hAnsi="Palatino Linotype"/>
          <w:b/>
          <w:sz w:val="23"/>
          <w:szCs w:val="23"/>
        </w:rPr>
        <w:t>05264</w:t>
      </w:r>
      <w:r w:rsidR="00E047E0" w:rsidRPr="00E047E0">
        <w:rPr>
          <w:rFonts w:ascii="Palatino Linotype" w:hAnsi="Palatino Linotype"/>
          <w:b/>
          <w:sz w:val="23"/>
          <w:szCs w:val="23"/>
        </w:rPr>
        <w:t>/INFOEM/IP/RR/2023</w:t>
      </w:r>
      <w:r w:rsidR="000353B6">
        <w:rPr>
          <w:rFonts w:ascii="Palatino Linotype" w:hAnsi="Palatino Linotype"/>
          <w:b/>
          <w:sz w:val="23"/>
          <w:szCs w:val="23"/>
        </w:rPr>
        <w:t xml:space="preserve"> y acumulados</w:t>
      </w:r>
      <w:r w:rsidRPr="008546EB">
        <w:rPr>
          <w:rFonts w:ascii="Palatino Linotype" w:hAnsi="Palatino Linotype"/>
          <w:sz w:val="23"/>
          <w:szCs w:val="23"/>
        </w:rPr>
        <w:t xml:space="preserve">, pronunciada por el Pleno de este Instituto ante el proyecto presentado por </w:t>
      </w:r>
      <w:r w:rsidR="00D65428">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E047E0">
        <w:rPr>
          <w:rFonts w:ascii="Palatino Linotype" w:hAnsi="Palatino Linotype"/>
          <w:b/>
          <w:sz w:val="23"/>
          <w:szCs w:val="23"/>
        </w:rPr>
        <w:t>o</w:t>
      </w:r>
      <w:r w:rsidRPr="008546EB">
        <w:rPr>
          <w:rFonts w:ascii="Palatino Linotype" w:hAnsi="Palatino Linotype"/>
          <w:b/>
          <w:sz w:val="23"/>
          <w:szCs w:val="23"/>
        </w:rPr>
        <w:t xml:space="preserve"> </w:t>
      </w:r>
      <w:r w:rsidR="00D65428">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5EC339DF" w14:textId="5376E67B" w:rsidR="00B835E7" w:rsidRDefault="00846F0C" w:rsidP="00A62EE1">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D65428" w:rsidRPr="00D65428">
        <w:rPr>
          <w:rFonts w:ascii="Palatino Linotype" w:hAnsi="Palatino Linotype"/>
          <w:b/>
          <w:sz w:val="23"/>
          <w:szCs w:val="23"/>
        </w:rPr>
        <w:t xml:space="preserve">Ayuntamiento de </w:t>
      </w:r>
      <w:r w:rsidR="000353B6" w:rsidRPr="000353B6">
        <w:rPr>
          <w:rFonts w:ascii="Palatino Linotype" w:hAnsi="Palatino Linotype"/>
          <w:b/>
          <w:sz w:val="23"/>
          <w:szCs w:val="23"/>
        </w:rPr>
        <w:t>Zinacantepec</w:t>
      </w:r>
      <w:r w:rsidR="00B835E7">
        <w:rPr>
          <w:rFonts w:ascii="Palatino Linotype" w:hAnsi="Palatino Linotype"/>
          <w:sz w:val="23"/>
          <w:szCs w:val="23"/>
        </w:rPr>
        <w:t xml:space="preserve"> </w:t>
      </w:r>
      <w:r w:rsidR="00235E50">
        <w:rPr>
          <w:rFonts w:ascii="Palatino Linotype" w:hAnsi="Palatino Linotype"/>
          <w:sz w:val="23"/>
          <w:szCs w:val="23"/>
        </w:rPr>
        <w:t xml:space="preserve">consistente en; </w:t>
      </w:r>
      <w:proofErr w:type="spellStart"/>
      <w:r w:rsidR="000353B6">
        <w:rPr>
          <w:rFonts w:ascii="Palatino Linotype" w:hAnsi="Palatino Linotype"/>
          <w:sz w:val="23"/>
          <w:szCs w:val="23"/>
        </w:rPr>
        <w:t>c</w:t>
      </w:r>
      <w:r w:rsidR="000353B6" w:rsidRPr="000353B6">
        <w:rPr>
          <w:rFonts w:ascii="Palatino Linotype" w:hAnsi="Palatino Linotype"/>
          <w:sz w:val="23"/>
          <w:szCs w:val="23"/>
        </w:rPr>
        <w:t>urriculu</w:t>
      </w:r>
      <w:r w:rsidR="000353B6">
        <w:rPr>
          <w:rFonts w:ascii="Palatino Linotype" w:hAnsi="Palatino Linotype"/>
          <w:sz w:val="23"/>
          <w:szCs w:val="23"/>
        </w:rPr>
        <w:t>m</w:t>
      </w:r>
      <w:proofErr w:type="spellEnd"/>
      <w:r w:rsidR="000353B6">
        <w:rPr>
          <w:rFonts w:ascii="Palatino Linotype" w:hAnsi="Palatino Linotype"/>
          <w:sz w:val="23"/>
          <w:szCs w:val="23"/>
        </w:rPr>
        <w:t xml:space="preserve"> vitae y/o solicitud de empleo, r</w:t>
      </w:r>
      <w:r w:rsidR="000353B6" w:rsidRPr="000353B6">
        <w:rPr>
          <w:rFonts w:ascii="Palatino Linotype" w:hAnsi="Palatino Linotype"/>
          <w:sz w:val="23"/>
          <w:szCs w:val="23"/>
        </w:rPr>
        <w:t>ecibos de nómina de la primera y segunda quincena de abril, mayo y junio, así como la pri</w:t>
      </w:r>
      <w:r w:rsidR="000353B6">
        <w:rPr>
          <w:rFonts w:ascii="Palatino Linotype" w:hAnsi="Palatino Linotype"/>
          <w:sz w:val="23"/>
          <w:szCs w:val="23"/>
        </w:rPr>
        <w:t xml:space="preserve">mera quincena de julio, de 2023, comprobante de domicilio, </w:t>
      </w:r>
      <w:r w:rsidR="00A62EE1" w:rsidRPr="00A62EE1">
        <w:rPr>
          <w:rFonts w:ascii="Palatino Linotype" w:hAnsi="Palatino Linotype"/>
          <w:b/>
          <w:sz w:val="23"/>
          <w:szCs w:val="23"/>
          <w:u w:val="single"/>
        </w:rPr>
        <w:t>documento que acredite su nivel máximo de estudios</w:t>
      </w:r>
      <w:r w:rsidR="00A62EE1">
        <w:rPr>
          <w:rFonts w:ascii="Palatino Linotype" w:hAnsi="Palatino Linotype"/>
          <w:sz w:val="23"/>
          <w:szCs w:val="23"/>
        </w:rPr>
        <w:t>, c</w:t>
      </w:r>
      <w:r w:rsidR="00A62EE1" w:rsidRPr="00A62EE1">
        <w:rPr>
          <w:rFonts w:ascii="Palatino Linotype" w:hAnsi="Palatino Linotype"/>
          <w:sz w:val="23"/>
          <w:szCs w:val="23"/>
        </w:rPr>
        <w:t>erti</w:t>
      </w:r>
      <w:r w:rsidR="00A62EE1">
        <w:rPr>
          <w:rFonts w:ascii="Palatino Linotype" w:hAnsi="Palatino Linotype"/>
          <w:sz w:val="23"/>
          <w:szCs w:val="23"/>
        </w:rPr>
        <w:t>ficación de competencia laboral, c</w:t>
      </w:r>
      <w:r w:rsidR="00A62EE1" w:rsidRPr="00A62EE1">
        <w:rPr>
          <w:rFonts w:ascii="Palatino Linotype" w:hAnsi="Palatino Linotype"/>
          <w:sz w:val="23"/>
          <w:szCs w:val="23"/>
        </w:rPr>
        <w:t>omprobantes de cursos que</w:t>
      </w:r>
      <w:r w:rsidR="00A62EE1">
        <w:rPr>
          <w:rFonts w:ascii="Palatino Linotype" w:hAnsi="Palatino Linotype"/>
          <w:sz w:val="23"/>
          <w:szCs w:val="23"/>
        </w:rPr>
        <w:t xml:space="preserve"> se hayan tomado en 2022 y 2023, alta en el ISSEMyM, f</w:t>
      </w:r>
      <w:r w:rsidR="00A62EE1" w:rsidRPr="00A62EE1">
        <w:rPr>
          <w:rFonts w:ascii="Palatino Linotype" w:hAnsi="Palatino Linotype"/>
          <w:sz w:val="23"/>
          <w:szCs w:val="23"/>
        </w:rPr>
        <w:t>orma</w:t>
      </w:r>
      <w:r w:rsidR="00A62EE1">
        <w:rPr>
          <w:rFonts w:ascii="Palatino Linotype" w:hAnsi="Palatino Linotype"/>
          <w:sz w:val="23"/>
          <w:szCs w:val="23"/>
        </w:rPr>
        <w:t>to de vacaciones de 2022 y 2023 y el r</w:t>
      </w:r>
      <w:r w:rsidR="00A62EE1" w:rsidRPr="00A62EE1">
        <w:rPr>
          <w:rFonts w:ascii="Palatino Linotype" w:hAnsi="Palatino Linotype"/>
          <w:sz w:val="23"/>
          <w:szCs w:val="23"/>
        </w:rPr>
        <w:t xml:space="preserve">egistro de asistencia en el reloj </w:t>
      </w:r>
      <w:r w:rsidR="00A62EE1">
        <w:rPr>
          <w:rFonts w:ascii="Palatino Linotype" w:hAnsi="Palatino Linotype"/>
          <w:sz w:val="23"/>
          <w:szCs w:val="23"/>
        </w:rPr>
        <w:t>che</w:t>
      </w:r>
      <w:r w:rsidR="00A62EE1" w:rsidRPr="00A62EE1">
        <w:rPr>
          <w:rFonts w:ascii="Palatino Linotype" w:hAnsi="Palatino Linotype"/>
          <w:sz w:val="23"/>
          <w:szCs w:val="23"/>
        </w:rPr>
        <w:t>cador</w:t>
      </w:r>
      <w:r w:rsidR="00A62EE1">
        <w:rPr>
          <w:rFonts w:ascii="Palatino Linotype" w:hAnsi="Palatino Linotype"/>
          <w:sz w:val="23"/>
          <w:szCs w:val="23"/>
        </w:rPr>
        <w:t xml:space="preserve">, de diversos servidores públicos. </w:t>
      </w:r>
    </w:p>
    <w:p w14:paraId="28453A45" w14:textId="77777777" w:rsidR="00846F0C" w:rsidRPr="00B835E7" w:rsidRDefault="00846F0C" w:rsidP="00B835E7">
      <w:pPr>
        <w:spacing w:after="0" w:line="360" w:lineRule="auto"/>
        <w:jc w:val="both"/>
        <w:rPr>
          <w:rFonts w:ascii="Palatino Linotype" w:hAnsi="Palatino Linotype"/>
          <w:sz w:val="23"/>
          <w:szCs w:val="23"/>
        </w:rPr>
      </w:pPr>
    </w:p>
    <w:p w14:paraId="01C20EA6" w14:textId="430BD7A7" w:rsidR="00B835E7"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3262E7" w:rsidRPr="008C04D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8C04DB" w:rsidRPr="008C04DB">
        <w:rPr>
          <w:rFonts w:ascii="Palatino Linotype" w:hAnsi="Palatino Linotype"/>
          <w:bCs/>
          <w:sz w:val="23"/>
          <w:szCs w:val="23"/>
          <w:lang w:val="es-ES"/>
        </w:rPr>
        <w:t xml:space="preserve">a </w:t>
      </w:r>
      <w:r w:rsidR="00A62EE1">
        <w:rPr>
          <w:rFonts w:ascii="Palatino Linotype" w:hAnsi="Palatino Linotype"/>
          <w:bCs/>
          <w:sz w:val="23"/>
          <w:szCs w:val="23"/>
          <w:lang w:val="es-ES"/>
        </w:rPr>
        <w:t>través de la</w:t>
      </w:r>
      <w:r w:rsidR="008C04DB" w:rsidRPr="008C04DB">
        <w:rPr>
          <w:rFonts w:ascii="Palatino Linotype" w:hAnsi="Palatino Linotype"/>
          <w:bCs/>
          <w:sz w:val="23"/>
          <w:szCs w:val="23"/>
          <w:lang w:val="es-ES"/>
        </w:rPr>
        <w:t xml:space="preserve"> </w:t>
      </w:r>
      <w:r w:rsidR="00A62EE1" w:rsidRPr="00A62EE1">
        <w:rPr>
          <w:rFonts w:ascii="Palatino Linotype" w:hAnsi="Palatino Linotype"/>
          <w:bCs/>
          <w:sz w:val="23"/>
          <w:szCs w:val="23"/>
          <w:lang w:val="es-ES"/>
        </w:rPr>
        <w:t>Directora de Administración,</w:t>
      </w:r>
      <w:r w:rsidR="00A62EE1">
        <w:rPr>
          <w:rFonts w:ascii="Palatino Linotype" w:hAnsi="Palatino Linotype"/>
          <w:bCs/>
          <w:sz w:val="23"/>
          <w:szCs w:val="23"/>
          <w:lang w:val="es-ES"/>
        </w:rPr>
        <w:t xml:space="preserve"> remitió diversa información, señalando que es </w:t>
      </w:r>
      <w:r w:rsidR="00A62EE1" w:rsidRPr="00A62EE1">
        <w:rPr>
          <w:rFonts w:ascii="Palatino Linotype" w:hAnsi="Palatino Linotype"/>
          <w:bCs/>
          <w:sz w:val="23"/>
          <w:szCs w:val="23"/>
          <w:lang w:val="es-ES"/>
        </w:rPr>
        <w:t>con la que cuenta la Un</w:t>
      </w:r>
      <w:r w:rsidR="00A62EE1">
        <w:rPr>
          <w:rFonts w:ascii="Palatino Linotype" w:hAnsi="Palatino Linotype"/>
          <w:bCs/>
          <w:sz w:val="23"/>
          <w:szCs w:val="23"/>
          <w:lang w:val="es-ES"/>
        </w:rPr>
        <w:t>idad Administrativa</w:t>
      </w:r>
      <w:r w:rsidR="00235E50">
        <w:rPr>
          <w:rFonts w:ascii="Palatino Linotype" w:hAnsi="Palatino Linotype"/>
          <w:bCs/>
          <w:sz w:val="23"/>
          <w:szCs w:val="23"/>
          <w:lang w:val="es-ES"/>
        </w:rPr>
        <w:t>.</w:t>
      </w:r>
    </w:p>
    <w:p w14:paraId="381D1F12" w14:textId="77777777" w:rsidR="00235E50" w:rsidRPr="008546EB" w:rsidRDefault="00235E50" w:rsidP="00E52718">
      <w:pPr>
        <w:spacing w:after="0" w:line="360" w:lineRule="auto"/>
        <w:ind w:right="-3"/>
        <w:jc w:val="both"/>
        <w:rPr>
          <w:rFonts w:ascii="Palatino Linotype" w:hAnsi="Palatino Linotype"/>
          <w:bCs/>
          <w:sz w:val="23"/>
          <w:szCs w:val="23"/>
          <w:lang w:val="es-ES"/>
        </w:rPr>
      </w:pPr>
    </w:p>
    <w:p w14:paraId="4CEA5552" w14:textId="099B1314"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235E50">
        <w:rPr>
          <w:rFonts w:ascii="Palatino Linotype" w:hAnsi="Palatino Linotype"/>
          <w:sz w:val="23"/>
          <w:szCs w:val="23"/>
        </w:rPr>
        <w:t>la Comisionada</w:t>
      </w:r>
      <w:r>
        <w:rPr>
          <w:rFonts w:ascii="Palatino Linotype" w:hAnsi="Palatino Linotype"/>
          <w:sz w:val="23"/>
          <w:szCs w:val="23"/>
        </w:rPr>
        <w:t xml:space="preserve"> Ponente resolvió </w:t>
      </w:r>
      <w:r w:rsidRPr="00846F0C">
        <w:rPr>
          <w:rFonts w:ascii="Palatino Linotype" w:hAnsi="Palatino Linotype"/>
          <w:b/>
          <w:sz w:val="23"/>
          <w:szCs w:val="23"/>
        </w:rPr>
        <w:t>Modificar</w:t>
      </w:r>
      <w:r w:rsidR="00A62EE1">
        <w:rPr>
          <w:rFonts w:ascii="Palatino Linotype" w:hAnsi="Palatino Linotype"/>
          <w:b/>
          <w:sz w:val="23"/>
          <w:szCs w:val="23"/>
        </w:rPr>
        <w:t xml:space="preserve"> </w:t>
      </w:r>
      <w:r w:rsidR="00A62EE1" w:rsidRPr="00A62EE1">
        <w:rPr>
          <w:rFonts w:ascii="Palatino Linotype" w:hAnsi="Palatino Linotype"/>
          <w:sz w:val="23"/>
          <w:szCs w:val="23"/>
        </w:rPr>
        <w:t>y</w:t>
      </w:r>
      <w:r w:rsidR="00A62EE1">
        <w:rPr>
          <w:rFonts w:ascii="Palatino Linotype" w:hAnsi="Palatino Linotype"/>
          <w:b/>
          <w:sz w:val="23"/>
          <w:szCs w:val="23"/>
        </w:rPr>
        <w:t xml:space="preserve"> Revocar</w:t>
      </w:r>
      <w:r>
        <w:rPr>
          <w:rFonts w:ascii="Palatino Linotype" w:hAnsi="Palatino Linotype"/>
          <w:sz w:val="23"/>
          <w:szCs w:val="23"/>
        </w:rPr>
        <w:t xml:space="preserve"> la</w:t>
      </w:r>
      <w:r w:rsidR="00A62EE1">
        <w:rPr>
          <w:rFonts w:ascii="Palatino Linotype" w:hAnsi="Palatino Linotype"/>
          <w:sz w:val="23"/>
          <w:szCs w:val="23"/>
        </w:rPr>
        <w:t>s</w:t>
      </w:r>
      <w:r>
        <w:rPr>
          <w:rFonts w:ascii="Palatino Linotype" w:hAnsi="Palatino Linotype"/>
          <w:sz w:val="23"/>
          <w:szCs w:val="23"/>
        </w:rPr>
        <w:t xml:space="preserve"> respuesta</w:t>
      </w:r>
      <w:r w:rsidR="00A62EE1">
        <w:rPr>
          <w:rFonts w:ascii="Palatino Linotype" w:hAnsi="Palatino Linotype"/>
          <w:sz w:val="23"/>
          <w:szCs w:val="23"/>
        </w:rPr>
        <w:t>s</w:t>
      </w:r>
      <w:r>
        <w:rPr>
          <w:rFonts w:ascii="Palatino Linotype" w:hAnsi="Palatino Linotype"/>
          <w:sz w:val="23"/>
          <w:szCs w:val="23"/>
        </w:rPr>
        <w:t xml:space="preserve"> otorgada</w:t>
      </w:r>
      <w:r w:rsidR="00A62EE1">
        <w:rPr>
          <w:rFonts w:ascii="Palatino Linotype" w:hAnsi="Palatino Linotype"/>
          <w:sz w:val="23"/>
          <w:szCs w:val="23"/>
        </w:rPr>
        <w:t>s</w:t>
      </w:r>
      <w:r>
        <w:rPr>
          <w:rFonts w:ascii="Palatino Linotype" w:hAnsi="Palatino Linotype"/>
          <w:sz w:val="23"/>
          <w:szCs w:val="23"/>
        </w:rPr>
        <w:t xml:space="preserve"> por parte del Sujeto Obligado, como a continuación se describe:</w:t>
      </w:r>
    </w:p>
    <w:p w14:paraId="3A24A056" w14:textId="77777777" w:rsidR="00591F8D" w:rsidRPr="006F3520" w:rsidRDefault="00591F8D" w:rsidP="00B835E7">
      <w:pPr>
        <w:pStyle w:val="Sinespaciado"/>
      </w:pPr>
    </w:p>
    <w:p w14:paraId="562D6F2A" w14:textId="77777777" w:rsidR="00A62EE1" w:rsidRDefault="0019061A" w:rsidP="00A62EE1">
      <w:pPr>
        <w:pStyle w:val="Citas"/>
        <w:spacing w:line="240" w:lineRule="auto"/>
        <w:ind w:left="567" w:right="423"/>
      </w:pPr>
      <w:r w:rsidRPr="00591F8D">
        <w:lastRenderedPageBreak/>
        <w:t>“</w:t>
      </w:r>
      <w:r w:rsidR="00A62EE1" w:rsidRPr="00A62EE1">
        <w:rPr>
          <w:b/>
        </w:rPr>
        <w:t>Segundo.</w:t>
      </w:r>
      <w:r w:rsidR="00A62EE1">
        <w:t xml:space="preserve"> Se </w:t>
      </w:r>
      <w:r w:rsidR="00A62EE1" w:rsidRPr="00A62EE1">
        <w:rPr>
          <w:b/>
        </w:rPr>
        <w:t>Ordena</w:t>
      </w:r>
      <w:r w:rsidR="00A62EE1">
        <w:t xml:space="preserve"> al </w:t>
      </w:r>
      <w:r w:rsidR="00A62EE1" w:rsidRPr="00A62EE1">
        <w:rPr>
          <w:b/>
        </w:rPr>
        <w:t>SUJETO OBLIGADO</w:t>
      </w:r>
      <w:r w:rsidR="00A62EE1">
        <w:t xml:space="preserve">, en términos de los Considerandos Cuarto y Quinto de esta resolución, haga entrega vía </w:t>
      </w:r>
      <w:r w:rsidR="00A62EE1" w:rsidRPr="00A62EE1">
        <w:rPr>
          <w:b/>
        </w:rPr>
        <w:t>SAIMEX</w:t>
      </w:r>
      <w:r w:rsidR="00A62EE1">
        <w:t>, previa búsqueda exhaustiva y razonable, de ser procedente en versión pública, de lo siguiente:</w:t>
      </w:r>
    </w:p>
    <w:p w14:paraId="280E7FF7" w14:textId="77777777" w:rsidR="00A62EE1" w:rsidRDefault="00A62EE1" w:rsidP="00A62EE1">
      <w:pPr>
        <w:pStyle w:val="Citas"/>
        <w:spacing w:line="240" w:lineRule="auto"/>
        <w:ind w:left="567" w:right="423"/>
      </w:pPr>
      <w:r>
        <w:t>De los servidores públicos referidos en cada una de las solicitudes de información:</w:t>
      </w:r>
    </w:p>
    <w:p w14:paraId="4F4FFB2D" w14:textId="77777777" w:rsidR="00A62EE1" w:rsidRDefault="00A62EE1" w:rsidP="00A62EE1">
      <w:pPr>
        <w:pStyle w:val="Citas"/>
        <w:spacing w:line="240" w:lineRule="auto"/>
        <w:ind w:left="567" w:right="423"/>
      </w:pPr>
      <w:r w:rsidRPr="00A62EE1">
        <w:rPr>
          <w:b/>
        </w:rPr>
        <w:t>1.</w:t>
      </w:r>
      <w:r>
        <w:t xml:space="preserve"> Documento donde conste o de cuenta de la información curricular, que obre en sus archivos al treinta y uno de julio de dos mil veintitrés, de los servidores públicos faltantes.</w:t>
      </w:r>
    </w:p>
    <w:p w14:paraId="4A63BC06" w14:textId="77777777" w:rsidR="00A62EE1" w:rsidRDefault="00A62EE1" w:rsidP="00A62EE1">
      <w:pPr>
        <w:pStyle w:val="Citas"/>
        <w:spacing w:line="240" w:lineRule="auto"/>
        <w:ind w:left="567" w:right="423"/>
      </w:pPr>
      <w:r w:rsidRPr="00A62EE1">
        <w:rPr>
          <w:b/>
        </w:rPr>
        <w:t>2.</w:t>
      </w:r>
      <w:r>
        <w:t xml:space="preserve"> Recibos de nómina en versión pública correcta, de la primera y segunda quincena de abril, mayo y junio, así como la primera quincena de julio, de dos mil veintitrés.</w:t>
      </w:r>
    </w:p>
    <w:p w14:paraId="6F310160" w14:textId="77777777" w:rsidR="00A62EE1" w:rsidRDefault="00A62EE1" w:rsidP="00A62EE1">
      <w:pPr>
        <w:pStyle w:val="Citas"/>
        <w:spacing w:line="240" w:lineRule="auto"/>
        <w:ind w:left="567" w:right="423"/>
      </w:pPr>
      <w:r w:rsidRPr="00A62EE1">
        <w:rPr>
          <w:b/>
        </w:rPr>
        <w:t>3.</w:t>
      </w:r>
      <w:r>
        <w:t xml:space="preserve"> Acuerdo por medio del cual se clasifique el comprobante de domicilio, como confidencial en su totalidad.</w:t>
      </w:r>
    </w:p>
    <w:p w14:paraId="460EBFDA" w14:textId="77777777" w:rsidR="00A62EE1" w:rsidRDefault="00A62EE1" w:rsidP="00A62EE1">
      <w:pPr>
        <w:pStyle w:val="Citas"/>
        <w:spacing w:line="240" w:lineRule="auto"/>
        <w:ind w:left="567" w:right="423"/>
      </w:pPr>
      <w:r w:rsidRPr="00A62EE1">
        <w:rPr>
          <w:b/>
        </w:rPr>
        <w:t>4.</w:t>
      </w:r>
      <w:r>
        <w:t xml:space="preserve"> El título profesional los servidores públicos titulares de la Secretaría del Ayuntamiento, la Contraloría Municipal y la Coordinación de Mejora Regulatoria, así como el documento o los documentos que acrediten el último grado de estudios, de los servidores públicos faltantes, que obren en sus archivos al treinta y uno de julio de dos mil veintitrés.</w:t>
      </w:r>
    </w:p>
    <w:p w14:paraId="3EE2F153" w14:textId="77777777" w:rsidR="00A62EE1" w:rsidRDefault="00A62EE1" w:rsidP="00A62EE1">
      <w:pPr>
        <w:pStyle w:val="Citas"/>
        <w:spacing w:line="240" w:lineRule="auto"/>
        <w:ind w:left="567" w:right="423"/>
      </w:pPr>
      <w:r w:rsidRPr="00A62EE1">
        <w:rPr>
          <w:b/>
        </w:rPr>
        <w:t>5.</w:t>
      </w:r>
      <w:r>
        <w:t xml:space="preserve"> Certificación de competencia laboral que obre en sus archivos al treinta y uno de julio de dos mil veintitrés, de los servidores públicos titulares de la Secretaría del Ayuntamiento, la Contraloría Municipal, la Dirección de Desarrollo Territorial y Urbano, la Dirección de Desarrollo Económico, la Coordinación de Mejora Regulatoria y la Coordinación de Protección Civil.</w:t>
      </w:r>
    </w:p>
    <w:p w14:paraId="2350E2E8" w14:textId="77777777" w:rsidR="00A62EE1" w:rsidRDefault="00A62EE1" w:rsidP="00A62EE1">
      <w:pPr>
        <w:pStyle w:val="Citas"/>
        <w:spacing w:line="240" w:lineRule="auto"/>
        <w:ind w:left="567" w:right="423"/>
      </w:pPr>
      <w:r w:rsidRPr="00A62EE1">
        <w:rPr>
          <w:b/>
        </w:rPr>
        <w:t>6.</w:t>
      </w:r>
      <w:r>
        <w:t xml:space="preserve"> El documento o los documentos que den cuenta de los cursos que hayan tomado los servidores públicos faltantes, del uno de enero de dos mil veintidós al treinta y uno de julio de dos mil veintitrés.</w:t>
      </w:r>
    </w:p>
    <w:p w14:paraId="711DAB61" w14:textId="77777777" w:rsidR="00A62EE1" w:rsidRDefault="00A62EE1" w:rsidP="00A62EE1">
      <w:pPr>
        <w:pStyle w:val="Citas"/>
        <w:spacing w:line="240" w:lineRule="auto"/>
        <w:ind w:left="567" w:right="423"/>
      </w:pPr>
      <w:r w:rsidRPr="00A62EE1">
        <w:rPr>
          <w:b/>
        </w:rPr>
        <w:t>7.</w:t>
      </w:r>
      <w:r>
        <w:t xml:space="preserve"> El documento en donde conste el alta ante el Instituto de Seguridad Social del Estado de México y Municipios. </w:t>
      </w:r>
    </w:p>
    <w:p w14:paraId="1A44A4EC" w14:textId="77777777" w:rsidR="00A62EE1" w:rsidRDefault="00A62EE1" w:rsidP="00A62EE1">
      <w:pPr>
        <w:pStyle w:val="Citas"/>
        <w:spacing w:line="240" w:lineRule="auto"/>
        <w:ind w:left="567" w:right="423"/>
      </w:pPr>
      <w:r w:rsidRPr="00A62EE1">
        <w:rPr>
          <w:b/>
        </w:rPr>
        <w:t>8.</w:t>
      </w:r>
      <w:r>
        <w:t xml:space="preserve"> El documento o los documentos donde consten los periodos vacacionales concedidos a los servidores públicos del uno de enero de dos mil veintidós al treinta y un de julio de dos mil veintitrés, faltantes.</w:t>
      </w:r>
    </w:p>
    <w:p w14:paraId="5677AECD" w14:textId="77777777" w:rsidR="00A62EE1" w:rsidRDefault="00A62EE1" w:rsidP="00A62EE1">
      <w:pPr>
        <w:pStyle w:val="Citas"/>
        <w:spacing w:line="240" w:lineRule="auto"/>
        <w:ind w:left="567" w:right="423"/>
      </w:pPr>
      <w:r w:rsidRPr="00A62EE1">
        <w:rPr>
          <w:b/>
        </w:rPr>
        <w:lastRenderedPageBreak/>
        <w:t>9.</w:t>
      </w:r>
      <w:r>
        <w:t xml:space="preserve"> El documento o los documentos donde conste el control o registro de asistencia o bien, la autorización emitida por autoridad competente para omitir la elaboración de dicho control o exceptuar el registro de asistencia del treinta y uno de julio de dos mil veintidós al treinta y uno de julio de dos mil veintitrés.</w:t>
      </w:r>
    </w:p>
    <w:p w14:paraId="4879C9BC" w14:textId="77777777" w:rsidR="00A62EE1" w:rsidRDefault="00A62EE1" w:rsidP="00A62EE1">
      <w:pPr>
        <w:pStyle w:val="Citas"/>
        <w:spacing w:line="240" w:lineRule="auto"/>
        <w:ind w:left="567" w:right="423"/>
      </w:pPr>
      <w: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del soporte documental que se ordena, y que sustente la versión pública de los </w:t>
      </w:r>
      <w:proofErr w:type="spellStart"/>
      <w:r>
        <w:t>curriculum</w:t>
      </w:r>
      <w:proofErr w:type="spellEnd"/>
      <w:r>
        <w:t xml:space="preserve"> vitae remitidos en respuesta a las solicitudes 00775/ZINACANT/IP/2023, 00904/ZINACANT/IP/2023, 00915/ZINACANT/IP/2023, 00914/ZINACANT/IP/2023 y 00920/ZINACANT/IP/2023, que se deberá poner a disposición de LA PARTE RECURRENTE.</w:t>
      </w:r>
    </w:p>
    <w:p w14:paraId="033D1448" w14:textId="77777777" w:rsidR="00A62EE1" w:rsidRDefault="00A62EE1" w:rsidP="00A62EE1">
      <w:pPr>
        <w:pStyle w:val="Citas"/>
        <w:spacing w:line="240" w:lineRule="auto"/>
        <w:ind w:left="567" w:right="423"/>
      </w:pPr>
      <w:r>
        <w:t xml:space="preserve">En caso de que derivado de la búsqueda exhaustiva y razonable, no se localice la información que se ordena en los </w:t>
      </w:r>
      <w:r w:rsidRPr="00A62EE1">
        <w:t>numerales 4</w:t>
      </w:r>
      <w:r>
        <w:t xml:space="preserve">, respecto de  los servidores públicos titulares de la Secretaria del Ayuntamiento la Contraloría Municipal y la Coordinación de Mejora Regulatoria; </w:t>
      </w:r>
      <w:r w:rsidRPr="00A62EE1">
        <w:rPr>
          <w:b/>
        </w:rPr>
        <w:t xml:space="preserve">5, 7 </w:t>
      </w:r>
      <w:r w:rsidRPr="00A62EE1">
        <w:t>y</w:t>
      </w:r>
      <w:r w:rsidRPr="00A62EE1">
        <w:rPr>
          <w:b/>
        </w:rPr>
        <w:t xml:space="preserve"> 9</w:t>
      </w:r>
      <w:r>
        <w:t xml:space="preserve">, el </w:t>
      </w:r>
      <w:r w:rsidRPr="00A62EE1">
        <w:rPr>
          <w:b/>
        </w:rPr>
        <w:t>SUJETO OBLIGADO</w:t>
      </w:r>
      <w:r>
        <w:t xml:space="preserve"> deberá emitir el Acuerdo de Inexistencia en términos de los artículos 19, párrafo tercero, 49, fracciones II y XIII, 169 y 170 de la Ley de Transparencia y Acceso a la Información Pública del Estado de México y Municipios, debiendo notificarlo a LA PARTE RECURRENTE al momento de dar cumplimiento a la presente resolución.</w:t>
      </w:r>
    </w:p>
    <w:p w14:paraId="54DD5B3B" w14:textId="593FBF9C" w:rsidR="0019061A" w:rsidRPr="00A62EE1" w:rsidRDefault="00A62EE1" w:rsidP="00A62EE1">
      <w:pPr>
        <w:pStyle w:val="Citas"/>
        <w:spacing w:before="0" w:after="0" w:line="240" w:lineRule="auto"/>
        <w:ind w:left="567" w:right="423"/>
        <w:rPr>
          <w:bCs/>
          <w:iCs/>
          <w:color w:val="000000"/>
          <w:lang w:val="es-ES_tradnl"/>
        </w:rPr>
      </w:pPr>
      <w:r>
        <w:t xml:space="preserve">En el supuesto que la información ordenada </w:t>
      </w:r>
      <w:r w:rsidRPr="00A62EE1">
        <w:rPr>
          <w:b/>
          <w:u w:val="single"/>
        </w:rPr>
        <w:t>en los numerales 4</w:t>
      </w:r>
      <w:r>
        <w:t xml:space="preserve">, </w:t>
      </w:r>
      <w:r w:rsidRPr="00A62EE1">
        <w:rPr>
          <w:b/>
          <w:u w:val="single"/>
        </w:rPr>
        <w:t>respecto a los demás servidores públicos</w:t>
      </w:r>
      <w:r>
        <w:t xml:space="preserve"> y 6, no obre en los archivos del </w:t>
      </w:r>
      <w:r w:rsidRPr="00A62EE1">
        <w:rPr>
          <w:b/>
        </w:rPr>
        <w:t>SUJETO OBLIGADO</w:t>
      </w:r>
      <w:r>
        <w:t>, por no haberse generado, bastará con que así se haga del conocimiento de LA PARTE RECURRENTE, en términos del artículo 19, párrafo segundo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6C3F2ADE" w14:textId="77777777" w:rsidR="00A62EE1" w:rsidRDefault="00A62EE1" w:rsidP="00A62EE1">
      <w:pPr>
        <w:spacing w:after="0" w:line="360" w:lineRule="auto"/>
        <w:jc w:val="both"/>
        <w:rPr>
          <w:rFonts w:ascii="Palatino Linotype" w:hAnsi="Palatino Linotype"/>
          <w:sz w:val="23"/>
          <w:szCs w:val="23"/>
        </w:rPr>
      </w:pPr>
    </w:p>
    <w:p w14:paraId="46586A47" w14:textId="6410A844" w:rsidR="0019061A" w:rsidRDefault="0019061A" w:rsidP="00A62EE1">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w:t>
      </w:r>
      <w:r w:rsidR="001232FA">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w:t>
      </w:r>
      <w:r w:rsidR="008C04DB">
        <w:rPr>
          <w:rFonts w:ascii="Palatino Linotype" w:hAnsi="Palatino Linotype"/>
          <w:sz w:val="23"/>
          <w:szCs w:val="23"/>
        </w:rPr>
        <w:t>a</w:t>
      </w:r>
      <w:r w:rsidR="00235E50">
        <w:rPr>
          <w:rFonts w:ascii="Palatino Linotype" w:hAnsi="Palatino Linotype"/>
          <w:sz w:val="23"/>
          <w:szCs w:val="23"/>
        </w:rPr>
        <w:t>l s</w:t>
      </w:r>
      <w:r w:rsidR="00235E50" w:rsidRPr="00235E50">
        <w:rPr>
          <w:rFonts w:ascii="Palatino Linotype" w:hAnsi="Palatino Linotype"/>
          <w:sz w:val="23"/>
          <w:szCs w:val="23"/>
        </w:rPr>
        <w:t>oporte documental con el que se acredite el último grado de estudios</w:t>
      </w:r>
      <w:r w:rsidR="001232FA" w:rsidRPr="001232FA">
        <w:rPr>
          <w:rFonts w:ascii="Palatino Linotype" w:hAnsi="Palatino Linotype"/>
          <w:sz w:val="23"/>
          <w:szCs w:val="23"/>
        </w:rPr>
        <w:t xml:space="preserve">, de los servidores públicos </w:t>
      </w:r>
      <w:r w:rsidR="001232FA" w:rsidRPr="001232FA">
        <w:rPr>
          <w:rFonts w:ascii="Palatino Linotype" w:hAnsi="Palatino Linotype"/>
          <w:sz w:val="23"/>
          <w:szCs w:val="23"/>
        </w:rPr>
        <w:lastRenderedPageBreak/>
        <w:t>faltantes</w:t>
      </w:r>
      <w:r w:rsidR="00235E50" w:rsidRPr="00235E50">
        <w:rPr>
          <w:rFonts w:ascii="Palatino Linotype" w:hAnsi="Palatino Linotype"/>
          <w:sz w:val="23"/>
          <w:szCs w:val="23"/>
        </w:rPr>
        <w:t xml:space="preserve">, </w:t>
      </w:r>
      <w:r w:rsidR="001232FA" w:rsidRPr="001232FA">
        <w:rPr>
          <w:rFonts w:ascii="Palatino Linotype" w:hAnsi="Palatino Linotype"/>
          <w:sz w:val="23"/>
          <w:szCs w:val="23"/>
        </w:rPr>
        <w:t>que obren en sus archivos al treinta y uno</w:t>
      </w:r>
      <w:r w:rsidR="001232FA">
        <w:rPr>
          <w:rFonts w:ascii="Palatino Linotype" w:hAnsi="Palatino Linotype"/>
          <w:sz w:val="23"/>
          <w:szCs w:val="23"/>
        </w:rPr>
        <w:t xml:space="preserve"> de julio de dos mil veintitrés</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062CCA46" w14:textId="77777777" w:rsidR="001232FA" w:rsidRDefault="001232FA" w:rsidP="00A62EE1">
      <w:pPr>
        <w:spacing w:after="0" w:line="360" w:lineRule="auto"/>
        <w:jc w:val="both"/>
        <w:rPr>
          <w:rFonts w:ascii="Palatino Linotype" w:hAnsi="Palatino Linotype"/>
          <w:sz w:val="23"/>
          <w:szCs w:val="23"/>
        </w:rPr>
      </w:pPr>
    </w:p>
    <w:p w14:paraId="556057F5"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Partimos de lo establecido en la Ley del Trabajo, la cual,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w:t>
      </w:r>
      <w:r w:rsidRPr="001232FA">
        <w:rPr>
          <w:rFonts w:ascii="Palatino Linotype" w:eastAsia="Arial Unicode MS" w:hAnsi="Palatino Linotype"/>
          <w:sz w:val="23"/>
          <w:szCs w:val="23"/>
        </w:rPr>
        <w:t xml:space="preserve">esto es, información que por su naturaleza es pública y que los sujetos obligados  </w:t>
      </w:r>
      <w:r w:rsidRPr="001232FA">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6C1B3725" w14:textId="77777777" w:rsidR="001232FA" w:rsidRPr="001232FA" w:rsidRDefault="001232FA" w:rsidP="001232FA">
      <w:pPr>
        <w:spacing w:after="0" w:line="360" w:lineRule="auto"/>
        <w:jc w:val="both"/>
        <w:rPr>
          <w:rFonts w:ascii="Palatino Linotype" w:eastAsia="MS Mincho" w:hAnsi="Palatino Linotype"/>
          <w:sz w:val="23"/>
          <w:szCs w:val="23"/>
        </w:rPr>
      </w:pPr>
    </w:p>
    <w:p w14:paraId="6B1F7F99"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eastAsia="MS Mincho" w:hAnsi="Palatino Linotype"/>
          <w:sz w:val="23"/>
          <w:szCs w:val="23"/>
        </w:rPr>
        <w:t xml:space="preserve">Adicionalmente, con relación a la obligación de transparencia común en cita, se destaca que los </w:t>
      </w:r>
      <w:r w:rsidRPr="001232FA">
        <w:rPr>
          <w:rFonts w:ascii="Palatino Linotype" w:hAnsi="Palatino Linotype"/>
          <w:bCs/>
          <w:sz w:val="23"/>
          <w:szCs w:val="23"/>
        </w:rPr>
        <w:t xml:space="preserve"> </w:t>
      </w:r>
      <w:r w:rsidRPr="001232FA">
        <w:rPr>
          <w:rFonts w:ascii="Palatino Linotype" w:hAnsi="Palatino Linotype"/>
          <w:sz w:val="23"/>
          <w:szCs w:val="23"/>
        </w:rPr>
        <w:t>“</w:t>
      </w:r>
      <w:r w:rsidRPr="001232FA">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1232FA">
        <w:rPr>
          <w:rFonts w:ascii="Palatino Linotype" w:hAnsi="Palatino Linotype"/>
          <w:sz w:val="23"/>
          <w:szCs w:val="23"/>
        </w:rPr>
        <w:t xml:space="preserve"> engloban como criterios sustantivos de contenido los relativos a:</w:t>
      </w:r>
    </w:p>
    <w:p w14:paraId="326F05D9" w14:textId="77777777" w:rsidR="001232FA" w:rsidRPr="001232FA" w:rsidRDefault="001232FA" w:rsidP="001232FA">
      <w:pPr>
        <w:spacing w:after="0" w:line="240" w:lineRule="auto"/>
        <w:rPr>
          <w:rFonts w:ascii="Times New Roman" w:eastAsia="Times New Roman" w:hAnsi="Times New Roman" w:cs="Times New Roman"/>
          <w:sz w:val="24"/>
          <w:szCs w:val="24"/>
          <w:lang w:eastAsia="es-ES"/>
        </w:rPr>
      </w:pPr>
    </w:p>
    <w:p w14:paraId="684013A5" w14:textId="77777777" w:rsidR="001232FA" w:rsidRPr="001232FA" w:rsidRDefault="001232FA" w:rsidP="001232FA">
      <w:pPr>
        <w:spacing w:after="0" w:line="276" w:lineRule="auto"/>
        <w:ind w:left="851" w:right="851"/>
        <w:jc w:val="both"/>
        <w:rPr>
          <w:rFonts w:ascii="Palatino Linotype" w:hAnsi="Palatino Linotype" w:cs="Arial"/>
          <w:i/>
        </w:rPr>
      </w:pPr>
      <w:r w:rsidRPr="001232FA">
        <w:rPr>
          <w:rFonts w:ascii="Palatino Linotype" w:hAnsi="Palatino Linotype" w:cs="Arial"/>
          <w:i/>
        </w:rPr>
        <w:t xml:space="preserve">“Respecto a la información curricular del (la) servidor(a) público(a) y/o persona que desempeñe un empleo, cargo o comisión en el sujeto obligado se deberá publicar: </w:t>
      </w:r>
    </w:p>
    <w:p w14:paraId="7D3E9B85" w14:textId="77777777" w:rsidR="001232FA" w:rsidRPr="001232FA" w:rsidRDefault="001232FA" w:rsidP="001232FA">
      <w:pPr>
        <w:spacing w:after="0" w:line="276" w:lineRule="auto"/>
        <w:ind w:left="851" w:right="851"/>
        <w:jc w:val="both"/>
        <w:rPr>
          <w:rFonts w:ascii="Palatino Linotype" w:hAnsi="Palatino Linotype" w:cs="Arial"/>
          <w:b/>
          <w:bCs/>
          <w:i/>
          <w:u w:val="single"/>
        </w:rPr>
      </w:pPr>
    </w:p>
    <w:p w14:paraId="65E143D0" w14:textId="77777777" w:rsidR="001232FA" w:rsidRPr="001232FA" w:rsidRDefault="001232FA" w:rsidP="001232FA">
      <w:pPr>
        <w:spacing w:after="0" w:line="276" w:lineRule="auto"/>
        <w:ind w:left="851" w:right="851"/>
        <w:jc w:val="both"/>
        <w:rPr>
          <w:rFonts w:ascii="Palatino Linotype" w:hAnsi="Palatino Linotype" w:cs="Arial"/>
          <w:b/>
          <w:bCs/>
          <w:i/>
          <w:u w:val="single"/>
        </w:rPr>
      </w:pPr>
      <w:r w:rsidRPr="001232FA">
        <w:rPr>
          <w:rFonts w:ascii="Palatino Linotype" w:hAnsi="Palatino Linotype" w:cs="Arial"/>
          <w:b/>
          <w:bCs/>
          <w:i/>
          <w:u w:val="single"/>
        </w:rPr>
        <w:t>Criterio 7 Escolaridad, nivel máximo de estudios concluido y comprobable (catálogo): Ninguno/Primaria/Secundaria/Bachillerato/Carrera técnica / Licenciatura / Maestría / Doctorado / Posdoctorado / Especialización</w:t>
      </w:r>
    </w:p>
    <w:p w14:paraId="0DF35E34" w14:textId="77777777" w:rsidR="001232FA" w:rsidRPr="001232FA" w:rsidRDefault="001232FA" w:rsidP="001232FA">
      <w:pPr>
        <w:spacing w:after="0" w:line="276" w:lineRule="auto"/>
        <w:ind w:left="851" w:right="851"/>
        <w:jc w:val="both"/>
        <w:rPr>
          <w:rFonts w:ascii="Palatino Linotype" w:hAnsi="Palatino Linotype" w:cs="Arial"/>
          <w:b/>
          <w:bCs/>
          <w:i/>
          <w:u w:val="single"/>
        </w:rPr>
      </w:pPr>
    </w:p>
    <w:p w14:paraId="4C71A9FC" w14:textId="77777777" w:rsidR="001232FA" w:rsidRPr="001232FA" w:rsidRDefault="001232FA" w:rsidP="001232FA">
      <w:pPr>
        <w:spacing w:after="0" w:line="276" w:lineRule="auto"/>
        <w:ind w:left="851" w:right="851"/>
        <w:jc w:val="both"/>
        <w:rPr>
          <w:rFonts w:ascii="Palatino Linotype" w:hAnsi="Palatino Linotype" w:cs="Arial"/>
          <w:b/>
          <w:bCs/>
          <w:i/>
          <w:u w:val="single"/>
        </w:rPr>
      </w:pPr>
      <w:r w:rsidRPr="001232FA">
        <w:rPr>
          <w:rFonts w:ascii="Palatino Linotype" w:hAnsi="Palatino Linotype" w:cs="Arial"/>
          <w:b/>
          <w:bCs/>
          <w:i/>
          <w:u w:val="single"/>
        </w:rPr>
        <w:t>Criterio 8 Carrera genérica, en su caso</w:t>
      </w:r>
    </w:p>
    <w:p w14:paraId="3F93121F" w14:textId="77777777" w:rsidR="001232FA" w:rsidRPr="001232FA" w:rsidRDefault="001232FA" w:rsidP="001232FA">
      <w:pPr>
        <w:spacing w:after="0" w:line="276" w:lineRule="auto"/>
        <w:ind w:left="851" w:right="851"/>
        <w:jc w:val="both"/>
        <w:rPr>
          <w:rFonts w:ascii="Palatino Linotype" w:eastAsia="MS Mincho" w:hAnsi="Palatino Linotype" w:cs="Arial"/>
          <w:i/>
        </w:rPr>
      </w:pPr>
      <w:r w:rsidRPr="001232FA">
        <w:rPr>
          <w:rFonts w:ascii="Palatino Linotype" w:hAnsi="Palatino Linotype" w:cs="Arial"/>
          <w:i/>
        </w:rPr>
        <w:t xml:space="preserve">(…)” </w:t>
      </w:r>
      <w:r w:rsidRPr="001232FA">
        <w:rPr>
          <w:rFonts w:ascii="Palatino Linotype" w:hAnsi="Palatino Linotype" w:cs="Arial"/>
          <w:b/>
          <w:bCs/>
          <w:i/>
        </w:rPr>
        <w:t xml:space="preserve">(Sic) </w:t>
      </w:r>
    </w:p>
    <w:p w14:paraId="082B067B" w14:textId="77777777" w:rsidR="001232FA" w:rsidRPr="001232FA" w:rsidRDefault="001232FA" w:rsidP="001232FA">
      <w:pPr>
        <w:spacing w:after="0" w:line="360" w:lineRule="auto"/>
        <w:jc w:val="both"/>
        <w:rPr>
          <w:rFonts w:ascii="Palatino Linotype" w:eastAsia="MS Mincho" w:hAnsi="Palatino Linotype"/>
        </w:rPr>
      </w:pPr>
    </w:p>
    <w:p w14:paraId="75A460A4" w14:textId="77777777" w:rsidR="001232FA" w:rsidRDefault="001232FA" w:rsidP="001232FA">
      <w:pPr>
        <w:spacing w:after="0" w:line="360" w:lineRule="auto"/>
        <w:jc w:val="both"/>
        <w:rPr>
          <w:rFonts w:ascii="Palatino Linotype" w:eastAsia="MS Mincho" w:hAnsi="Palatino Linotype"/>
          <w:sz w:val="23"/>
          <w:szCs w:val="23"/>
        </w:rPr>
      </w:pPr>
      <w:r w:rsidRPr="001232FA">
        <w:rPr>
          <w:rFonts w:ascii="Palatino Linotype" w:eastAsia="MS Mincho" w:hAnsi="Palatino Linotype"/>
          <w:sz w:val="23"/>
          <w:szCs w:val="23"/>
        </w:rPr>
        <w:t xml:space="preserve">Por otra parte, es necesario precisar que constituyen documentos probatorios de estudios; los certificados, constancias, diplomas, títulos y/o cédula profesional, que son documentos expedidos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6162B72E" w14:textId="77777777" w:rsidR="001232FA" w:rsidRPr="001232FA" w:rsidRDefault="001232FA" w:rsidP="001232FA">
      <w:pPr>
        <w:spacing w:after="0" w:line="360" w:lineRule="auto"/>
        <w:jc w:val="both"/>
        <w:rPr>
          <w:rFonts w:ascii="Palatino Linotype" w:eastAsia="MS Mincho" w:hAnsi="Palatino Linotype"/>
          <w:sz w:val="23"/>
          <w:szCs w:val="23"/>
        </w:rPr>
      </w:pPr>
    </w:p>
    <w:p w14:paraId="3E1C6A1D" w14:textId="77777777" w:rsidR="001232FA" w:rsidRPr="001232FA" w:rsidRDefault="001232FA" w:rsidP="001232FA">
      <w:pPr>
        <w:spacing w:after="0" w:line="360" w:lineRule="auto"/>
        <w:jc w:val="both"/>
        <w:rPr>
          <w:rFonts w:ascii="Palatino Linotype" w:eastAsia="MS Mincho" w:hAnsi="Palatino Linotype"/>
          <w:sz w:val="23"/>
          <w:szCs w:val="23"/>
        </w:rPr>
      </w:pPr>
      <w:r w:rsidRPr="001232FA">
        <w:rPr>
          <w:rFonts w:ascii="Palatino Linotype" w:eastAsia="MS Mincho" w:hAnsi="Palatino Linotype"/>
          <w:sz w:val="23"/>
          <w:szCs w:val="23"/>
        </w:rPr>
        <w:lastRenderedPageBreak/>
        <w:t>Elementos indispensables y necesarios para que se encuentre en condiciones plenas de ejercer, de manera informada, su derecho a la libertad de expresión y, en su caso, el control constitucional popular de los actos de gobierno.</w:t>
      </w:r>
    </w:p>
    <w:p w14:paraId="631FC229" w14:textId="77777777" w:rsidR="001232FA" w:rsidRPr="001232FA" w:rsidRDefault="001232FA" w:rsidP="001232FA">
      <w:pPr>
        <w:spacing w:after="0" w:line="360" w:lineRule="auto"/>
        <w:jc w:val="both"/>
        <w:rPr>
          <w:rFonts w:ascii="Palatino Linotype" w:eastAsia="MS Mincho" w:hAnsi="Palatino Linotype"/>
          <w:sz w:val="23"/>
          <w:szCs w:val="23"/>
        </w:rPr>
      </w:pPr>
    </w:p>
    <w:p w14:paraId="546880C0" w14:textId="77777777" w:rsidR="001232FA" w:rsidRPr="001232FA" w:rsidRDefault="001232FA" w:rsidP="001232FA">
      <w:pPr>
        <w:spacing w:after="0" w:line="360" w:lineRule="auto"/>
        <w:jc w:val="both"/>
        <w:rPr>
          <w:rFonts w:ascii="Palatino Linotype" w:eastAsia="MS Mincho" w:hAnsi="Palatino Linotype"/>
          <w:sz w:val="23"/>
          <w:szCs w:val="23"/>
        </w:rPr>
      </w:pPr>
      <w:r w:rsidRPr="001232FA">
        <w:rPr>
          <w:rFonts w:ascii="Palatino Linotype" w:eastAsia="MS Mincho" w:hAnsi="Palatino Linotype"/>
          <w:sz w:val="23"/>
          <w:szCs w:val="23"/>
        </w:rPr>
        <w:t xml:space="preserve">Por otro lado, atendiendo a que la normatividad especifica de manera precisa cuáles son los requisitos que se requieren para: </w:t>
      </w:r>
      <w:r w:rsidRPr="001232FA">
        <w:rPr>
          <w:rFonts w:ascii="Palatino Linotype" w:eastAsia="MS Mincho" w:hAnsi="Palatino Linotype"/>
          <w:b/>
          <w:sz w:val="23"/>
          <w:szCs w:val="23"/>
        </w:rPr>
        <w:t>a)</w:t>
      </w:r>
      <w:r w:rsidRPr="001232FA">
        <w:rPr>
          <w:rFonts w:ascii="Palatino Linotype" w:eastAsia="MS Mincho" w:hAnsi="Palatino Linotype"/>
          <w:sz w:val="23"/>
          <w:szCs w:val="23"/>
        </w:rPr>
        <w:t xml:space="preserve"> ingresar al servicio público y </w:t>
      </w:r>
      <w:r w:rsidRPr="001232FA">
        <w:rPr>
          <w:rFonts w:ascii="Palatino Linotype" w:eastAsia="MS Mincho" w:hAnsi="Palatino Linotype"/>
          <w:b/>
          <w:sz w:val="23"/>
          <w:szCs w:val="23"/>
        </w:rPr>
        <w:t>b)</w:t>
      </w:r>
      <w:r w:rsidRPr="001232FA">
        <w:rPr>
          <w:rFonts w:ascii="Palatino Linotype" w:eastAsia="MS Mincho" w:hAnsi="Palatino Linotype"/>
          <w:sz w:val="23"/>
          <w:szCs w:val="23"/>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48202821" w14:textId="77777777" w:rsidR="001232FA" w:rsidRPr="001232FA" w:rsidRDefault="001232FA" w:rsidP="001232FA">
      <w:pPr>
        <w:spacing w:after="0" w:line="360" w:lineRule="auto"/>
        <w:jc w:val="both"/>
        <w:rPr>
          <w:rFonts w:ascii="Palatino Linotype" w:hAnsi="Palatino Linotype"/>
          <w:sz w:val="23"/>
          <w:szCs w:val="23"/>
        </w:rPr>
      </w:pPr>
    </w:p>
    <w:p w14:paraId="14B066CA"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Cabe resaltar que ninguna de estas leyes o normas de carácter general, 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información curricular de éstos.</w:t>
      </w:r>
    </w:p>
    <w:p w14:paraId="4E63FCF8" w14:textId="77777777" w:rsidR="001232FA" w:rsidRPr="001232FA" w:rsidRDefault="001232FA" w:rsidP="001232FA">
      <w:pPr>
        <w:spacing w:after="0" w:line="360" w:lineRule="auto"/>
        <w:jc w:val="both"/>
        <w:rPr>
          <w:rFonts w:ascii="Palatino Linotype" w:hAnsi="Palatino Linotype"/>
          <w:sz w:val="23"/>
          <w:szCs w:val="23"/>
        </w:rPr>
      </w:pPr>
    </w:p>
    <w:p w14:paraId="6CEC88AA"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lastRenderedPageBreak/>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4943C20A"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 </w:t>
      </w:r>
    </w:p>
    <w:p w14:paraId="4777E335"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Por tanto, se concluye que el grado escolar, se encuentra inmerso en la información curricular de los servidores públicos adscritos al Sujeto Obligado, debe hacerse pública en los términos que señala la Ley de la materia.</w:t>
      </w:r>
    </w:p>
    <w:p w14:paraId="5D543F78" w14:textId="77777777" w:rsidR="001232FA" w:rsidRPr="001232FA" w:rsidRDefault="001232FA" w:rsidP="001232FA">
      <w:pPr>
        <w:spacing w:after="0" w:line="360" w:lineRule="auto"/>
        <w:jc w:val="both"/>
        <w:rPr>
          <w:rFonts w:ascii="Palatino Linotype" w:hAnsi="Palatino Linotype"/>
          <w:sz w:val="23"/>
          <w:szCs w:val="23"/>
        </w:rPr>
      </w:pPr>
    </w:p>
    <w:p w14:paraId="22CE4EF9" w14:textId="3AA14A00" w:rsidR="001232FA" w:rsidRPr="001232FA" w:rsidRDefault="001232FA" w:rsidP="001232FA">
      <w:pPr>
        <w:spacing w:after="0" w:line="360" w:lineRule="auto"/>
        <w:jc w:val="both"/>
        <w:rPr>
          <w:rFonts w:ascii="Palatino Linotype" w:hAnsi="Palatino Linotype"/>
          <w:bCs/>
          <w:i/>
          <w:sz w:val="23"/>
          <w:szCs w:val="23"/>
        </w:rPr>
      </w:pPr>
      <w:r w:rsidRPr="001232FA">
        <w:rPr>
          <w:rFonts w:ascii="Palatino Linotype" w:hAnsi="Palatino Linotype"/>
          <w:sz w:val="23"/>
          <w:szCs w:val="23"/>
        </w:rPr>
        <w:t xml:space="preserve">Luego entonces, se arriba a la premisa de que la salvedad de pronunciamiento simple referida con anterioridad propicia a que </w:t>
      </w:r>
      <w:r w:rsidRPr="001232FA">
        <w:rPr>
          <w:rFonts w:ascii="Palatino Linotype" w:hAnsi="Palatino Linotype"/>
          <w:b/>
          <w:bCs/>
          <w:sz w:val="23"/>
          <w:szCs w:val="23"/>
        </w:rPr>
        <w:t xml:space="preserve">El Sujeto Obligado, </w:t>
      </w:r>
      <w:r w:rsidRPr="001232FA">
        <w:rPr>
          <w:rFonts w:ascii="Palatino Linotype" w:hAnsi="Palatino Linotype"/>
          <w:sz w:val="23"/>
          <w:szCs w:val="23"/>
        </w:rPr>
        <w:t xml:space="preserve">en etapa de cumplimiento pueda manifestar únicamente que no cuenta con la información referida en el resolutivo </w:t>
      </w:r>
      <w:r w:rsidRPr="001232FA">
        <w:rPr>
          <w:rFonts w:ascii="Palatino Linotype" w:hAnsi="Palatino Linotype"/>
          <w:b/>
          <w:bCs/>
          <w:sz w:val="23"/>
          <w:szCs w:val="23"/>
        </w:rPr>
        <w:t>SEGUNDO</w:t>
      </w:r>
      <w:r w:rsidRPr="001232FA">
        <w:rPr>
          <w:rFonts w:ascii="Palatino Linotype" w:hAnsi="Palatino Linotype"/>
          <w:bCs/>
          <w:sz w:val="23"/>
          <w:szCs w:val="23"/>
        </w:rPr>
        <w:t xml:space="preserve">, </w:t>
      </w:r>
      <w:r>
        <w:rPr>
          <w:rFonts w:ascii="Palatino Linotype" w:hAnsi="Palatino Linotype"/>
          <w:bCs/>
          <w:sz w:val="23"/>
          <w:szCs w:val="23"/>
        </w:rPr>
        <w:t>numeral 4</w:t>
      </w:r>
      <w:r w:rsidRPr="001232FA">
        <w:rPr>
          <w:rFonts w:ascii="Palatino Linotype" w:hAnsi="Palatino Linotype"/>
          <w:bCs/>
          <w:sz w:val="23"/>
          <w:szCs w:val="23"/>
        </w:rPr>
        <w:t xml:space="preserve">) </w:t>
      </w:r>
      <w:r w:rsidRPr="001232FA">
        <w:rPr>
          <w:rFonts w:ascii="Palatino Linotype" w:hAnsi="Palatino Linotype"/>
          <w:bCs/>
          <w:i/>
          <w:sz w:val="23"/>
          <w:szCs w:val="23"/>
        </w:rPr>
        <w:t>(el documento o los documentos que acrediten el último grado de estudios, de lo</w:t>
      </w:r>
      <w:r>
        <w:rPr>
          <w:rFonts w:ascii="Palatino Linotype" w:hAnsi="Palatino Linotype"/>
          <w:bCs/>
          <w:i/>
          <w:sz w:val="23"/>
          <w:szCs w:val="23"/>
        </w:rPr>
        <w:t>s servidores públicos faltantes</w:t>
      </w:r>
      <w:r w:rsidRPr="001232FA">
        <w:rPr>
          <w:rFonts w:ascii="Palatino Linotype" w:hAnsi="Palatino Linotype"/>
          <w:bCs/>
          <w:i/>
          <w:sz w:val="23"/>
          <w:szCs w:val="23"/>
        </w:rPr>
        <w:t>)</w:t>
      </w:r>
      <w:r w:rsidRPr="001232FA">
        <w:rPr>
          <w:rFonts w:ascii="Palatino Linotype" w:hAnsi="Palatino Linotype"/>
          <w:sz w:val="23"/>
          <w:szCs w:val="23"/>
        </w:rPr>
        <w:t xml:space="preserve"> lo cual a toda luz no propicia a la observancia de los principios de legalidad o ce</w:t>
      </w:r>
      <w:r>
        <w:rPr>
          <w:rFonts w:ascii="Palatino Linotype" w:hAnsi="Palatino Linotype"/>
          <w:sz w:val="23"/>
          <w:szCs w:val="23"/>
        </w:rPr>
        <w:t xml:space="preserve">rteza imperantes en la materia. </w:t>
      </w:r>
      <w:r w:rsidRPr="001232FA">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5FB87A60" w14:textId="77777777" w:rsidR="001232FA" w:rsidRPr="001232FA" w:rsidRDefault="001232FA" w:rsidP="001232FA">
      <w:pPr>
        <w:spacing w:after="0" w:line="360" w:lineRule="auto"/>
        <w:jc w:val="both"/>
        <w:rPr>
          <w:rFonts w:ascii="Palatino Linotype" w:hAnsi="Palatino Linotype"/>
          <w:sz w:val="23"/>
          <w:szCs w:val="23"/>
        </w:rPr>
      </w:pPr>
    </w:p>
    <w:p w14:paraId="433B9F80"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Conforme a lo anteriormente expuesto, es en ese sentido como he de emitir el presente </w:t>
      </w:r>
      <w:r w:rsidRPr="001232FA">
        <w:rPr>
          <w:rFonts w:ascii="Palatino Linotype" w:hAnsi="Palatino Linotype"/>
          <w:b/>
          <w:sz w:val="23"/>
          <w:szCs w:val="23"/>
        </w:rPr>
        <w:t>VOTO PARTICULAR</w:t>
      </w:r>
      <w:r w:rsidRPr="001232FA">
        <w:rPr>
          <w:rFonts w:ascii="Palatino Linotype" w:hAnsi="Palatino Linotype"/>
          <w:sz w:val="23"/>
          <w:szCs w:val="23"/>
        </w:rPr>
        <w:t xml:space="preserve">. </w:t>
      </w:r>
    </w:p>
    <w:p w14:paraId="7F588C3C" w14:textId="77777777" w:rsidR="001232FA" w:rsidRPr="008546EB" w:rsidRDefault="001232FA" w:rsidP="00A62EE1">
      <w:pPr>
        <w:spacing w:after="0" w:line="360" w:lineRule="auto"/>
        <w:jc w:val="both"/>
        <w:rPr>
          <w:rFonts w:ascii="Palatino Linotype" w:hAnsi="Palatino Linotype"/>
          <w:sz w:val="23"/>
          <w:szCs w:val="23"/>
        </w:rPr>
      </w:pPr>
    </w:p>
    <w:p w14:paraId="756D8867" w14:textId="77777777" w:rsidR="001464CB" w:rsidRPr="008546EB" w:rsidRDefault="001464CB" w:rsidP="0019061A">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21019B">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DB61D" w14:textId="77777777" w:rsidR="0021019B" w:rsidRDefault="0021019B" w:rsidP="004C1443">
      <w:pPr>
        <w:spacing w:after="0" w:line="240" w:lineRule="auto"/>
      </w:pPr>
      <w:r>
        <w:separator/>
      </w:r>
    </w:p>
  </w:endnote>
  <w:endnote w:type="continuationSeparator" w:id="0">
    <w:p w14:paraId="193109D2" w14:textId="77777777" w:rsidR="0021019B" w:rsidRDefault="0021019B"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1232FA">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1232FA">
              <w:rPr>
                <w:b/>
                <w:bCs/>
                <w:noProof/>
              </w:rPr>
              <w:t>10</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2185" w14:textId="77777777" w:rsidR="0021019B" w:rsidRDefault="0021019B" w:rsidP="004C1443">
      <w:pPr>
        <w:spacing w:after="0" w:line="240" w:lineRule="auto"/>
      </w:pPr>
      <w:r>
        <w:separator/>
      </w:r>
    </w:p>
  </w:footnote>
  <w:footnote w:type="continuationSeparator" w:id="0">
    <w:p w14:paraId="15769C52" w14:textId="77777777" w:rsidR="0021019B" w:rsidRDefault="0021019B"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0A18C14C"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BB76F9">
      <w:rPr>
        <w:rFonts w:ascii="Palatino Linotype" w:hAnsi="Palatino Linotype" w:cs="Arial"/>
        <w:b/>
        <w:bCs/>
        <w:sz w:val="22"/>
        <w:szCs w:val="22"/>
        <w:lang w:eastAsia="es-MX"/>
      </w:rPr>
      <w:t>5264</w:t>
    </w:r>
    <w:r w:rsidR="001348A8" w:rsidRPr="001348A8">
      <w:rPr>
        <w:rFonts w:ascii="Palatino Linotype" w:hAnsi="Palatino Linotype" w:cs="Arial"/>
        <w:b/>
        <w:bCs/>
        <w:sz w:val="22"/>
        <w:szCs w:val="22"/>
        <w:lang w:eastAsia="es-MX"/>
      </w:rPr>
      <w:t>/INFOEM/IP/RR/2023</w:t>
    </w:r>
    <w:r w:rsidR="00BB76F9">
      <w:rPr>
        <w:rFonts w:ascii="Palatino Linotype" w:hAnsi="Palatino Linotype" w:cs="Arial"/>
        <w:b/>
        <w:bCs/>
        <w:sz w:val="22"/>
        <w:szCs w:val="22"/>
        <w:lang w:eastAsia="es-MX"/>
      </w:rPr>
      <w:t xml:space="preserve"> Y ACUMULADOS</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5477E"/>
    <w:multiLevelType w:val="hybridMultilevel"/>
    <w:tmpl w:val="5142B690"/>
    <w:lvl w:ilvl="0" w:tplc="627A667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7"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31271317">
    <w:abstractNumId w:val="13"/>
  </w:num>
  <w:num w:numId="2" w16cid:durableId="418135131">
    <w:abstractNumId w:val="1"/>
  </w:num>
  <w:num w:numId="3" w16cid:durableId="262079345">
    <w:abstractNumId w:val="23"/>
  </w:num>
  <w:num w:numId="4" w16cid:durableId="1379939980">
    <w:abstractNumId w:val="17"/>
  </w:num>
  <w:num w:numId="5" w16cid:durableId="1371566623">
    <w:abstractNumId w:val="21"/>
  </w:num>
  <w:num w:numId="6" w16cid:durableId="282269451">
    <w:abstractNumId w:val="25"/>
  </w:num>
  <w:num w:numId="7" w16cid:durableId="1068528994">
    <w:abstractNumId w:val="8"/>
  </w:num>
  <w:num w:numId="8" w16cid:durableId="432169045">
    <w:abstractNumId w:val="2"/>
  </w:num>
  <w:num w:numId="9" w16cid:durableId="1995912374">
    <w:abstractNumId w:val="10"/>
  </w:num>
  <w:num w:numId="10" w16cid:durableId="205529897">
    <w:abstractNumId w:val="3"/>
  </w:num>
  <w:num w:numId="11" w16cid:durableId="1302542806">
    <w:abstractNumId w:val="29"/>
  </w:num>
  <w:num w:numId="12" w16cid:durableId="1262225779">
    <w:abstractNumId w:val="11"/>
  </w:num>
  <w:num w:numId="13" w16cid:durableId="2111192288">
    <w:abstractNumId w:val="5"/>
  </w:num>
  <w:num w:numId="14" w16cid:durableId="1232038507">
    <w:abstractNumId w:val="28"/>
  </w:num>
  <w:num w:numId="15" w16cid:durableId="914363900">
    <w:abstractNumId w:val="15"/>
  </w:num>
  <w:num w:numId="16" w16cid:durableId="1769502482">
    <w:abstractNumId w:val="9"/>
  </w:num>
  <w:num w:numId="17" w16cid:durableId="71466425">
    <w:abstractNumId w:val="12"/>
  </w:num>
  <w:num w:numId="18" w16cid:durableId="704209102">
    <w:abstractNumId w:val="7"/>
  </w:num>
  <w:num w:numId="19" w16cid:durableId="411900291">
    <w:abstractNumId w:val="26"/>
  </w:num>
  <w:num w:numId="20" w16cid:durableId="695271870">
    <w:abstractNumId w:val="14"/>
  </w:num>
  <w:num w:numId="21" w16cid:durableId="801001562">
    <w:abstractNumId w:val="4"/>
  </w:num>
  <w:num w:numId="22" w16cid:durableId="6373414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5354784">
    <w:abstractNumId w:val="0"/>
  </w:num>
  <w:num w:numId="24" w16cid:durableId="1714647051">
    <w:abstractNumId w:val="27"/>
  </w:num>
  <w:num w:numId="25" w16cid:durableId="306327884">
    <w:abstractNumId w:val="22"/>
  </w:num>
  <w:num w:numId="26" w16cid:durableId="929894259">
    <w:abstractNumId w:val="18"/>
  </w:num>
  <w:num w:numId="27" w16cid:durableId="316812405">
    <w:abstractNumId w:val="19"/>
  </w:num>
  <w:num w:numId="28" w16cid:durableId="1708721359">
    <w:abstractNumId w:val="24"/>
  </w:num>
  <w:num w:numId="29" w16cid:durableId="1758090231">
    <w:abstractNumId w:val="6"/>
  </w:num>
  <w:num w:numId="30" w16cid:durableId="1178160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353B6"/>
    <w:rsid w:val="00043B20"/>
    <w:rsid w:val="0009787F"/>
    <w:rsid w:val="000C3815"/>
    <w:rsid w:val="000D21E7"/>
    <w:rsid w:val="000D26DF"/>
    <w:rsid w:val="000E0143"/>
    <w:rsid w:val="000E1ABA"/>
    <w:rsid w:val="000E517C"/>
    <w:rsid w:val="000F14DA"/>
    <w:rsid w:val="000F1B77"/>
    <w:rsid w:val="000F49C4"/>
    <w:rsid w:val="00104F5C"/>
    <w:rsid w:val="00105765"/>
    <w:rsid w:val="001232FA"/>
    <w:rsid w:val="001348A8"/>
    <w:rsid w:val="00137BCF"/>
    <w:rsid w:val="00145FED"/>
    <w:rsid w:val="001464CB"/>
    <w:rsid w:val="00147286"/>
    <w:rsid w:val="001822DD"/>
    <w:rsid w:val="00186357"/>
    <w:rsid w:val="0019061A"/>
    <w:rsid w:val="0019696B"/>
    <w:rsid w:val="001B3D19"/>
    <w:rsid w:val="0021019B"/>
    <w:rsid w:val="00211741"/>
    <w:rsid w:val="002351CE"/>
    <w:rsid w:val="00235E50"/>
    <w:rsid w:val="002374B9"/>
    <w:rsid w:val="00240D8D"/>
    <w:rsid w:val="00243EF0"/>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847F7"/>
    <w:rsid w:val="00384C8B"/>
    <w:rsid w:val="00396F4A"/>
    <w:rsid w:val="003D76A7"/>
    <w:rsid w:val="003F52D7"/>
    <w:rsid w:val="00403FFD"/>
    <w:rsid w:val="004269DC"/>
    <w:rsid w:val="00437D21"/>
    <w:rsid w:val="004402F7"/>
    <w:rsid w:val="004446DD"/>
    <w:rsid w:val="00456F17"/>
    <w:rsid w:val="00463A29"/>
    <w:rsid w:val="00491A04"/>
    <w:rsid w:val="00494F48"/>
    <w:rsid w:val="004B585F"/>
    <w:rsid w:val="004C1443"/>
    <w:rsid w:val="004C5122"/>
    <w:rsid w:val="004D3A6E"/>
    <w:rsid w:val="004D5C09"/>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760F"/>
    <w:rsid w:val="006023F6"/>
    <w:rsid w:val="006069F7"/>
    <w:rsid w:val="00613A04"/>
    <w:rsid w:val="006275C6"/>
    <w:rsid w:val="006342FD"/>
    <w:rsid w:val="00667D1F"/>
    <w:rsid w:val="006A51FD"/>
    <w:rsid w:val="006D3740"/>
    <w:rsid w:val="006D627E"/>
    <w:rsid w:val="006E4C00"/>
    <w:rsid w:val="006F544E"/>
    <w:rsid w:val="006F7F79"/>
    <w:rsid w:val="00707558"/>
    <w:rsid w:val="0071133A"/>
    <w:rsid w:val="0071304D"/>
    <w:rsid w:val="007466E7"/>
    <w:rsid w:val="007518F5"/>
    <w:rsid w:val="007552BF"/>
    <w:rsid w:val="0077712D"/>
    <w:rsid w:val="00787CFE"/>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608D"/>
    <w:rsid w:val="008C04DB"/>
    <w:rsid w:val="008D6140"/>
    <w:rsid w:val="008E005D"/>
    <w:rsid w:val="008E47B8"/>
    <w:rsid w:val="008F6B22"/>
    <w:rsid w:val="00900682"/>
    <w:rsid w:val="00911F00"/>
    <w:rsid w:val="00915E74"/>
    <w:rsid w:val="00924459"/>
    <w:rsid w:val="00963470"/>
    <w:rsid w:val="00967270"/>
    <w:rsid w:val="0099768F"/>
    <w:rsid w:val="009A72D3"/>
    <w:rsid w:val="009B0A29"/>
    <w:rsid w:val="009B46D0"/>
    <w:rsid w:val="009C651B"/>
    <w:rsid w:val="009E6EF2"/>
    <w:rsid w:val="00A10C19"/>
    <w:rsid w:val="00A16488"/>
    <w:rsid w:val="00A41FAD"/>
    <w:rsid w:val="00A430F5"/>
    <w:rsid w:val="00A62EE1"/>
    <w:rsid w:val="00A85CFE"/>
    <w:rsid w:val="00A9353F"/>
    <w:rsid w:val="00AC1F7C"/>
    <w:rsid w:val="00AF71C1"/>
    <w:rsid w:val="00B40E2E"/>
    <w:rsid w:val="00B41E23"/>
    <w:rsid w:val="00B6198B"/>
    <w:rsid w:val="00B71EFC"/>
    <w:rsid w:val="00B77C19"/>
    <w:rsid w:val="00B835E7"/>
    <w:rsid w:val="00B91483"/>
    <w:rsid w:val="00BB76F9"/>
    <w:rsid w:val="00BE4F0C"/>
    <w:rsid w:val="00C42420"/>
    <w:rsid w:val="00C4620E"/>
    <w:rsid w:val="00C61583"/>
    <w:rsid w:val="00C65E0C"/>
    <w:rsid w:val="00C96E88"/>
    <w:rsid w:val="00CE6B6A"/>
    <w:rsid w:val="00CF11A8"/>
    <w:rsid w:val="00D014A2"/>
    <w:rsid w:val="00D040F5"/>
    <w:rsid w:val="00D23555"/>
    <w:rsid w:val="00D26D4E"/>
    <w:rsid w:val="00D4116A"/>
    <w:rsid w:val="00D57282"/>
    <w:rsid w:val="00D65428"/>
    <w:rsid w:val="00D675E4"/>
    <w:rsid w:val="00D875B1"/>
    <w:rsid w:val="00D953EF"/>
    <w:rsid w:val="00DB0A5B"/>
    <w:rsid w:val="00DB6F26"/>
    <w:rsid w:val="00DC57C3"/>
    <w:rsid w:val="00DC5F78"/>
    <w:rsid w:val="00DD13E2"/>
    <w:rsid w:val="00E047E0"/>
    <w:rsid w:val="00E34CA6"/>
    <w:rsid w:val="00E52718"/>
    <w:rsid w:val="00E554DC"/>
    <w:rsid w:val="00E6367E"/>
    <w:rsid w:val="00E92686"/>
    <w:rsid w:val="00EA61C1"/>
    <w:rsid w:val="00EC70B3"/>
    <w:rsid w:val="00ED0FE3"/>
    <w:rsid w:val="00EE051D"/>
    <w:rsid w:val="00F07361"/>
    <w:rsid w:val="00F133A3"/>
    <w:rsid w:val="00F20432"/>
    <w:rsid w:val="00F2106C"/>
    <w:rsid w:val="00F57C84"/>
    <w:rsid w:val="00F66EDF"/>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1361B-17DE-4DE3-890B-49362F92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1976</Words>
  <Characters>10869</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2024-04-08T16:40:00Z</cp:lastPrinted>
  <dcterms:created xsi:type="dcterms:W3CDTF">2024-04-05T01:01:00Z</dcterms:created>
  <dcterms:modified xsi:type="dcterms:W3CDTF">2024-04-08T16:42:00Z</dcterms:modified>
</cp:coreProperties>
</file>