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36B31" w14:textId="77777777" w:rsidR="005B55A3" w:rsidRDefault="00A2438A" w:rsidP="00A2438A">
      <w:pPr>
        <w:spacing w:after="0" w:line="360" w:lineRule="auto"/>
        <w:jc w:val="both"/>
        <w:rPr>
          <w:rFonts w:ascii="Palatino Linotype" w:eastAsia="Palatino Linotype" w:hAnsi="Palatino Linotype" w:cs="Palatino Linotype"/>
          <w:b/>
        </w:rPr>
      </w:pPr>
      <w:bookmarkStart w:id="0" w:name="_heading=h.gjdgxs" w:colFirst="0" w:colLast="0"/>
      <w:bookmarkEnd w:id="0"/>
      <w:r>
        <w:rPr>
          <w:rFonts w:ascii="Palatino Linotype" w:eastAsia="Palatino Linotype" w:hAnsi="Palatino Linotype" w:cs="Palatino Linotype"/>
          <w:b/>
        </w:rPr>
        <w:t>VOTO PARTICULAR QUE FORMULA LA COMISIONADA GUADALUPE RAMÍREZ PEÑA, EN RELACIÓN CON LA RESOLUCIÓN DICTADA POR EL PLENO DEL INSTITUTO DE TRANSPARENCIA, ACCESO A LA INFORMACIÓN PÚBLICA Y PROTECCIÓN DE DATOS PERSONALES DEL ESTADO DE MÉXICO Y MUNICIPIOS, EN LA DÉCIMA SEXTA SESIÓN ORDINARIA DEL NUEVE DE MAYO DE DOS MIL VEINTICUATRO, EN EL RECURSO DE REVISIÓN 07105/INFOEM/IP/RR/2023.</w:t>
      </w:r>
      <w:bookmarkStart w:id="1" w:name="_GoBack"/>
      <w:bookmarkEnd w:id="1"/>
    </w:p>
    <w:p w14:paraId="42A3EE8C" w14:textId="77777777" w:rsidR="005B55A3" w:rsidRDefault="005B55A3" w:rsidP="00A2438A">
      <w:pPr>
        <w:spacing w:after="0" w:line="360" w:lineRule="auto"/>
        <w:jc w:val="both"/>
        <w:rPr>
          <w:rFonts w:ascii="Palatino Linotype" w:eastAsia="Palatino Linotype" w:hAnsi="Palatino Linotype" w:cs="Palatino Linotype"/>
          <w:b/>
        </w:rPr>
      </w:pPr>
    </w:p>
    <w:p w14:paraId="26035018" w14:textId="77777777" w:rsidR="005B55A3" w:rsidRDefault="00A2438A" w:rsidP="00A2438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la suscrita emite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 xml:space="preserve">respecto a la resolución dictada en el recurso de revisión número </w:t>
      </w:r>
      <w:r>
        <w:rPr>
          <w:rFonts w:ascii="Palatino Linotype" w:eastAsia="Palatino Linotype" w:hAnsi="Palatino Linotype" w:cs="Palatino Linotype"/>
          <w:b/>
        </w:rPr>
        <w:t>07105/INFOEM/IP/RR/2023</w:t>
      </w:r>
      <w:r>
        <w:rPr>
          <w:rFonts w:ascii="Palatino Linotype" w:eastAsia="Palatino Linotype" w:hAnsi="Palatino Linotype" w:cs="Palatino Linotype"/>
        </w:rPr>
        <w:t xml:space="preserve">, pronunciada por el Pleno de este Instituto ante el proyecto presentado por el </w:t>
      </w:r>
      <w:r>
        <w:rPr>
          <w:rFonts w:ascii="Palatino Linotype" w:eastAsia="Palatino Linotype" w:hAnsi="Palatino Linotype" w:cs="Palatino Linotype"/>
          <w:b/>
        </w:rPr>
        <w:t>Comisionado Presidente José Martínez Vilchis</w:t>
      </w:r>
      <w:r>
        <w:rPr>
          <w:rFonts w:ascii="Palatino Linotype" w:eastAsia="Palatino Linotype" w:hAnsi="Palatino Linotype" w:cs="Palatino Linotype"/>
        </w:rPr>
        <w:t>, el cual es al tenor siguiente:</w:t>
      </w:r>
    </w:p>
    <w:p w14:paraId="68247D63" w14:textId="77777777" w:rsidR="005B55A3" w:rsidRDefault="00A2438A" w:rsidP="00A2438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5AEB228B" w14:textId="77777777" w:rsidR="005B55A3" w:rsidRDefault="00A2438A" w:rsidP="00A2438A">
      <w:pPr>
        <w:numPr>
          <w:ilvl w:val="0"/>
          <w:numId w:val="2"/>
        </w:numPr>
        <w:tabs>
          <w:tab w:val="left" w:pos="567"/>
        </w:tabs>
        <w:spacing w:after="0" w:line="360" w:lineRule="auto"/>
        <w:ind w:left="284" w:firstLine="0"/>
        <w:jc w:val="both"/>
        <w:rPr>
          <w:rFonts w:ascii="Palatino Linotype" w:eastAsia="Palatino Linotype" w:hAnsi="Palatino Linotype" w:cs="Palatino Linotype"/>
          <w:b/>
        </w:rPr>
      </w:pPr>
      <w:r>
        <w:rPr>
          <w:rFonts w:ascii="Palatino Linotype" w:eastAsia="Palatino Linotype" w:hAnsi="Palatino Linotype" w:cs="Palatino Linotype"/>
          <w:b/>
        </w:rPr>
        <w:t>Antecedentes.</w:t>
      </w:r>
    </w:p>
    <w:p w14:paraId="099917B3" w14:textId="77777777" w:rsidR="005B55A3" w:rsidRDefault="005B55A3" w:rsidP="00A2438A">
      <w:pPr>
        <w:tabs>
          <w:tab w:val="left" w:pos="567"/>
        </w:tabs>
        <w:spacing w:after="0" w:line="360" w:lineRule="auto"/>
        <w:ind w:left="284"/>
        <w:jc w:val="both"/>
        <w:rPr>
          <w:rFonts w:ascii="Palatino Linotype" w:eastAsia="Palatino Linotype" w:hAnsi="Palatino Linotype" w:cs="Palatino Linotype"/>
          <w:b/>
        </w:rPr>
      </w:pPr>
    </w:p>
    <w:p w14:paraId="512EE267" w14:textId="372F0B8F" w:rsidR="005B55A3" w:rsidRDefault="00A2438A" w:rsidP="00A2438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asunto que nos ocupa,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Tecnológico de Estudios Superiores de Coacalco</w:t>
      </w:r>
      <w:r>
        <w:rPr>
          <w:rFonts w:ascii="Palatino Linotype" w:eastAsia="Palatino Linotype" w:hAnsi="Palatino Linotype" w:cs="Palatino Linotype"/>
        </w:rPr>
        <w:t xml:space="preserve">, en su carácter de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la siguiente información: </w:t>
      </w:r>
    </w:p>
    <w:p w14:paraId="22DB4A03" w14:textId="77777777" w:rsidR="00A2438A" w:rsidRDefault="00A2438A" w:rsidP="00A2438A">
      <w:pPr>
        <w:spacing w:after="0" w:line="360" w:lineRule="auto"/>
        <w:jc w:val="both"/>
        <w:rPr>
          <w:rFonts w:ascii="Palatino Linotype" w:eastAsia="Palatino Linotype" w:hAnsi="Palatino Linotype" w:cs="Palatino Linotype"/>
        </w:rPr>
      </w:pPr>
    </w:p>
    <w:p w14:paraId="0EB061FD" w14:textId="51B31F7E" w:rsidR="005B55A3" w:rsidRDefault="00A2438A" w:rsidP="00A2438A">
      <w:pPr>
        <w:spacing w:after="0" w:line="240" w:lineRule="auto"/>
        <w:ind w:left="567" w:right="902"/>
        <w:jc w:val="both"/>
        <w:rPr>
          <w:rFonts w:ascii="Palatino Linotype" w:eastAsia="Palatino Linotype" w:hAnsi="Palatino Linotype" w:cs="Palatino Linotype"/>
          <w:i/>
        </w:rPr>
      </w:pPr>
      <w:bookmarkStart w:id="2" w:name="_heading=h.2et92p0" w:colFirst="0" w:colLast="0"/>
      <w:bookmarkEnd w:id="2"/>
      <w:r>
        <w:rPr>
          <w:rFonts w:ascii="Palatino Linotype" w:eastAsia="Palatino Linotype" w:hAnsi="Palatino Linotype" w:cs="Palatino Linotype"/>
          <w:i/>
        </w:rPr>
        <w:t>“</w:t>
      </w:r>
      <w:proofErr w:type="spellStart"/>
      <w:r>
        <w:rPr>
          <w:rFonts w:ascii="Palatino Linotype" w:eastAsia="Palatino Linotype" w:hAnsi="Palatino Linotype" w:cs="Palatino Linotype"/>
          <w:i/>
        </w:rPr>
        <w:t>eXPEDIENTE</w:t>
      </w:r>
      <w:proofErr w:type="spellEnd"/>
      <w:r>
        <w:rPr>
          <w:rFonts w:ascii="Palatino Linotype" w:eastAsia="Palatino Linotype" w:hAnsi="Palatino Linotype" w:cs="Palatino Linotype"/>
          <w:i/>
        </w:rPr>
        <w:t xml:space="preserve"> LABORAL DE ALFREDO HERNANDEZ HERRERA, CON PERMISOS LICENCIAS, RECIBOS DE NOMINA DEL 2022 A LA FECHA” (Sic)</w:t>
      </w:r>
    </w:p>
    <w:p w14:paraId="5FCC0CC6" w14:textId="77777777" w:rsidR="00A2438A" w:rsidRDefault="00A2438A" w:rsidP="00A2438A">
      <w:pPr>
        <w:spacing w:after="0" w:line="240" w:lineRule="auto"/>
        <w:ind w:left="567" w:right="902"/>
        <w:jc w:val="both"/>
        <w:rPr>
          <w:rFonts w:ascii="Palatino Linotype" w:eastAsia="Palatino Linotype" w:hAnsi="Palatino Linotype" w:cs="Palatino Linotype"/>
          <w:i/>
        </w:rPr>
      </w:pPr>
    </w:p>
    <w:p w14:paraId="1FABCED9" w14:textId="77777777" w:rsidR="005B55A3" w:rsidRDefault="00A2438A" w:rsidP="00A2438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remitió el siguiente archivo electrónico:</w:t>
      </w:r>
    </w:p>
    <w:p w14:paraId="1D2B2D8E" w14:textId="77777777" w:rsidR="005B55A3" w:rsidRDefault="00A2438A" w:rsidP="00A2438A">
      <w:pPr>
        <w:numPr>
          <w:ilvl w:val="0"/>
          <w:numId w:val="3"/>
        </w:numPr>
        <w:spacing w:after="0" w:line="360" w:lineRule="auto"/>
        <w:ind w:left="567" w:hanging="141"/>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Respuesta IP-00016-2023.pdf: </w:t>
      </w:r>
      <w:r>
        <w:rPr>
          <w:rFonts w:ascii="Palatino Linotype" w:eastAsia="Palatino Linotype" w:hAnsi="Palatino Linotype" w:cs="Palatino Linotype"/>
        </w:rPr>
        <w:t>Documento que consta de dos fojas escaneadas en formato PDF de fecha diez de octubre de dos mil veintitrés por medio del cual la Jefa del Departamento de Administración de Personal del Tecnológico de Estudios Superiores de Coacalco manifestó lo siguiente;</w:t>
      </w:r>
    </w:p>
    <w:p w14:paraId="1C7F6872" w14:textId="77777777" w:rsidR="005B55A3" w:rsidRDefault="00A2438A" w:rsidP="00A2438A">
      <w:pPr>
        <w:numPr>
          <w:ilvl w:val="0"/>
          <w:numId w:val="4"/>
        </w:numPr>
        <w:spacing w:after="0" w:line="360" w:lineRule="auto"/>
        <w:ind w:left="567" w:hanging="141"/>
        <w:jc w:val="both"/>
        <w:rPr>
          <w:rFonts w:ascii="Palatino Linotype" w:eastAsia="Palatino Linotype" w:hAnsi="Palatino Linotype" w:cs="Palatino Linotype"/>
        </w:rPr>
      </w:pPr>
      <w:r>
        <w:rPr>
          <w:rFonts w:ascii="Palatino Linotype" w:eastAsia="Palatino Linotype" w:hAnsi="Palatino Linotype" w:cs="Palatino Linotype"/>
          <w:color w:val="000000"/>
        </w:rPr>
        <w:t>Alfredo Hernández Herrera labora en la institución desde el primero de agosto de 1997 a la fecha.</w:t>
      </w:r>
    </w:p>
    <w:p w14:paraId="5ED6984E" w14:textId="77777777" w:rsidR="005B55A3" w:rsidRDefault="00A2438A" w:rsidP="00A2438A">
      <w:pPr>
        <w:numPr>
          <w:ilvl w:val="0"/>
          <w:numId w:val="4"/>
        </w:numPr>
        <w:spacing w:after="0" w:line="360" w:lineRule="auto"/>
        <w:ind w:left="567" w:hanging="141"/>
        <w:jc w:val="both"/>
        <w:rPr>
          <w:rFonts w:ascii="Palatino Linotype" w:eastAsia="Palatino Linotype" w:hAnsi="Palatino Linotype" w:cs="Palatino Linotype"/>
        </w:rPr>
      </w:pPr>
      <w:r>
        <w:rPr>
          <w:rFonts w:ascii="Palatino Linotype" w:eastAsia="Palatino Linotype" w:hAnsi="Palatino Linotype" w:cs="Palatino Linotype"/>
          <w:color w:val="000000"/>
        </w:rPr>
        <w:t>Desde el ejercicio 2022 a la fecha se le han otorgado nueve permisos económicos y cero licencias.</w:t>
      </w:r>
    </w:p>
    <w:p w14:paraId="699DDFB2" w14:textId="77777777" w:rsidR="005B55A3" w:rsidRDefault="00A2438A" w:rsidP="00A2438A">
      <w:pPr>
        <w:numPr>
          <w:ilvl w:val="0"/>
          <w:numId w:val="4"/>
        </w:numPr>
        <w:spacing w:after="0" w:line="360" w:lineRule="auto"/>
        <w:ind w:left="567" w:hanging="141"/>
        <w:jc w:val="both"/>
        <w:rPr>
          <w:rFonts w:ascii="Palatino Linotype" w:eastAsia="Palatino Linotype" w:hAnsi="Palatino Linotype" w:cs="Palatino Linotype"/>
        </w:rPr>
      </w:pPr>
      <w:r>
        <w:rPr>
          <w:rFonts w:ascii="Palatino Linotype" w:eastAsia="Palatino Linotype" w:hAnsi="Palatino Linotype" w:cs="Palatino Linotype"/>
          <w:color w:val="000000"/>
        </w:rPr>
        <w:t>Los recibos de nómina fueron sometidos a clasificación de la información como confidencial.</w:t>
      </w:r>
    </w:p>
    <w:p w14:paraId="689B9710" w14:textId="77777777" w:rsidR="005B55A3" w:rsidRDefault="005B55A3" w:rsidP="00A2438A">
      <w:pPr>
        <w:spacing w:after="0" w:line="360" w:lineRule="auto"/>
        <w:jc w:val="both"/>
        <w:rPr>
          <w:rFonts w:ascii="Palatino Linotype" w:eastAsia="Palatino Linotype" w:hAnsi="Palatino Linotype" w:cs="Palatino Linotype"/>
        </w:rPr>
      </w:pPr>
    </w:p>
    <w:p w14:paraId="33FF3421" w14:textId="4E6F2B5F" w:rsidR="005B55A3" w:rsidRDefault="00A2438A" w:rsidP="00A2438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ello,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inconformó al considerar que la información se encontraba incompleta; en tal tesitura, una vez admitido el recurso de revisión, se puso a disposición de las partes para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y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presentara sus manifestaciones o alegatos, teniendo así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no remitió documento alguno, mientras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entregó las siguientes documentales:</w:t>
      </w:r>
    </w:p>
    <w:p w14:paraId="607F9E5E" w14:textId="77777777" w:rsidR="005B55A3" w:rsidRDefault="005B55A3" w:rsidP="00A2438A">
      <w:pPr>
        <w:spacing w:after="0" w:line="360" w:lineRule="auto"/>
        <w:jc w:val="both"/>
        <w:rPr>
          <w:rFonts w:ascii="Palatino Linotype" w:eastAsia="Palatino Linotype" w:hAnsi="Palatino Linotype" w:cs="Palatino Linotype"/>
        </w:rPr>
      </w:pPr>
    </w:p>
    <w:p w14:paraId="1AEB67D3" w14:textId="77777777" w:rsidR="005B55A3" w:rsidRDefault="00A2438A" w:rsidP="00A2438A">
      <w:pPr>
        <w:numPr>
          <w:ilvl w:val="0"/>
          <w:numId w:val="3"/>
        </w:numPr>
        <w:spacing w:after="0" w:line="276" w:lineRule="auto"/>
        <w:ind w:left="567" w:right="900" w:hanging="141"/>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RR-07105-IP-0016-2023.pdf: </w:t>
      </w:r>
      <w:r>
        <w:rPr>
          <w:rFonts w:ascii="Palatino Linotype" w:eastAsia="Palatino Linotype" w:hAnsi="Palatino Linotype" w:cs="Palatino Linotype"/>
        </w:rPr>
        <w:t xml:space="preserve">Documento que consta de siete fojas en formato PDF por medio del cual el Subdirector de Planeación y Apoyos Tecnológicos, Presidente del Comité de Transparencia y Titular de la Unidad de Transparencia rinde informe justificado manifestando que los recibos de nómina se encuentran en el portal IPOMEX y anexa una liga electrónica con una serie de instrucciones en los términos siguientes: </w:t>
      </w:r>
    </w:p>
    <w:p w14:paraId="53FABDCD" w14:textId="77777777" w:rsidR="005B55A3" w:rsidRDefault="00197F00" w:rsidP="00A2438A">
      <w:pPr>
        <w:numPr>
          <w:ilvl w:val="0"/>
          <w:numId w:val="4"/>
        </w:numPr>
        <w:spacing w:after="0" w:line="276" w:lineRule="auto"/>
        <w:ind w:left="567" w:right="900" w:hanging="141"/>
        <w:jc w:val="both"/>
        <w:rPr>
          <w:rFonts w:ascii="Palatino Linotype" w:eastAsia="Palatino Linotype" w:hAnsi="Palatino Linotype" w:cs="Palatino Linotype"/>
          <w:i/>
        </w:rPr>
      </w:pPr>
      <w:hyperlink r:id="rId8">
        <w:r w:rsidR="00A2438A">
          <w:rPr>
            <w:rFonts w:ascii="Palatino Linotype" w:eastAsia="Palatino Linotype" w:hAnsi="Palatino Linotype" w:cs="Palatino Linotype"/>
            <w:b/>
            <w:i/>
            <w:color w:val="0563C1"/>
            <w:u w:val="single"/>
          </w:rPr>
          <w:t>https:</w:t>
        </w:r>
      </w:hyperlink>
      <w:hyperlink r:id="rId9">
        <w:r w:rsidR="00A2438A">
          <w:rPr>
            <w:rFonts w:ascii="Palatino Linotype" w:eastAsia="Palatino Linotype" w:hAnsi="Palatino Linotype" w:cs="Palatino Linotype"/>
            <w:i/>
            <w:color w:val="0563C1"/>
            <w:u w:val="single"/>
          </w:rPr>
          <w:t>//ipomex.org.mx/ipo3/lgt/indice/TESCO.web</w:t>
        </w:r>
      </w:hyperlink>
      <w:r w:rsidR="00A2438A">
        <w:rPr>
          <w:rFonts w:ascii="Palatino Linotype" w:eastAsia="Palatino Linotype" w:hAnsi="Palatino Linotype" w:cs="Palatino Linotype"/>
          <w:i/>
        </w:rPr>
        <w:t xml:space="preserve"> </w:t>
      </w:r>
    </w:p>
    <w:p w14:paraId="55504B7F" w14:textId="77777777" w:rsidR="005B55A3" w:rsidRDefault="00A2438A" w:rsidP="00A2438A">
      <w:pPr>
        <w:numPr>
          <w:ilvl w:val="0"/>
          <w:numId w:val="4"/>
        </w:numPr>
        <w:spacing w:after="0" w:line="276" w:lineRule="auto"/>
        <w:ind w:left="567" w:right="900" w:hanging="141"/>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Ingresar a la fracción VIII A Remuneraciones </w:t>
      </w:r>
    </w:p>
    <w:p w14:paraId="046D21CE" w14:textId="77777777" w:rsidR="005B55A3" w:rsidRDefault="00A2438A" w:rsidP="00A2438A">
      <w:pPr>
        <w:numPr>
          <w:ilvl w:val="0"/>
          <w:numId w:val="4"/>
        </w:numPr>
        <w:spacing w:after="0" w:line="276" w:lineRule="auto"/>
        <w:ind w:left="567" w:right="900" w:hanging="141"/>
        <w:jc w:val="both"/>
        <w:rPr>
          <w:rFonts w:ascii="Palatino Linotype" w:eastAsia="Palatino Linotype" w:hAnsi="Palatino Linotype" w:cs="Palatino Linotype"/>
          <w:i/>
        </w:rPr>
      </w:pPr>
      <w:r>
        <w:rPr>
          <w:rFonts w:ascii="Palatino Linotype" w:eastAsia="Palatino Linotype" w:hAnsi="Palatino Linotype" w:cs="Palatino Linotype"/>
          <w:i/>
        </w:rPr>
        <w:t>Desplegada la información se visualizarán los registros para seleccionar cualquiera</w:t>
      </w:r>
    </w:p>
    <w:p w14:paraId="69B68711" w14:textId="77777777" w:rsidR="005B55A3" w:rsidRDefault="00A2438A" w:rsidP="00A2438A">
      <w:pPr>
        <w:numPr>
          <w:ilvl w:val="0"/>
          <w:numId w:val="4"/>
        </w:numPr>
        <w:spacing w:after="0" w:line="276" w:lineRule="auto"/>
        <w:ind w:left="567" w:right="900"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Finalmente, una vez seleccionado el registro que se desee se visualizara según lo seleccionado </w:t>
      </w:r>
    </w:p>
    <w:p w14:paraId="1A688FF6" w14:textId="77777777" w:rsidR="005B55A3" w:rsidRDefault="005B55A3" w:rsidP="00A2438A">
      <w:pPr>
        <w:spacing w:after="0" w:line="276" w:lineRule="auto"/>
        <w:jc w:val="both"/>
        <w:rPr>
          <w:rFonts w:ascii="Palatino Linotype" w:eastAsia="Palatino Linotype" w:hAnsi="Palatino Linotype" w:cs="Palatino Linotype"/>
          <w:i/>
        </w:rPr>
      </w:pPr>
    </w:p>
    <w:p w14:paraId="3867A2B7" w14:textId="77777777" w:rsidR="005B55A3" w:rsidRDefault="00A2438A" w:rsidP="00A2438A">
      <w:pPr>
        <w:numPr>
          <w:ilvl w:val="0"/>
          <w:numId w:val="3"/>
        </w:numPr>
        <w:spacing w:after="0" w:line="276" w:lineRule="auto"/>
        <w:ind w:left="567" w:right="900" w:hanging="141"/>
        <w:jc w:val="both"/>
        <w:rPr>
          <w:rFonts w:ascii="Palatino Linotype" w:eastAsia="Palatino Linotype" w:hAnsi="Palatino Linotype" w:cs="Palatino Linotype"/>
          <w:i/>
        </w:rPr>
      </w:pPr>
      <w:r>
        <w:rPr>
          <w:rFonts w:ascii="Palatino Linotype" w:eastAsia="Palatino Linotype" w:hAnsi="Palatino Linotype" w:cs="Palatino Linotype"/>
          <w:b/>
          <w:i/>
        </w:rPr>
        <w:t xml:space="preserve">2023. Segunda Sesión Extraordinaria.pdf: </w:t>
      </w:r>
      <w:r>
        <w:rPr>
          <w:rFonts w:ascii="Palatino Linotype" w:eastAsia="Palatino Linotype" w:hAnsi="Palatino Linotype" w:cs="Palatino Linotype"/>
        </w:rPr>
        <w:t>Documento que consta de cinco fojas en formato PDF en el que se visualiza la Segunda Sesión Ordinaria del Comité de Transparencia del Tecnológico de Estudios Superiores de Coacalco (</w:t>
      </w:r>
      <w:proofErr w:type="spellStart"/>
      <w:r>
        <w:rPr>
          <w:rFonts w:ascii="Palatino Linotype" w:eastAsia="Palatino Linotype" w:hAnsi="Palatino Linotype" w:cs="Palatino Linotype"/>
        </w:rPr>
        <w:t>TESCo</w:t>
      </w:r>
      <w:proofErr w:type="spellEnd"/>
      <w:r>
        <w:rPr>
          <w:rFonts w:ascii="Palatino Linotype" w:eastAsia="Palatino Linotype" w:hAnsi="Palatino Linotype" w:cs="Palatino Linotype"/>
        </w:rPr>
        <w:t xml:space="preserve">) por medio de la cual se clasificó como confidencial la información contenida en los recibos de nómina así como el </w:t>
      </w:r>
      <w:proofErr w:type="spellStart"/>
      <w:r>
        <w:rPr>
          <w:rFonts w:ascii="Palatino Linotype" w:eastAsia="Palatino Linotype" w:hAnsi="Palatino Linotype" w:cs="Palatino Linotype"/>
        </w:rPr>
        <w:t>curriculum</w:t>
      </w:r>
      <w:proofErr w:type="spellEnd"/>
      <w:r>
        <w:rPr>
          <w:rFonts w:ascii="Palatino Linotype" w:eastAsia="Palatino Linotype" w:hAnsi="Palatino Linotype" w:cs="Palatino Linotype"/>
        </w:rPr>
        <w:t xml:space="preserve"> vitae de los servidores públicos adscritos al Tecnológico de Estudios Superiores de Coacalco </w:t>
      </w:r>
    </w:p>
    <w:p w14:paraId="7ADA11DB" w14:textId="77777777" w:rsidR="005B55A3" w:rsidRDefault="005B55A3" w:rsidP="00A2438A">
      <w:pPr>
        <w:spacing w:after="0" w:line="276" w:lineRule="auto"/>
        <w:ind w:left="567" w:right="900" w:hanging="141"/>
        <w:jc w:val="both"/>
        <w:rPr>
          <w:rFonts w:ascii="Palatino Linotype" w:eastAsia="Palatino Linotype" w:hAnsi="Palatino Linotype" w:cs="Palatino Linotype"/>
          <w:i/>
        </w:rPr>
      </w:pPr>
    </w:p>
    <w:p w14:paraId="1AEBF46C" w14:textId="77777777" w:rsidR="005B55A3" w:rsidRDefault="005B55A3" w:rsidP="00A2438A">
      <w:pPr>
        <w:spacing w:after="0" w:line="276" w:lineRule="auto"/>
        <w:ind w:left="567" w:right="900" w:hanging="141"/>
        <w:jc w:val="both"/>
        <w:rPr>
          <w:rFonts w:ascii="Palatino Linotype" w:eastAsia="Palatino Linotype" w:hAnsi="Palatino Linotype" w:cs="Palatino Linotype"/>
          <w:i/>
        </w:rPr>
      </w:pPr>
    </w:p>
    <w:p w14:paraId="690CA26E" w14:textId="77777777" w:rsidR="005B55A3" w:rsidRDefault="00A2438A" w:rsidP="00A2438A">
      <w:pPr>
        <w:numPr>
          <w:ilvl w:val="0"/>
          <w:numId w:val="3"/>
        </w:numPr>
        <w:spacing w:after="0" w:line="276" w:lineRule="auto"/>
        <w:ind w:left="567" w:right="900" w:hanging="141"/>
        <w:jc w:val="both"/>
        <w:rPr>
          <w:rFonts w:ascii="Palatino Linotype" w:eastAsia="Palatino Linotype" w:hAnsi="Palatino Linotype" w:cs="Palatino Linotype"/>
          <w:i/>
        </w:rPr>
      </w:pPr>
      <w:r>
        <w:rPr>
          <w:rFonts w:ascii="Palatino Linotype" w:eastAsia="Palatino Linotype" w:hAnsi="Palatino Linotype" w:cs="Palatino Linotype"/>
          <w:b/>
          <w:i/>
        </w:rPr>
        <w:t xml:space="preserve">Resolución RES-01-TESCo-EXT-2a-2023.pdf: </w:t>
      </w:r>
      <w:r>
        <w:rPr>
          <w:rFonts w:ascii="Palatino Linotype" w:eastAsia="Palatino Linotype" w:hAnsi="Palatino Linotype" w:cs="Palatino Linotype"/>
        </w:rPr>
        <w:t>Documento que consta de diez fojas en formato PDF en la que se visualiza la resolución RES/01/</w:t>
      </w:r>
      <w:proofErr w:type="spellStart"/>
      <w:r>
        <w:rPr>
          <w:rFonts w:ascii="Palatino Linotype" w:eastAsia="Palatino Linotype" w:hAnsi="Palatino Linotype" w:cs="Palatino Linotype"/>
        </w:rPr>
        <w:t>TESCo</w:t>
      </w:r>
      <w:proofErr w:type="spellEnd"/>
      <w:r>
        <w:rPr>
          <w:rFonts w:ascii="Palatino Linotype" w:eastAsia="Palatino Linotype" w:hAnsi="Palatino Linotype" w:cs="Palatino Linotype"/>
        </w:rPr>
        <w:t xml:space="preserve">/EXT/2°/2023 del Comité de Transparencia del Tecnológico de Estudios Superiores de Coacalco por medio del cual se confirma la clasificación de la información. </w:t>
      </w:r>
    </w:p>
    <w:p w14:paraId="24C055F1" w14:textId="77777777" w:rsidR="005B55A3" w:rsidRDefault="005B55A3" w:rsidP="00A2438A">
      <w:pPr>
        <w:spacing w:after="0" w:line="276" w:lineRule="auto"/>
        <w:ind w:left="567" w:right="900" w:hanging="141"/>
        <w:jc w:val="both"/>
        <w:rPr>
          <w:rFonts w:ascii="Palatino Linotype" w:eastAsia="Palatino Linotype" w:hAnsi="Palatino Linotype" w:cs="Palatino Linotype"/>
          <w:i/>
        </w:rPr>
      </w:pPr>
    </w:p>
    <w:p w14:paraId="01ADBB52" w14:textId="77777777" w:rsidR="005B55A3" w:rsidRDefault="00A2438A" w:rsidP="00A2438A">
      <w:pPr>
        <w:numPr>
          <w:ilvl w:val="0"/>
          <w:numId w:val="3"/>
        </w:numPr>
        <w:spacing w:after="0" w:line="276" w:lineRule="auto"/>
        <w:ind w:left="567" w:right="900" w:hanging="141"/>
        <w:jc w:val="both"/>
        <w:rPr>
          <w:rFonts w:ascii="Palatino Linotype" w:eastAsia="Palatino Linotype" w:hAnsi="Palatino Linotype" w:cs="Palatino Linotype"/>
          <w:i/>
        </w:rPr>
      </w:pPr>
      <w:r>
        <w:rPr>
          <w:rFonts w:ascii="Palatino Linotype" w:eastAsia="Palatino Linotype" w:hAnsi="Palatino Linotype" w:cs="Palatino Linotype"/>
          <w:b/>
          <w:i/>
        </w:rPr>
        <w:t xml:space="preserve">Informe </w:t>
      </w:r>
      <w:proofErr w:type="spellStart"/>
      <w:r>
        <w:rPr>
          <w:rFonts w:ascii="Palatino Linotype" w:eastAsia="Palatino Linotype" w:hAnsi="Palatino Linotype" w:cs="Palatino Linotype"/>
          <w:b/>
          <w:i/>
        </w:rPr>
        <w:t>Justificatorio</w:t>
      </w:r>
      <w:proofErr w:type="spellEnd"/>
      <w:r>
        <w:rPr>
          <w:rFonts w:ascii="Palatino Linotype" w:eastAsia="Palatino Linotype" w:hAnsi="Palatino Linotype" w:cs="Palatino Linotype"/>
          <w:b/>
          <w:i/>
        </w:rPr>
        <w:t xml:space="preserve"> IP-0016-2023.pdf: </w:t>
      </w:r>
      <w:r>
        <w:rPr>
          <w:rFonts w:ascii="Palatino Linotype" w:eastAsia="Palatino Linotype" w:hAnsi="Palatino Linotype" w:cs="Palatino Linotype"/>
        </w:rPr>
        <w:t>Documento que consta de siete fojas en formato PDF por medio del cual el Subdirector de Planeación y Apoyos Tecnológicos, Presidente del Comité de Transparencia y Titular de la Unidad de Transparencia rinde informe justificado manifestando que los recibos de nómina se encuentran en el portal IPOMEX y anexa una liga electrónica con instrucciones en los términos siguientes:</w:t>
      </w:r>
    </w:p>
    <w:p w14:paraId="00F7F82F" w14:textId="77777777" w:rsidR="005B55A3" w:rsidRDefault="00197F00" w:rsidP="00A2438A">
      <w:pPr>
        <w:numPr>
          <w:ilvl w:val="0"/>
          <w:numId w:val="4"/>
        </w:numPr>
        <w:spacing w:after="0" w:line="276" w:lineRule="auto"/>
        <w:ind w:left="567" w:right="900" w:hanging="141"/>
        <w:jc w:val="both"/>
        <w:rPr>
          <w:rFonts w:ascii="Palatino Linotype" w:eastAsia="Palatino Linotype" w:hAnsi="Palatino Linotype" w:cs="Palatino Linotype"/>
          <w:i/>
        </w:rPr>
      </w:pPr>
      <w:hyperlink r:id="rId10">
        <w:r w:rsidR="00A2438A">
          <w:rPr>
            <w:rFonts w:ascii="Palatino Linotype" w:eastAsia="Palatino Linotype" w:hAnsi="Palatino Linotype" w:cs="Palatino Linotype"/>
            <w:b/>
            <w:i/>
            <w:color w:val="0563C1"/>
            <w:u w:val="single"/>
          </w:rPr>
          <w:t>https:</w:t>
        </w:r>
      </w:hyperlink>
      <w:hyperlink r:id="rId11">
        <w:r w:rsidR="00A2438A">
          <w:rPr>
            <w:rFonts w:ascii="Palatino Linotype" w:eastAsia="Palatino Linotype" w:hAnsi="Palatino Linotype" w:cs="Palatino Linotype"/>
            <w:i/>
            <w:color w:val="0563C1"/>
            <w:u w:val="single"/>
          </w:rPr>
          <w:t>//ipomex.org.mx/ipo3/lgt/indice/TESCO.web</w:t>
        </w:r>
      </w:hyperlink>
      <w:r w:rsidR="00A2438A">
        <w:rPr>
          <w:rFonts w:ascii="Palatino Linotype" w:eastAsia="Palatino Linotype" w:hAnsi="Palatino Linotype" w:cs="Palatino Linotype"/>
          <w:i/>
        </w:rPr>
        <w:t xml:space="preserve"> </w:t>
      </w:r>
    </w:p>
    <w:p w14:paraId="43F8C9D1" w14:textId="77777777" w:rsidR="005B55A3" w:rsidRDefault="00A2438A" w:rsidP="00A2438A">
      <w:pPr>
        <w:numPr>
          <w:ilvl w:val="0"/>
          <w:numId w:val="1"/>
        </w:numPr>
        <w:spacing w:after="0" w:line="276" w:lineRule="auto"/>
        <w:ind w:left="567" w:right="900"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Ingresar a la fracción VIII A Remuneraciones </w:t>
      </w:r>
    </w:p>
    <w:p w14:paraId="3A631DE1" w14:textId="77777777" w:rsidR="005B55A3" w:rsidRDefault="00A2438A" w:rsidP="00A2438A">
      <w:pPr>
        <w:numPr>
          <w:ilvl w:val="0"/>
          <w:numId w:val="1"/>
        </w:numPr>
        <w:spacing w:after="0" w:line="276" w:lineRule="auto"/>
        <w:ind w:left="567" w:right="900" w:hanging="141"/>
        <w:jc w:val="both"/>
        <w:rPr>
          <w:rFonts w:ascii="Palatino Linotype" w:eastAsia="Palatino Linotype" w:hAnsi="Palatino Linotype" w:cs="Palatino Linotype"/>
          <w:i/>
        </w:rPr>
      </w:pPr>
      <w:r>
        <w:rPr>
          <w:rFonts w:ascii="Palatino Linotype" w:eastAsia="Palatino Linotype" w:hAnsi="Palatino Linotype" w:cs="Palatino Linotype"/>
          <w:i/>
        </w:rPr>
        <w:t>Desplegada la información se visualizaran los registros para seleccionar cualquiera</w:t>
      </w:r>
    </w:p>
    <w:p w14:paraId="077E0800" w14:textId="77777777" w:rsidR="005B55A3" w:rsidRDefault="00A2438A" w:rsidP="00A2438A">
      <w:pPr>
        <w:numPr>
          <w:ilvl w:val="0"/>
          <w:numId w:val="1"/>
        </w:numPr>
        <w:spacing w:after="0" w:line="276" w:lineRule="auto"/>
        <w:ind w:left="567" w:right="900"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Finalmente una vez seleccionado el registro que se desee se visualizara según lo seleccionado </w:t>
      </w:r>
    </w:p>
    <w:p w14:paraId="09059184" w14:textId="77777777" w:rsidR="005B55A3" w:rsidRDefault="00A2438A" w:rsidP="00A2438A">
      <w:pPr>
        <w:spacing w:after="0"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lastRenderedPageBreak/>
        <w:t xml:space="preserve">Derivado del análisis de las constancias que integran el expediente, este Instituto consideró que los motivos de inconformidad aducidos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resultan fundados y determinó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haciendo entrega de la siguiente información:</w:t>
      </w:r>
    </w:p>
    <w:p w14:paraId="35AC1A32" w14:textId="77777777" w:rsidR="005B55A3" w:rsidRDefault="005B55A3" w:rsidP="00A2438A">
      <w:pPr>
        <w:spacing w:after="0" w:line="276" w:lineRule="auto"/>
        <w:ind w:left="567" w:right="706"/>
        <w:jc w:val="both"/>
        <w:rPr>
          <w:rFonts w:ascii="Palatino Linotype" w:eastAsia="Palatino Linotype" w:hAnsi="Palatino Linotype" w:cs="Palatino Linotype"/>
          <w:i/>
        </w:rPr>
      </w:pPr>
    </w:p>
    <w:p w14:paraId="2675AE35" w14:textId="77777777" w:rsidR="005B55A3" w:rsidRDefault="00A2438A" w:rsidP="00A2438A">
      <w:pPr>
        <w:pBdr>
          <w:top w:val="nil"/>
          <w:left w:val="nil"/>
          <w:bottom w:val="nil"/>
          <w:right w:val="nil"/>
          <w:between w:val="nil"/>
        </w:pBd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“PRIMERO. Se MODIFICA la respuesta entregada por el Sujeto Obligado a la solicitud de información número 00016/TESCO/IP/2023, por resultar fundados los motivos de inconformidad vertidos por el Recurrente, en términos del Considerando QUINTO de esta resolución.</w:t>
      </w:r>
    </w:p>
    <w:p w14:paraId="0BA8EA05" w14:textId="77777777" w:rsidR="005B55A3" w:rsidRDefault="005B55A3" w:rsidP="00A2438A">
      <w:pPr>
        <w:pBdr>
          <w:top w:val="nil"/>
          <w:left w:val="nil"/>
          <w:bottom w:val="nil"/>
          <w:right w:val="nil"/>
          <w:between w:val="nil"/>
        </w:pBdr>
        <w:spacing w:after="0" w:line="276" w:lineRule="auto"/>
        <w:ind w:left="567" w:right="990"/>
        <w:jc w:val="both"/>
        <w:rPr>
          <w:rFonts w:ascii="Palatino Linotype" w:eastAsia="Palatino Linotype" w:hAnsi="Palatino Linotype" w:cs="Palatino Linotype"/>
          <w:i/>
        </w:rPr>
      </w:pPr>
    </w:p>
    <w:p w14:paraId="6A266F39" w14:textId="77777777" w:rsidR="005B55A3" w:rsidRDefault="00A2438A" w:rsidP="00A2438A">
      <w:pPr>
        <w:pBdr>
          <w:top w:val="nil"/>
          <w:left w:val="nil"/>
          <w:bottom w:val="nil"/>
          <w:right w:val="nil"/>
          <w:between w:val="nil"/>
        </w:pBd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SEGUNDO. Se ORDENA al Sujeto Obligado, haga entrega al Recurrente en términos del Considerando QUINTO de esta resolución, a través del Sistema de Acceso a la Información Mexiquense (SAIMEX), en versión pública, del documento donde conste lo siguiente: </w:t>
      </w:r>
    </w:p>
    <w:p w14:paraId="5F85BA64" w14:textId="77777777" w:rsidR="005B55A3" w:rsidRDefault="005B55A3" w:rsidP="00A2438A">
      <w:pPr>
        <w:pBdr>
          <w:top w:val="nil"/>
          <w:left w:val="nil"/>
          <w:bottom w:val="nil"/>
          <w:right w:val="nil"/>
          <w:between w:val="nil"/>
        </w:pBdr>
        <w:spacing w:after="0" w:line="276" w:lineRule="auto"/>
        <w:ind w:left="567" w:right="990"/>
        <w:jc w:val="both"/>
        <w:rPr>
          <w:rFonts w:ascii="Palatino Linotype" w:eastAsia="Palatino Linotype" w:hAnsi="Palatino Linotype" w:cs="Palatino Linotype"/>
          <w:i/>
        </w:rPr>
      </w:pPr>
    </w:p>
    <w:p w14:paraId="284C829E" w14:textId="77777777" w:rsidR="005B55A3" w:rsidRDefault="00A2438A" w:rsidP="00A2438A">
      <w:pPr>
        <w:pBdr>
          <w:top w:val="nil"/>
          <w:left w:val="nil"/>
          <w:bottom w:val="nil"/>
          <w:right w:val="nil"/>
          <w:between w:val="nil"/>
        </w:pBd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1. Permisos referidos en respuesta</w:t>
      </w:r>
    </w:p>
    <w:p w14:paraId="1A3BBDA5" w14:textId="77777777" w:rsidR="005B55A3" w:rsidRDefault="00A2438A" w:rsidP="00A2438A">
      <w:pPr>
        <w:pBdr>
          <w:top w:val="nil"/>
          <w:left w:val="nil"/>
          <w:bottom w:val="nil"/>
          <w:right w:val="nil"/>
          <w:between w:val="nil"/>
        </w:pBd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2. Expediente laboral de la persona referida en la solicitud de información </w:t>
      </w:r>
    </w:p>
    <w:p w14:paraId="00E7190B" w14:textId="77777777" w:rsidR="005B55A3" w:rsidRDefault="00A2438A" w:rsidP="00A2438A">
      <w:pPr>
        <w:pBdr>
          <w:top w:val="nil"/>
          <w:left w:val="nil"/>
          <w:bottom w:val="nil"/>
          <w:right w:val="nil"/>
          <w:between w:val="nil"/>
        </w:pBd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3. Recibos de nómina del primero de enero de dos mil veintidós al quince de septiembre de dos mil veintitrés.</w:t>
      </w:r>
    </w:p>
    <w:p w14:paraId="3CB87404" w14:textId="77777777" w:rsidR="005B55A3" w:rsidRDefault="005B55A3" w:rsidP="00A2438A">
      <w:pPr>
        <w:pBdr>
          <w:top w:val="nil"/>
          <w:left w:val="nil"/>
          <w:bottom w:val="nil"/>
          <w:right w:val="nil"/>
          <w:between w:val="nil"/>
        </w:pBdr>
        <w:spacing w:after="0" w:line="276" w:lineRule="auto"/>
        <w:ind w:left="567" w:right="990"/>
        <w:jc w:val="both"/>
        <w:rPr>
          <w:rFonts w:ascii="Palatino Linotype" w:eastAsia="Palatino Linotype" w:hAnsi="Palatino Linotype" w:cs="Palatino Linotype"/>
          <w:i/>
        </w:rPr>
      </w:pPr>
    </w:p>
    <w:p w14:paraId="0B47A010" w14:textId="77777777" w:rsidR="005B55A3" w:rsidRDefault="00A2438A" w:rsidP="00A2438A">
      <w:pPr>
        <w:pBdr>
          <w:top w:val="nil"/>
          <w:left w:val="nil"/>
          <w:bottom w:val="nil"/>
          <w:right w:val="nil"/>
          <w:between w:val="nil"/>
        </w:pBd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así como, mediante el cual se clasifiquen en su totalidad los documentos precisados en el considerando correspondiente, que forman parte del expediente laboral; y se ponga a disposición del Recurrente.”</w:t>
      </w:r>
    </w:p>
    <w:p w14:paraId="55D44640" w14:textId="77777777" w:rsidR="005B55A3" w:rsidRDefault="005B55A3" w:rsidP="00A2438A">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B97E72E" w14:textId="77777777" w:rsidR="005B55A3" w:rsidRDefault="005B55A3" w:rsidP="00A2438A">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D8CB910" w14:textId="77777777" w:rsidR="005B55A3" w:rsidRDefault="005B55A3" w:rsidP="00A2438A">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3AA45D20" w14:textId="77777777" w:rsidR="005B55A3" w:rsidRDefault="00A2438A" w:rsidP="00A2438A">
      <w:pPr>
        <w:pBdr>
          <w:top w:val="nil"/>
          <w:left w:val="nil"/>
          <w:bottom w:val="nil"/>
          <w:right w:val="nil"/>
          <w:between w:val="nil"/>
        </w:pBdr>
        <w:spacing w:after="0" w:line="360" w:lineRule="auto"/>
        <w:ind w:left="284"/>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II. Razones del Voto Particular.</w:t>
      </w:r>
    </w:p>
    <w:p w14:paraId="4E9564F3" w14:textId="77777777" w:rsidR="005B55A3" w:rsidRDefault="005B55A3" w:rsidP="00A2438A">
      <w:pPr>
        <w:spacing w:after="0" w:line="360" w:lineRule="auto"/>
        <w:jc w:val="both"/>
        <w:rPr>
          <w:rFonts w:ascii="Palatino Linotype" w:eastAsia="Palatino Linotype" w:hAnsi="Palatino Linotype" w:cs="Palatino Linotype"/>
          <w:b/>
        </w:rPr>
      </w:pPr>
      <w:bookmarkStart w:id="3" w:name="_heading=h.1fob9te" w:colFirst="0" w:colLast="0"/>
      <w:bookmarkEnd w:id="3"/>
    </w:p>
    <w:p w14:paraId="544E8D53" w14:textId="77777777" w:rsidR="005B55A3" w:rsidRDefault="00A2438A" w:rsidP="00A2438A">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preciso señalar que se comparte el sentido de la resolución, ya que del análisis de las constancias que conforman el expediente electrónico, se desprendió que la información solicitada es susceptible de transparentarse pues se encuentra relacionada con la gestión pública y con su publicidad se favorece indudablemente a la rendición de cuentas. </w:t>
      </w:r>
    </w:p>
    <w:p w14:paraId="64909B31" w14:textId="77777777" w:rsidR="005B55A3" w:rsidRDefault="005B55A3" w:rsidP="00A2438A">
      <w:pPr>
        <w:spacing w:after="0" w:line="360" w:lineRule="auto"/>
        <w:ind w:right="49"/>
        <w:jc w:val="both"/>
        <w:rPr>
          <w:rFonts w:ascii="Palatino Linotype" w:eastAsia="Palatino Linotype" w:hAnsi="Palatino Linotype" w:cs="Palatino Linotype"/>
        </w:rPr>
      </w:pPr>
    </w:p>
    <w:p w14:paraId="1A9E922D" w14:textId="77777777" w:rsidR="005B55A3" w:rsidRDefault="00A2438A" w:rsidP="00A2438A">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es preciso mencionar que, el presente voto se formula con relación a la fotografía toda vez que </w:t>
      </w:r>
      <w:r>
        <w:rPr>
          <w:rFonts w:ascii="Palatino Linotype" w:eastAsia="Palatino Linotype" w:hAnsi="Palatino Linotype" w:cs="Palatino Linotype"/>
          <w:b/>
        </w:rPr>
        <w:t>no</w:t>
      </w:r>
      <w:r>
        <w:rPr>
          <w:rFonts w:ascii="Palatino Linotype" w:eastAsia="Palatino Linotype" w:hAnsi="Palatino Linotype" w:cs="Palatino Linotype"/>
        </w:rPr>
        <w:t xml:space="preserve"> se coincide con los argumentos señalados en la resolución, particularmente por considerar que la fotografía de los servidores públicos sin importar el nivel o cargo y en cualquier documento que se encuentre vinculado con el cumplimiento de disposiciones legales debe ser pública, conforme a lo siguiente:</w:t>
      </w:r>
    </w:p>
    <w:p w14:paraId="505A86FD" w14:textId="77777777" w:rsidR="005B55A3" w:rsidRDefault="005B55A3" w:rsidP="00A2438A">
      <w:pPr>
        <w:spacing w:after="0" w:line="360" w:lineRule="auto"/>
        <w:jc w:val="both"/>
        <w:rPr>
          <w:rFonts w:ascii="Palatino Linotype" w:eastAsia="Palatino Linotype" w:hAnsi="Palatino Linotype" w:cs="Palatino Linotype"/>
        </w:rPr>
      </w:pPr>
    </w:p>
    <w:p w14:paraId="3BF96C0E" w14:textId="77777777" w:rsidR="005B55A3" w:rsidRDefault="00A2438A" w:rsidP="00A2438A">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Fotografía</w:t>
      </w:r>
      <w:r>
        <w:rPr>
          <w:rFonts w:ascii="Palatino Linotype" w:eastAsia="Palatino Linotype" w:hAnsi="Palatino Linotype" w:cs="Palatino Linotype"/>
          <w:i/>
        </w:rPr>
        <w:t>: 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AB32E40" w14:textId="77777777" w:rsidR="005B55A3" w:rsidRDefault="005B55A3" w:rsidP="00A2438A">
      <w:pPr>
        <w:spacing w:after="0" w:line="276" w:lineRule="auto"/>
        <w:ind w:left="567" w:right="900"/>
        <w:jc w:val="both"/>
        <w:rPr>
          <w:rFonts w:ascii="Palatino Linotype" w:eastAsia="Palatino Linotype" w:hAnsi="Palatino Linotype" w:cs="Palatino Linotype"/>
          <w:i/>
        </w:rPr>
      </w:pPr>
    </w:p>
    <w:p w14:paraId="77022CEE" w14:textId="77777777" w:rsidR="005B55A3" w:rsidRDefault="00A2438A" w:rsidP="00A2438A">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w:t>
      </w:r>
      <w:r>
        <w:rPr>
          <w:rFonts w:ascii="Palatino Linotype" w:eastAsia="Palatino Linotype" w:hAnsi="Palatino Linotype" w:cs="Palatino Linotype"/>
          <w:i/>
        </w:rPr>
        <w:lastRenderedPageBreak/>
        <w:t>identificaría a una persona como servidor público, por lo que es posible advertir que existe cierto interés público, cuando la fotografía obra en documentos de servidores públicos vinculados con el cumplimiento de disposiciones legales.</w:t>
      </w:r>
    </w:p>
    <w:p w14:paraId="2982A4F1" w14:textId="77777777" w:rsidR="005B55A3" w:rsidRDefault="005B55A3" w:rsidP="00A2438A">
      <w:pPr>
        <w:spacing w:after="0" w:line="276" w:lineRule="auto"/>
        <w:ind w:left="567" w:right="900"/>
        <w:jc w:val="both"/>
        <w:rPr>
          <w:rFonts w:ascii="Palatino Linotype" w:eastAsia="Palatino Linotype" w:hAnsi="Palatino Linotype" w:cs="Palatino Linotype"/>
          <w:i/>
        </w:rPr>
      </w:pPr>
    </w:p>
    <w:p w14:paraId="13FE7C68" w14:textId="77777777" w:rsidR="005B55A3" w:rsidRDefault="00A2438A" w:rsidP="00A2438A">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4F766DE" w14:textId="77777777" w:rsidR="005B55A3" w:rsidRDefault="005B55A3" w:rsidP="00A2438A">
      <w:pPr>
        <w:spacing w:after="0" w:line="276" w:lineRule="auto"/>
        <w:ind w:left="567" w:right="900"/>
        <w:jc w:val="both"/>
        <w:rPr>
          <w:rFonts w:ascii="Palatino Linotype" w:eastAsia="Palatino Linotype" w:hAnsi="Palatino Linotype" w:cs="Palatino Linotype"/>
          <w:i/>
        </w:rPr>
      </w:pPr>
    </w:p>
    <w:p w14:paraId="42321842" w14:textId="77777777" w:rsidR="005B55A3" w:rsidRDefault="00A2438A" w:rsidP="00A2438A">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6D96C01" w14:textId="77777777" w:rsidR="005B55A3" w:rsidRDefault="005B55A3" w:rsidP="00A2438A">
      <w:pPr>
        <w:spacing w:after="0" w:line="276" w:lineRule="auto"/>
        <w:ind w:left="567" w:right="900"/>
        <w:jc w:val="both"/>
        <w:rPr>
          <w:rFonts w:ascii="Palatino Linotype" w:eastAsia="Palatino Linotype" w:hAnsi="Palatino Linotype" w:cs="Palatino Linotype"/>
          <w:i/>
        </w:rPr>
      </w:pPr>
    </w:p>
    <w:p w14:paraId="2E11158A" w14:textId="77777777" w:rsidR="005B55A3" w:rsidRDefault="00A2438A" w:rsidP="00A2438A">
      <w:pPr>
        <w:spacing w:after="0" w:line="276" w:lineRule="auto"/>
        <w:ind w:left="567" w:right="900"/>
        <w:jc w:val="both"/>
        <w:rPr>
          <w:rFonts w:ascii="Palatino Linotype" w:eastAsia="Palatino Linotype" w:hAnsi="Palatino Linotype" w:cs="Palatino Linotype"/>
          <w:i/>
        </w:rPr>
      </w:pPr>
      <w:bookmarkStart w:id="4" w:name="_heading=h.tyjcwt" w:colFirst="0" w:colLast="0"/>
      <w:bookmarkEnd w:id="4"/>
      <w:r>
        <w:rPr>
          <w:rFonts w:ascii="Palatino Linotype" w:eastAsia="Palatino Linotype" w:hAnsi="Palatino Linotype" w:cs="Palatino Linotype"/>
          <w:i/>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60742B4B" w14:textId="77777777" w:rsidR="005B55A3" w:rsidRDefault="005B55A3" w:rsidP="00A2438A">
      <w:pPr>
        <w:spacing w:after="0" w:line="276" w:lineRule="auto"/>
        <w:ind w:left="567" w:right="900"/>
        <w:jc w:val="both"/>
        <w:rPr>
          <w:rFonts w:ascii="Palatino Linotype" w:eastAsia="Palatino Linotype" w:hAnsi="Palatino Linotype" w:cs="Palatino Linotype"/>
          <w:i/>
        </w:rPr>
      </w:pPr>
    </w:p>
    <w:p w14:paraId="63ADC61E" w14:textId="77777777" w:rsidR="005B55A3" w:rsidRDefault="00A2438A" w:rsidP="00A2438A">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C965FFE" w14:textId="77777777" w:rsidR="005B55A3" w:rsidRDefault="005B55A3" w:rsidP="00A2438A">
      <w:pPr>
        <w:spacing w:after="0" w:line="276" w:lineRule="auto"/>
        <w:ind w:left="567" w:right="900"/>
        <w:jc w:val="both"/>
        <w:rPr>
          <w:rFonts w:ascii="Palatino Linotype" w:eastAsia="Palatino Linotype" w:hAnsi="Palatino Linotype" w:cs="Palatino Linotype"/>
          <w:i/>
        </w:rPr>
      </w:pPr>
    </w:p>
    <w:p w14:paraId="4FED46C0" w14:textId="77777777" w:rsidR="005B55A3" w:rsidRDefault="00A2438A" w:rsidP="00A2438A">
      <w:pPr>
        <w:spacing w:after="0" w:line="276" w:lineRule="auto"/>
        <w:ind w:left="567" w:right="900"/>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Conforme a lo anterior, las fotografías de servidores públicos sin importar el nivel o rango guardan la naturaleza de públicas (con excepción del personal operativo en materia de seguridad) y no procede su clasificación</w:t>
      </w:r>
      <w:r>
        <w:rPr>
          <w:rFonts w:ascii="Palatino Linotype" w:eastAsia="Palatino Linotype" w:hAnsi="Palatino Linotype" w:cs="Palatino Linotype"/>
          <w:i/>
        </w:rPr>
        <w:t>, en términos del artículo 143, fracción I, de la Ley de Transparencia y Acceso a la Información Pública del Estado de México y Municipios, por lo que en las versiones públicas que se ordenen, no podrá clasificarse esa información.</w:t>
      </w:r>
      <w:r>
        <w:rPr>
          <w:rFonts w:ascii="Palatino Linotype" w:eastAsia="Palatino Linotype" w:hAnsi="Palatino Linotype" w:cs="Palatino Linotype"/>
          <w:b/>
          <w:i/>
        </w:rPr>
        <w:t xml:space="preserve">” </w:t>
      </w:r>
    </w:p>
    <w:p w14:paraId="5CC0056C" w14:textId="77777777" w:rsidR="005B55A3" w:rsidRDefault="005B55A3" w:rsidP="00A2438A">
      <w:pPr>
        <w:spacing w:after="0" w:line="276" w:lineRule="auto"/>
        <w:ind w:left="567" w:right="616"/>
        <w:jc w:val="both"/>
        <w:rPr>
          <w:rFonts w:ascii="Palatino Linotype" w:eastAsia="Palatino Linotype" w:hAnsi="Palatino Linotype" w:cs="Palatino Linotype"/>
          <w:i/>
        </w:rPr>
      </w:pPr>
    </w:p>
    <w:p w14:paraId="4D9CD9A0" w14:textId="77777777" w:rsidR="005B55A3" w:rsidRDefault="00A2438A" w:rsidP="00A2438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puede advertir, en el criterio de la mayoría no se distingue el nivel o cargo que ostente el servidor público, sin embargo, desde la óptica de las que suscriben la fotografía de éstos, constituye la reproducción fiel de las características físicas de una persona en un momento determinado, además, de que representa un instrumento de identificación, proyección exterior y factor imprescindible para su propio reconocimiento como sujeto individual; por tanto, es considerada por regla general, como un dato personal confidencial susceptible de protegerse en los documentos que lo contengan,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15559D5A" w14:textId="77777777" w:rsidR="005B55A3" w:rsidRDefault="00A2438A" w:rsidP="00A2438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en lo que respecta a los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14:paraId="10825173" w14:textId="77777777" w:rsidR="005B55A3" w:rsidRDefault="005B55A3" w:rsidP="00A2438A">
      <w:pPr>
        <w:spacing w:after="0" w:line="360" w:lineRule="auto"/>
        <w:jc w:val="both"/>
        <w:rPr>
          <w:rFonts w:ascii="Palatino Linotype" w:eastAsia="Palatino Linotype" w:hAnsi="Palatino Linotype" w:cs="Palatino Linotype"/>
        </w:rPr>
      </w:pPr>
    </w:p>
    <w:p w14:paraId="727B74C0" w14:textId="77777777" w:rsidR="005B55A3" w:rsidRDefault="00A2438A" w:rsidP="00A2438A">
      <w:pPr>
        <w:spacing w:after="0" w:line="360" w:lineRule="auto"/>
        <w:ind w:right="140"/>
        <w:jc w:val="both"/>
        <w:rPr>
          <w:rFonts w:ascii="Palatino Linotype" w:eastAsia="Palatino Linotype" w:hAnsi="Palatino Linotype" w:cs="Palatino Linotype"/>
        </w:rPr>
      </w:pPr>
      <w:r>
        <w:rPr>
          <w:rFonts w:ascii="Palatino Linotype" w:eastAsia="Palatino Linotype" w:hAnsi="Palatino Linotype" w:cs="Palatino Linotype"/>
        </w:rPr>
        <w:t>Por lo que, dado el interés público que reviste a las funciones de las y los funcionarios que dan atención al público, así como aquellos que cuenten con la calidad de mando medio y/o superior, considero que se debe dejar visible su fotografía pues, hacer pública la imagen de estos, puede contribuir a la transparencia y la rendición de cuentas, ya que permite a la ciudadanía identificar a los funcionarios que toman decisiones importantes en su nombre.</w:t>
      </w:r>
    </w:p>
    <w:p w14:paraId="053AF100" w14:textId="77777777" w:rsidR="005B55A3" w:rsidRDefault="005B55A3" w:rsidP="00A2438A">
      <w:pPr>
        <w:tabs>
          <w:tab w:val="left" w:pos="4962"/>
        </w:tabs>
        <w:spacing w:after="0" w:line="360" w:lineRule="auto"/>
        <w:jc w:val="both"/>
        <w:rPr>
          <w:rFonts w:ascii="Palatino Linotype" w:eastAsia="Palatino Linotype" w:hAnsi="Palatino Linotype" w:cs="Palatino Linotype"/>
        </w:rPr>
      </w:pPr>
    </w:p>
    <w:p w14:paraId="413C3B3B" w14:textId="77777777" w:rsidR="005B55A3" w:rsidRDefault="00A2438A" w:rsidP="00A2438A">
      <w:pPr>
        <w:spacing w:after="0" w:line="360" w:lineRule="auto"/>
        <w:ind w:right="140"/>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si bien se estipuló que </w:t>
      </w:r>
      <w:r>
        <w:rPr>
          <w:rFonts w:ascii="Palatino Linotype" w:eastAsia="Palatino Linotype" w:hAnsi="Palatino Linotype" w:cs="Palatino Linotype"/>
          <w:b/>
          <w:u w:val="single"/>
        </w:rPr>
        <w:t>las fotografías de servidores públicos, sin importar el nivel o rango, guardan la naturaleza de públicas</w:t>
      </w:r>
      <w:r>
        <w:rPr>
          <w:rFonts w:ascii="Palatino Linotype" w:eastAsia="Palatino Linotype" w:hAnsi="Palatino Linotype" w:cs="Palatino Linotype"/>
        </w:rPr>
        <w:t xml:space="preserve">, -  no comparto dicho argumento, ya que desde mi punto de vista, la fotografía de aquellos servidores públicos que no ostentan un cargo de mando medio o superior, o no brindan atención al público, debe conservarse como información confidencial,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w:t>
      </w:r>
      <w:r>
        <w:rPr>
          <w:rFonts w:ascii="Palatino Linotype" w:eastAsia="Palatino Linotype" w:hAnsi="Palatino Linotype" w:cs="Palatino Linotype"/>
        </w:rPr>
        <w:lastRenderedPageBreak/>
        <w:t>su derecho a la privacidad, pero esto debe evaluarse cuidadosamente en cada caso y no ser la regla general.</w:t>
      </w:r>
    </w:p>
    <w:p w14:paraId="3EB9230C" w14:textId="77777777" w:rsidR="005B55A3" w:rsidRDefault="005B55A3" w:rsidP="00A2438A">
      <w:pPr>
        <w:spacing w:after="0" w:line="360" w:lineRule="auto"/>
        <w:jc w:val="both"/>
        <w:rPr>
          <w:rFonts w:ascii="Palatino Linotype" w:eastAsia="Palatino Linotype" w:hAnsi="Palatino Linotype" w:cs="Palatino Linotype"/>
        </w:rPr>
      </w:pPr>
    </w:p>
    <w:p w14:paraId="5F824A51" w14:textId="77777777" w:rsidR="005B55A3" w:rsidRDefault="00A2438A" w:rsidP="00A2438A">
      <w:pPr>
        <w:spacing w:after="0" w:line="360" w:lineRule="auto"/>
        <w:jc w:val="both"/>
        <w:rPr>
          <w:rFonts w:ascii="Palatino Linotype" w:eastAsia="Palatino Linotype" w:hAnsi="Palatino Linotype" w:cs="Palatino Linotype"/>
        </w:rPr>
      </w:pPr>
      <w:bookmarkStart w:id="5" w:name="_heading=h.xezr0okd57tn" w:colFirst="0" w:colLast="0"/>
      <w:bookmarkEnd w:id="5"/>
      <w:r>
        <w:rPr>
          <w:rFonts w:ascii="Palatino Linotype" w:eastAsia="Palatino Linotype" w:hAnsi="Palatino Linotype" w:cs="Palatino Linotype"/>
        </w:rPr>
        <w:t>Dado que el acceso a los documentos que contengan el dato materia de análisis, aun clasificándolo, sí daría cuenta de lo que en realidad se pretende transparentar, como es, por ejemplo, la preparación académica, la formación profesional y laboral y los conocimientos y habilidades adquiridas, que se refleja en la toma de decisiones para el óptimo desempeño de las funciones para las cuales fueron designados, la idoneidad para ocupar un cargo, entre otros aspectos, pues el hecho de clasificar la fotografía no le resta validez a los documentos para los fines señalados.</w:t>
      </w:r>
    </w:p>
    <w:p w14:paraId="2469DFCB" w14:textId="77777777" w:rsidR="005B55A3" w:rsidRDefault="005B55A3" w:rsidP="00A2438A">
      <w:pPr>
        <w:spacing w:after="0" w:line="360" w:lineRule="auto"/>
        <w:jc w:val="both"/>
        <w:rPr>
          <w:rFonts w:ascii="Palatino Linotype" w:eastAsia="Palatino Linotype" w:hAnsi="Palatino Linotype" w:cs="Palatino Linotype"/>
        </w:rPr>
      </w:pPr>
    </w:p>
    <w:p w14:paraId="0ECDE95A" w14:textId="1A188C7B" w:rsidR="005B55A3" w:rsidRDefault="00A2438A" w:rsidP="00A2438A">
      <w:pPr>
        <w:tabs>
          <w:tab w:val="left" w:pos="4962"/>
        </w:tabs>
        <w:spacing w:after="0" w:line="360" w:lineRule="auto"/>
        <w:jc w:val="both"/>
        <w:rPr>
          <w:rFonts w:ascii="Palatino Linotype" w:eastAsia="Palatino Linotype" w:hAnsi="Palatino Linotype" w:cs="Palatino Linotype"/>
          <w:highlight w:val="yellow"/>
        </w:rPr>
      </w:pPr>
      <w:r>
        <w:rPr>
          <w:rFonts w:ascii="Palatino Linotype" w:eastAsia="Palatino Linotype" w:hAnsi="Palatino Linotype" w:cs="Palatino Linotype"/>
        </w:rPr>
        <w:t xml:space="preserve">Asimismo, es importante señalar que los objetivos de la transparencia se alcanzan al momento de permitir el acceso a los documentos ordenados, no siendo indispensable o determinante dar a conocer la fotografía para dar cuenta de la idoneidad de las personas servidoras públicas para ocupar sus puestos o para acreditar que cumplieron con determinados requisitos, lo que da cuenta de ello es el propio documento. </w:t>
      </w:r>
    </w:p>
    <w:p w14:paraId="3AD212FD" w14:textId="77777777" w:rsidR="00A2438A" w:rsidRPr="00A2438A" w:rsidRDefault="00A2438A" w:rsidP="00A2438A">
      <w:pPr>
        <w:tabs>
          <w:tab w:val="left" w:pos="4962"/>
        </w:tabs>
        <w:spacing w:after="0" w:line="360" w:lineRule="auto"/>
        <w:jc w:val="both"/>
        <w:rPr>
          <w:rFonts w:ascii="Palatino Linotype" w:eastAsia="Palatino Linotype" w:hAnsi="Palatino Linotype" w:cs="Palatino Linotype"/>
          <w:highlight w:val="yellow"/>
        </w:rPr>
      </w:pPr>
    </w:p>
    <w:p w14:paraId="0C7DD4CD" w14:textId="77777777" w:rsidR="005B55A3" w:rsidRDefault="00A2438A" w:rsidP="00A2438A">
      <w:pPr>
        <w:tabs>
          <w:tab w:val="left" w:pos="4962"/>
        </w:tabs>
        <w:spacing w:after="0" w:line="360" w:lineRule="auto"/>
        <w:jc w:val="both"/>
        <w:rPr>
          <w:rFonts w:ascii="Palatino Linotype" w:eastAsia="Palatino Linotype" w:hAnsi="Palatino Linotype" w:cs="Palatino Linotype"/>
        </w:rPr>
        <w:sectPr w:rsidR="005B55A3">
          <w:headerReference w:type="default" r:id="rId12"/>
          <w:footerReference w:type="default" r:id="rId13"/>
          <w:pgSz w:w="12240" w:h="15840"/>
          <w:pgMar w:top="2438" w:right="1701" w:bottom="2778" w:left="1701" w:header="1134" w:footer="1134" w:gutter="0"/>
          <w:pgNumType w:start="1"/>
          <w:cols w:space="720"/>
        </w:sectPr>
      </w:pPr>
      <w:r>
        <w:rPr>
          <w:rFonts w:ascii="Palatino Linotype" w:eastAsia="Palatino Linotype" w:hAnsi="Palatino Linotype" w:cs="Palatino Linotype"/>
        </w:rPr>
        <w:t xml:space="preserve">Es por las razones antes expuestas que no comparto este punto del estudio de la resolución dictada, y, en consecuencia, se emite el presente </w:t>
      </w:r>
      <w:r>
        <w:rPr>
          <w:rFonts w:ascii="Palatino Linotype" w:eastAsia="Palatino Linotype" w:hAnsi="Palatino Linotype" w:cs="Palatino Linotype"/>
          <w:b/>
        </w:rPr>
        <w:t xml:space="preserve">Voto Particular pues considero que </w:t>
      </w:r>
      <w:r>
        <w:rPr>
          <w:rFonts w:ascii="Palatino Linotype" w:eastAsia="Palatino Linotype" w:hAnsi="Palatino Linotype" w:cs="Palatino Linotype"/>
          <w:b/>
          <w:u w:val="single"/>
        </w:rPr>
        <w:t>se debe proteger y resguardar la fotografía de las y los servidores públicos que NO cuenten con la calidad de mando medio y/o superior,</w:t>
      </w:r>
      <w:r>
        <w:rPr>
          <w:rFonts w:ascii="Palatino Linotype" w:eastAsia="Palatino Linotype" w:hAnsi="Palatino Linotype" w:cs="Palatino Linotype"/>
        </w:rPr>
        <w:t xml:space="preserve"> </w:t>
      </w:r>
      <w:r>
        <w:rPr>
          <w:rFonts w:ascii="Palatino Linotype" w:eastAsia="Palatino Linotype" w:hAnsi="Palatino Linotype" w:cs="Palatino Linotype"/>
          <w:b/>
          <w:u w:val="single"/>
        </w:rPr>
        <w:t>o no tengan atención al público</w:t>
      </w:r>
      <w:r>
        <w:rPr>
          <w:rFonts w:ascii="Palatino Linotype" w:eastAsia="Palatino Linotype" w:hAnsi="Palatino Linotype" w:cs="Palatino Linotype"/>
        </w:rPr>
        <w:t xml:space="preserve"> y,  por lo tanto, </w:t>
      </w:r>
      <w:r>
        <w:rPr>
          <w:rFonts w:ascii="Palatino Linotype" w:eastAsia="Palatino Linotype" w:hAnsi="Palatino Linotype" w:cs="Palatino Linotype"/>
          <w:b/>
          <w:u w:val="single"/>
        </w:rPr>
        <w:t>no dejarse visible</w:t>
      </w:r>
      <w:r>
        <w:rPr>
          <w:rFonts w:ascii="Palatino Linotype" w:eastAsia="Palatino Linotype" w:hAnsi="Palatino Linotype" w:cs="Palatino Linotype"/>
        </w:rPr>
        <w:t>, pues se estima que se actualiza la causal de clasificación establecida en el artículo 143, fracción I, de la Ley de la Ley de Transparencia y Acceso a la Información Pública del Estado de México y Municipios.</w:t>
      </w:r>
    </w:p>
    <w:p w14:paraId="5259824E" w14:textId="77777777" w:rsidR="005B55A3" w:rsidRDefault="005B55A3" w:rsidP="00A2438A">
      <w:pPr>
        <w:spacing w:after="0" w:line="360" w:lineRule="auto"/>
        <w:ind w:right="423"/>
        <w:jc w:val="both"/>
        <w:rPr>
          <w:rFonts w:ascii="Palatino Linotype" w:eastAsia="Palatino Linotype" w:hAnsi="Palatino Linotype" w:cs="Palatino Linotype"/>
        </w:rPr>
      </w:pPr>
    </w:p>
    <w:p w14:paraId="4EE8CF44" w14:textId="77777777" w:rsidR="005B55A3" w:rsidRDefault="005B55A3" w:rsidP="00A2438A">
      <w:pPr>
        <w:spacing w:after="0" w:line="360" w:lineRule="auto"/>
        <w:ind w:right="423"/>
        <w:jc w:val="both"/>
        <w:rPr>
          <w:rFonts w:ascii="Palatino Linotype" w:eastAsia="Palatino Linotype" w:hAnsi="Palatino Linotype" w:cs="Palatino Linotype"/>
        </w:rPr>
      </w:pPr>
    </w:p>
    <w:p w14:paraId="546430E1" w14:textId="77777777" w:rsidR="005B55A3" w:rsidRDefault="005B55A3" w:rsidP="00A2438A">
      <w:pPr>
        <w:spacing w:after="0" w:line="360" w:lineRule="auto"/>
        <w:ind w:right="423"/>
        <w:jc w:val="both"/>
        <w:rPr>
          <w:rFonts w:ascii="Palatino Linotype" w:eastAsia="Palatino Linotype" w:hAnsi="Palatino Linotype" w:cs="Palatino Linotype"/>
        </w:rPr>
      </w:pPr>
    </w:p>
    <w:p w14:paraId="22B40507" w14:textId="77777777" w:rsidR="005B55A3" w:rsidRDefault="005B55A3" w:rsidP="00A2438A">
      <w:pPr>
        <w:spacing w:after="0" w:line="360" w:lineRule="auto"/>
        <w:ind w:right="423"/>
        <w:jc w:val="both"/>
        <w:rPr>
          <w:rFonts w:ascii="Palatino Linotype" w:eastAsia="Palatino Linotype" w:hAnsi="Palatino Linotype" w:cs="Palatino Linotype"/>
        </w:rPr>
      </w:pPr>
    </w:p>
    <w:p w14:paraId="6F31967C" w14:textId="77777777" w:rsidR="005B55A3" w:rsidRDefault="005B55A3" w:rsidP="00A2438A">
      <w:pPr>
        <w:spacing w:after="0" w:line="360" w:lineRule="auto"/>
        <w:ind w:right="423"/>
        <w:jc w:val="both"/>
        <w:rPr>
          <w:rFonts w:ascii="Palatino Linotype" w:eastAsia="Palatino Linotype" w:hAnsi="Palatino Linotype" w:cs="Palatino Linotype"/>
        </w:rPr>
      </w:pPr>
    </w:p>
    <w:p w14:paraId="5C67150C" w14:textId="77777777" w:rsidR="005B55A3" w:rsidRDefault="005B55A3" w:rsidP="00A2438A">
      <w:pPr>
        <w:spacing w:after="0" w:line="360" w:lineRule="auto"/>
        <w:ind w:right="423"/>
        <w:jc w:val="both"/>
        <w:rPr>
          <w:rFonts w:ascii="Palatino Linotype" w:eastAsia="Palatino Linotype" w:hAnsi="Palatino Linotype" w:cs="Palatino Linotype"/>
        </w:rPr>
      </w:pPr>
    </w:p>
    <w:p w14:paraId="799F4CE4" w14:textId="77777777" w:rsidR="005B55A3" w:rsidRDefault="005B55A3" w:rsidP="00A2438A">
      <w:pPr>
        <w:spacing w:after="0" w:line="360" w:lineRule="auto"/>
        <w:ind w:right="423"/>
        <w:jc w:val="both"/>
        <w:rPr>
          <w:rFonts w:ascii="Palatino Linotype" w:eastAsia="Palatino Linotype" w:hAnsi="Palatino Linotype" w:cs="Palatino Linotype"/>
        </w:rPr>
      </w:pPr>
    </w:p>
    <w:p w14:paraId="6F55B75E" w14:textId="77777777" w:rsidR="005B55A3" w:rsidRDefault="005B55A3" w:rsidP="00A2438A">
      <w:pPr>
        <w:spacing w:after="0" w:line="360" w:lineRule="auto"/>
        <w:ind w:right="423"/>
        <w:jc w:val="both"/>
        <w:rPr>
          <w:rFonts w:ascii="Palatino Linotype" w:eastAsia="Palatino Linotype" w:hAnsi="Palatino Linotype" w:cs="Palatino Linotype"/>
        </w:rPr>
      </w:pPr>
    </w:p>
    <w:p w14:paraId="46688AC2" w14:textId="77777777" w:rsidR="005B55A3" w:rsidRDefault="005B55A3" w:rsidP="00A2438A">
      <w:pPr>
        <w:spacing w:after="0" w:line="360" w:lineRule="auto"/>
        <w:ind w:right="423"/>
        <w:jc w:val="both"/>
        <w:rPr>
          <w:rFonts w:ascii="Palatino Linotype" w:eastAsia="Palatino Linotype" w:hAnsi="Palatino Linotype" w:cs="Palatino Linotype"/>
        </w:rPr>
      </w:pPr>
    </w:p>
    <w:p w14:paraId="33A006D3" w14:textId="77777777" w:rsidR="005B55A3" w:rsidRDefault="005B55A3" w:rsidP="00A2438A">
      <w:pPr>
        <w:spacing w:after="0" w:line="360" w:lineRule="auto"/>
        <w:ind w:right="423"/>
        <w:jc w:val="both"/>
        <w:rPr>
          <w:rFonts w:ascii="Palatino Linotype" w:eastAsia="Palatino Linotype" w:hAnsi="Palatino Linotype" w:cs="Palatino Linotype"/>
        </w:rPr>
      </w:pPr>
    </w:p>
    <w:p w14:paraId="1D329808" w14:textId="77777777" w:rsidR="005B55A3" w:rsidRDefault="005B55A3" w:rsidP="00A2438A">
      <w:pPr>
        <w:spacing w:after="0" w:line="360" w:lineRule="auto"/>
        <w:ind w:right="423"/>
        <w:jc w:val="both"/>
        <w:rPr>
          <w:rFonts w:ascii="Palatino Linotype" w:eastAsia="Palatino Linotype" w:hAnsi="Palatino Linotype" w:cs="Palatino Linotype"/>
        </w:rPr>
      </w:pPr>
    </w:p>
    <w:p w14:paraId="38FF3A68" w14:textId="77777777" w:rsidR="005B55A3" w:rsidRDefault="005B55A3" w:rsidP="00A2438A">
      <w:pPr>
        <w:spacing w:after="0" w:line="360" w:lineRule="auto"/>
        <w:ind w:right="423"/>
        <w:jc w:val="both"/>
        <w:rPr>
          <w:rFonts w:ascii="Palatino Linotype" w:eastAsia="Palatino Linotype" w:hAnsi="Palatino Linotype" w:cs="Palatino Linotype"/>
        </w:rPr>
      </w:pPr>
      <w:bookmarkStart w:id="6" w:name="_heading=h.3znysh7" w:colFirst="0" w:colLast="0"/>
      <w:bookmarkEnd w:id="6"/>
    </w:p>
    <w:p w14:paraId="327076E8" w14:textId="77777777" w:rsidR="005B55A3" w:rsidRDefault="005B55A3" w:rsidP="00A2438A">
      <w:pPr>
        <w:spacing w:after="0" w:line="360" w:lineRule="auto"/>
        <w:ind w:right="423"/>
        <w:jc w:val="both"/>
        <w:rPr>
          <w:rFonts w:ascii="Palatino Linotype" w:eastAsia="Palatino Linotype" w:hAnsi="Palatino Linotype" w:cs="Palatino Linotype"/>
        </w:rPr>
      </w:pPr>
    </w:p>
    <w:p w14:paraId="1F8E74EE" w14:textId="77777777" w:rsidR="005B55A3" w:rsidRDefault="005B55A3" w:rsidP="00A2438A">
      <w:pPr>
        <w:spacing w:after="0" w:line="360" w:lineRule="auto"/>
        <w:ind w:right="423"/>
        <w:jc w:val="both"/>
        <w:rPr>
          <w:rFonts w:ascii="Palatino Linotype" w:eastAsia="Palatino Linotype" w:hAnsi="Palatino Linotype" w:cs="Palatino Linotype"/>
        </w:rPr>
      </w:pPr>
    </w:p>
    <w:p w14:paraId="37288F5A" w14:textId="77777777" w:rsidR="005B55A3" w:rsidRDefault="005B55A3" w:rsidP="00A2438A">
      <w:pPr>
        <w:spacing w:after="0" w:line="360" w:lineRule="auto"/>
        <w:ind w:right="423"/>
        <w:jc w:val="both"/>
        <w:rPr>
          <w:rFonts w:ascii="Palatino Linotype" w:eastAsia="Palatino Linotype" w:hAnsi="Palatino Linotype" w:cs="Palatino Linotype"/>
        </w:rPr>
      </w:pPr>
    </w:p>
    <w:p w14:paraId="2A102EB6" w14:textId="77777777" w:rsidR="005B55A3" w:rsidRDefault="005B55A3" w:rsidP="00A2438A">
      <w:pPr>
        <w:spacing w:after="0" w:line="360" w:lineRule="auto"/>
        <w:ind w:right="423"/>
        <w:jc w:val="both"/>
        <w:rPr>
          <w:rFonts w:ascii="Palatino Linotype" w:eastAsia="Palatino Linotype" w:hAnsi="Palatino Linotype" w:cs="Palatino Linotype"/>
        </w:rPr>
      </w:pPr>
    </w:p>
    <w:p w14:paraId="49DCCCBD" w14:textId="77777777" w:rsidR="005B55A3" w:rsidRDefault="005B55A3" w:rsidP="00A2438A">
      <w:pPr>
        <w:spacing w:after="0" w:line="360" w:lineRule="auto"/>
        <w:ind w:right="423"/>
        <w:jc w:val="both"/>
        <w:rPr>
          <w:rFonts w:ascii="Palatino Linotype" w:eastAsia="Palatino Linotype" w:hAnsi="Palatino Linotype" w:cs="Palatino Linotype"/>
        </w:rPr>
      </w:pPr>
    </w:p>
    <w:p w14:paraId="36A75995" w14:textId="77777777" w:rsidR="005B55A3" w:rsidRDefault="005B55A3" w:rsidP="00A2438A">
      <w:pPr>
        <w:spacing w:after="0" w:line="360" w:lineRule="auto"/>
        <w:ind w:right="423"/>
        <w:jc w:val="both"/>
        <w:rPr>
          <w:rFonts w:ascii="Palatino Linotype" w:eastAsia="Palatino Linotype" w:hAnsi="Palatino Linotype" w:cs="Palatino Linotype"/>
        </w:rPr>
      </w:pPr>
    </w:p>
    <w:p w14:paraId="4D248AAF" w14:textId="77777777" w:rsidR="005B55A3" w:rsidRDefault="005B55A3" w:rsidP="00A2438A">
      <w:pPr>
        <w:spacing w:after="0" w:line="360" w:lineRule="auto"/>
        <w:ind w:right="423"/>
        <w:jc w:val="both"/>
        <w:rPr>
          <w:rFonts w:ascii="Palatino Linotype" w:eastAsia="Palatino Linotype" w:hAnsi="Palatino Linotype" w:cs="Palatino Linotype"/>
        </w:rPr>
      </w:pPr>
    </w:p>
    <w:p w14:paraId="0DE94873" w14:textId="77777777" w:rsidR="005B55A3" w:rsidRDefault="005B55A3" w:rsidP="00A2438A">
      <w:pPr>
        <w:spacing w:after="0" w:line="360" w:lineRule="auto"/>
        <w:ind w:right="423"/>
        <w:jc w:val="both"/>
        <w:rPr>
          <w:rFonts w:ascii="Palatino Linotype" w:eastAsia="Palatino Linotype" w:hAnsi="Palatino Linotype" w:cs="Palatino Linotype"/>
        </w:rPr>
      </w:pPr>
    </w:p>
    <w:p w14:paraId="498D1455" w14:textId="77777777" w:rsidR="005B55A3" w:rsidRDefault="005B55A3" w:rsidP="00A2438A">
      <w:pPr>
        <w:spacing w:after="0" w:line="360" w:lineRule="auto"/>
        <w:ind w:right="423"/>
        <w:jc w:val="both"/>
        <w:rPr>
          <w:rFonts w:ascii="Palatino Linotype" w:eastAsia="Palatino Linotype" w:hAnsi="Palatino Linotype" w:cs="Palatino Linotype"/>
        </w:rPr>
      </w:pPr>
    </w:p>
    <w:p w14:paraId="4451CF54" w14:textId="77777777" w:rsidR="005B55A3" w:rsidRDefault="005B55A3" w:rsidP="00A2438A">
      <w:pPr>
        <w:spacing w:after="0" w:line="360" w:lineRule="auto"/>
        <w:ind w:right="423"/>
        <w:jc w:val="both"/>
        <w:rPr>
          <w:rFonts w:ascii="Palatino Linotype" w:eastAsia="Palatino Linotype" w:hAnsi="Palatino Linotype" w:cs="Palatino Linotype"/>
        </w:rPr>
      </w:pPr>
    </w:p>
    <w:p w14:paraId="118BAA2D" w14:textId="77777777" w:rsidR="005B55A3" w:rsidRDefault="005B55A3" w:rsidP="00A2438A">
      <w:pPr>
        <w:spacing w:after="0" w:line="360" w:lineRule="auto"/>
        <w:ind w:right="423"/>
        <w:jc w:val="both"/>
        <w:rPr>
          <w:rFonts w:ascii="Palatino Linotype" w:eastAsia="Palatino Linotype" w:hAnsi="Palatino Linotype" w:cs="Palatino Linotype"/>
        </w:rPr>
      </w:pPr>
    </w:p>
    <w:p w14:paraId="360C3FF6" w14:textId="77777777" w:rsidR="005B55A3" w:rsidRDefault="005B55A3" w:rsidP="00A2438A">
      <w:pPr>
        <w:spacing w:after="0" w:line="360" w:lineRule="auto"/>
        <w:ind w:right="423"/>
        <w:jc w:val="both"/>
        <w:rPr>
          <w:rFonts w:ascii="Palatino Linotype" w:eastAsia="Palatino Linotype" w:hAnsi="Palatino Linotype" w:cs="Palatino Linotype"/>
        </w:rPr>
      </w:pPr>
    </w:p>
    <w:sectPr w:rsidR="005B55A3">
      <w:headerReference w:type="default" r:id="rId14"/>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73A2F" w14:textId="77777777" w:rsidR="00103180" w:rsidRDefault="00A2438A">
      <w:pPr>
        <w:spacing w:after="0" w:line="240" w:lineRule="auto"/>
      </w:pPr>
      <w:r>
        <w:separator/>
      </w:r>
    </w:p>
  </w:endnote>
  <w:endnote w:type="continuationSeparator" w:id="0">
    <w:p w14:paraId="4159F855" w14:textId="77777777" w:rsidR="00103180" w:rsidRDefault="00A2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CDE80" w14:textId="77777777" w:rsidR="005B55A3" w:rsidRDefault="00A2438A">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197F00">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197F00">
      <w:rPr>
        <w:rFonts w:ascii="Times New Roman" w:eastAsia="Times New Roman" w:hAnsi="Times New Roman" w:cs="Times New Roman"/>
        <w:b/>
        <w:noProof/>
        <w:color w:val="000000"/>
        <w:sz w:val="20"/>
        <w:szCs w:val="20"/>
      </w:rPr>
      <w:t>10</w:t>
    </w:r>
    <w:r>
      <w:rPr>
        <w:rFonts w:ascii="Times New Roman" w:eastAsia="Times New Roman" w:hAnsi="Times New Roman" w:cs="Times New Roman"/>
        <w:b/>
        <w:color w:val="000000"/>
        <w:sz w:val="20"/>
        <w:szCs w:val="20"/>
      </w:rPr>
      <w:fldChar w:fldCharType="end"/>
    </w:r>
  </w:p>
  <w:p w14:paraId="35E0A9B2" w14:textId="77777777" w:rsidR="005B55A3" w:rsidRDefault="005B55A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EA260" w14:textId="77777777" w:rsidR="00103180" w:rsidRDefault="00A2438A">
      <w:pPr>
        <w:spacing w:after="0" w:line="240" w:lineRule="auto"/>
      </w:pPr>
      <w:r>
        <w:separator/>
      </w:r>
    </w:p>
  </w:footnote>
  <w:footnote w:type="continuationSeparator" w:id="0">
    <w:p w14:paraId="1E1AD792" w14:textId="77777777" w:rsidR="00103180" w:rsidRDefault="00A24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B99D" w14:textId="02ED611D" w:rsidR="005B55A3" w:rsidRDefault="00A2438A">
    <w:pPr>
      <w:pBdr>
        <w:top w:val="nil"/>
        <w:left w:val="nil"/>
        <w:bottom w:val="nil"/>
        <w:right w:val="nil"/>
        <w:between w:val="nil"/>
      </w:pBdr>
      <w:tabs>
        <w:tab w:val="center" w:pos="4419"/>
        <w:tab w:val="right" w:pos="8364"/>
      </w:tabs>
      <w:spacing w:after="0" w:line="240" w:lineRule="auto"/>
      <w:ind w:right="49"/>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14:anchorId="531897AE" wp14:editId="29F90B93">
          <wp:simplePos x="0" y="0"/>
          <wp:positionH relativeFrom="column">
            <wp:posOffset>-640715</wp:posOffset>
          </wp:positionH>
          <wp:positionV relativeFrom="paragraph">
            <wp:posOffset>-717550</wp:posOffset>
          </wp:positionV>
          <wp:extent cx="7510628" cy="9883775"/>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r>
      <w:rPr>
        <w:rFonts w:ascii="Palatino Linotype" w:eastAsia="Palatino Linotype" w:hAnsi="Palatino Linotype" w:cs="Palatino Linotype"/>
        <w:b/>
        <w:color w:val="000000"/>
        <w:sz w:val="20"/>
        <w:szCs w:val="20"/>
      </w:rPr>
      <w:t xml:space="preserve">VOTO PARTICULAR </w:t>
    </w:r>
  </w:p>
  <w:p w14:paraId="08E87895" w14:textId="77777777" w:rsidR="005B55A3" w:rsidRDefault="00A2438A">
    <w:pPr>
      <w:pBdr>
        <w:top w:val="nil"/>
        <w:left w:val="nil"/>
        <w:bottom w:val="nil"/>
        <w:right w:val="nil"/>
        <w:between w:val="nil"/>
      </w:pBdr>
      <w:tabs>
        <w:tab w:val="center" w:pos="4419"/>
        <w:tab w:val="right" w:pos="8505"/>
      </w:tabs>
      <w:spacing w:after="0" w:line="240" w:lineRule="auto"/>
      <w:ind w:right="49"/>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RECURSO DE REVISIÓN 07105/INFOEM/IP/RR/2023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F04F7" w14:textId="77777777" w:rsidR="005B55A3" w:rsidRDefault="00A2438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9264" behindDoc="1" locked="0" layoutInCell="1" hidden="0" allowOverlap="1" wp14:anchorId="4FD3D941" wp14:editId="0D42700D">
          <wp:simplePos x="0" y="0"/>
          <wp:positionH relativeFrom="column">
            <wp:posOffset>-1227450</wp:posOffset>
          </wp:positionH>
          <wp:positionV relativeFrom="paragraph">
            <wp:posOffset>-485135</wp:posOffset>
          </wp:positionV>
          <wp:extent cx="7510628" cy="9883775"/>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64FE2EBA" w14:textId="77777777" w:rsidR="005B55A3" w:rsidRDefault="00A2438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14:paraId="06537BDA" w14:textId="77777777" w:rsidR="005B55A3" w:rsidRDefault="00A2438A">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 DE REVISIÓN 03361/INFOEM/IP/RR/2023</w:t>
    </w:r>
  </w:p>
  <w:p w14:paraId="4BC30B59" w14:textId="77777777" w:rsidR="005B55A3" w:rsidRDefault="005B55A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1497352B" w14:textId="77777777" w:rsidR="005B55A3" w:rsidRDefault="005B55A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E680B"/>
    <w:multiLevelType w:val="multilevel"/>
    <w:tmpl w:val="92CAE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A855EC"/>
    <w:multiLevelType w:val="multilevel"/>
    <w:tmpl w:val="1FC88E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FA41740"/>
    <w:multiLevelType w:val="multilevel"/>
    <w:tmpl w:val="5EA2CC28"/>
    <w:lvl w:ilvl="0">
      <w:start w:val="1"/>
      <w:numFmt w:val="bullet"/>
      <w:lvlText w:val="-"/>
      <w:lvlJc w:val="left"/>
      <w:pPr>
        <w:ind w:left="1080" w:hanging="360"/>
      </w:pPr>
      <w:rPr>
        <w:rFonts w:ascii="Palatino Linotype" w:eastAsia="Palatino Linotype" w:hAnsi="Palatino Linotype" w:cs="Palatino Linotype"/>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8BB58A6"/>
    <w:multiLevelType w:val="multilevel"/>
    <w:tmpl w:val="6694BF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A3"/>
    <w:rsid w:val="00103180"/>
    <w:rsid w:val="00197F00"/>
    <w:rsid w:val="002640AC"/>
    <w:rsid w:val="005B55A3"/>
    <w:rsid w:val="00A243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32B5"/>
  <w15:docId w15:val="{90434351-831E-43F2-BD48-B09B1D65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F39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98D"/>
  </w:style>
  <w:style w:type="paragraph" w:styleId="Piedepgina">
    <w:name w:val="footer"/>
    <w:basedOn w:val="Normal"/>
    <w:link w:val="PiedepginaCar"/>
    <w:uiPriority w:val="99"/>
    <w:unhideWhenUsed/>
    <w:rsid w:val="00AF39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98D"/>
  </w:style>
  <w:style w:type="paragraph" w:styleId="Prrafodelista">
    <w:name w:val="List Paragraph"/>
    <w:basedOn w:val="Normal"/>
    <w:uiPriority w:val="34"/>
    <w:qFormat/>
    <w:rsid w:val="00823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pomex.org.mx/ipo3/lgt/indice/TESCO.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TESCO.we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pomex.org.mx/ipo3/lgt/indice/TESCO.web" TargetMode="External"/><Relationship Id="rId4" Type="http://schemas.openxmlformats.org/officeDocument/2006/relationships/settings" Target="settings.xml"/><Relationship Id="rId9" Type="http://schemas.openxmlformats.org/officeDocument/2006/relationships/hyperlink" Target="https://ipomex.org.mx/ipo3/lgt/indice/TESCO.web"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yccU0EFmEnMMACZnFF545qI2Sw==">CgMxLjAyCGguZ2pkZ3hzMgloLjJldDkycDAyCWguMWZvYjl0ZTIIaC50eWpjd3QyDmgueGV6cjBva2Q1N3RuMgloLjN6bnlzaDc4AHIhMUxkLXVEWDQ1b1RPZHI1T19tQzU5ZUljdkxmcGN0MW1I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2392</Words>
  <Characters>13161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INFOEM517</cp:lastModifiedBy>
  <cp:revision>3</cp:revision>
  <cp:lastPrinted>2024-05-14T18:59:00Z</cp:lastPrinted>
  <dcterms:created xsi:type="dcterms:W3CDTF">2024-05-14T18:59:00Z</dcterms:created>
  <dcterms:modified xsi:type="dcterms:W3CDTF">2024-05-14T18:59:00Z</dcterms:modified>
</cp:coreProperties>
</file>