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C0" w:rsidRDefault="0064040B">
      <w:pPr>
        <w:spacing w:before="240" w:after="240" w:line="360" w:lineRule="auto"/>
        <w:ind w:right="49"/>
        <w:jc w:val="both"/>
        <w:rPr>
          <w:rFonts w:ascii="Palatino Linotype" w:eastAsia="Palatino Linotype" w:hAnsi="Palatino Linotype" w:cs="Palatino Linotype"/>
          <w:b/>
          <w:sz w:val="24"/>
          <w:szCs w:val="24"/>
          <w:highlight w:val="red"/>
        </w:rPr>
      </w:pPr>
      <w:bookmarkStart w:id="0" w:name="_heading=h.30j0zll"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NOVENA SESIÓN ORDINARIA CELEBRADA EL TRECE DE MARZO DE </w:t>
      </w:r>
      <w:r w:rsidRPr="000D402D">
        <w:rPr>
          <w:rFonts w:ascii="Palatino Linotype" w:eastAsia="Palatino Linotype" w:hAnsi="Palatino Linotype" w:cs="Palatino Linotype"/>
          <w:b/>
          <w:sz w:val="24"/>
          <w:szCs w:val="24"/>
        </w:rPr>
        <w:t xml:space="preserve">DOS MIL VEINTICUATRO, EN EL RECURSO DE REVISIÓN </w:t>
      </w:r>
      <w:r w:rsidR="000D402D" w:rsidRPr="000D402D">
        <w:rPr>
          <w:rFonts w:ascii="Palatino Linotype" w:eastAsia="Palatino Linotype" w:hAnsi="Palatino Linotype" w:cs="Palatino Linotype"/>
          <w:b/>
          <w:sz w:val="24"/>
          <w:szCs w:val="24"/>
        </w:rPr>
        <w:t>08175/INFOEM/IP/RR/2023</w:t>
      </w:r>
      <w:r w:rsidRPr="000D402D">
        <w:rPr>
          <w:rFonts w:ascii="Palatino Linotype" w:eastAsia="Palatino Linotype" w:hAnsi="Palatino Linotype" w:cs="Palatino Linotype"/>
          <w:b/>
          <w:sz w:val="24"/>
          <w:szCs w:val="24"/>
        </w:rPr>
        <w:t>.</w:t>
      </w:r>
    </w:p>
    <w:p w:rsidR="00D013C0" w:rsidRDefault="0064040B">
      <w:pPr>
        <w:spacing w:before="240" w:after="24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w:t>
      </w:r>
      <w:r>
        <w:rPr>
          <w:rFonts w:ascii="Palatino Linotype" w:eastAsia="Palatino Linotype" w:hAnsi="Palatino Linotype" w:cs="Palatino Linotype"/>
          <w:sz w:val="24"/>
          <w:szCs w:val="24"/>
        </w:rPr>
        <w:t xml:space="preserve"> Información Pública y Protección de Datos Personales del Estado de México y Municipios, la que suscribe, Guadalupe Ramírez Peña, emite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 xml:space="preserve"> respecto a la resolución dictada en el recurso de revisión número </w:t>
      </w:r>
      <w:r>
        <w:rPr>
          <w:rFonts w:ascii="Palatino Linotype" w:eastAsia="Palatino Linotype" w:hAnsi="Palatino Linotype" w:cs="Palatino Linotype"/>
          <w:b/>
          <w:sz w:val="24"/>
          <w:szCs w:val="24"/>
        </w:rPr>
        <w:t>08175/INFOEM/IP/RR/2023</w:t>
      </w:r>
      <w:r>
        <w:rPr>
          <w:rFonts w:ascii="Palatino Linotype" w:eastAsia="Palatino Linotype" w:hAnsi="Palatino Linotype" w:cs="Palatino Linotype"/>
          <w:sz w:val="24"/>
          <w:szCs w:val="24"/>
        </w:rPr>
        <w:t>, pronunciada p</w:t>
      </w:r>
      <w:r>
        <w:rPr>
          <w:rFonts w:ascii="Palatino Linotype" w:eastAsia="Palatino Linotype" w:hAnsi="Palatino Linotype" w:cs="Palatino Linotype"/>
          <w:sz w:val="24"/>
          <w:szCs w:val="24"/>
        </w:rPr>
        <w:t xml:space="preserve">or el Pleno de este Instituto ante el proyecto presentado por el </w:t>
      </w:r>
      <w:r>
        <w:rPr>
          <w:rFonts w:ascii="Palatino Linotype" w:eastAsia="Palatino Linotype" w:hAnsi="Palatino Linotype" w:cs="Palatino Linotype"/>
          <w:b/>
          <w:sz w:val="24"/>
          <w:szCs w:val="24"/>
        </w:rPr>
        <w:t>Comisionado Presidente José Martínez Vilchis</w:t>
      </w:r>
      <w:r>
        <w:rPr>
          <w:rFonts w:ascii="Palatino Linotype" w:eastAsia="Palatino Linotype" w:hAnsi="Palatino Linotype" w:cs="Palatino Linotype"/>
          <w:sz w:val="24"/>
          <w:szCs w:val="24"/>
        </w:rPr>
        <w:t xml:space="preserve">, al tenor siguiente: </w:t>
      </w:r>
    </w:p>
    <w:p w:rsidR="00D013C0" w:rsidRDefault="0064040B">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I. Antecedentes.</w:t>
      </w:r>
    </w:p>
    <w:p w:rsidR="00D013C0" w:rsidRDefault="0064040B">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quedó debidamente asentado en la resolución, materia del presente voto particular, la persona solicita</w:t>
      </w:r>
      <w:r>
        <w:rPr>
          <w:rFonts w:ascii="Palatino Linotype" w:eastAsia="Palatino Linotype" w:hAnsi="Palatino Linotype" w:cs="Palatino Linotype"/>
          <w:sz w:val="24"/>
          <w:szCs w:val="24"/>
        </w:rPr>
        <w:t xml:space="preserve">nte requirió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conocer la siguiente información: </w:t>
      </w:r>
    </w:p>
    <w:p w:rsidR="00D013C0" w:rsidRDefault="0064040B">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roofErr w:type="spellStart"/>
      <w:r>
        <w:rPr>
          <w:rFonts w:ascii="Palatino Linotype" w:eastAsia="Palatino Linotype" w:hAnsi="Palatino Linotype" w:cs="Palatino Linotype"/>
          <w:i/>
        </w:rPr>
        <w:t>Numero</w:t>
      </w:r>
      <w:proofErr w:type="spellEnd"/>
      <w:r>
        <w:rPr>
          <w:rFonts w:ascii="Palatino Linotype" w:eastAsia="Palatino Linotype" w:hAnsi="Palatino Linotype" w:cs="Palatino Linotype"/>
          <w:i/>
        </w:rPr>
        <w:t xml:space="preserve"> total de pozos/bombas de agua que hay en el municipio </w:t>
      </w:r>
      <w:proofErr w:type="spellStart"/>
      <w:r>
        <w:rPr>
          <w:rFonts w:ascii="Palatino Linotype" w:eastAsia="Palatino Linotype" w:hAnsi="Palatino Linotype" w:cs="Palatino Linotype"/>
          <w:i/>
        </w:rPr>
        <w:t>numero</w:t>
      </w:r>
      <w:proofErr w:type="spellEnd"/>
      <w:r>
        <w:rPr>
          <w:rFonts w:ascii="Palatino Linotype" w:eastAsia="Palatino Linotype" w:hAnsi="Palatino Linotype" w:cs="Palatino Linotype"/>
          <w:i/>
        </w:rPr>
        <w:t xml:space="preserve"> total de pozos/bombas de agua que se encuentran en funcionamiento </w:t>
      </w:r>
      <w:proofErr w:type="spellStart"/>
      <w:r>
        <w:rPr>
          <w:rFonts w:ascii="Palatino Linotype" w:eastAsia="Palatino Linotype" w:hAnsi="Palatino Linotype" w:cs="Palatino Linotype"/>
          <w:i/>
        </w:rPr>
        <w:t>numero</w:t>
      </w:r>
      <w:proofErr w:type="spellEnd"/>
      <w:r>
        <w:rPr>
          <w:rFonts w:ascii="Palatino Linotype" w:eastAsia="Palatino Linotype" w:hAnsi="Palatino Linotype" w:cs="Palatino Linotype"/>
          <w:i/>
        </w:rPr>
        <w:t xml:space="preserve"> total de </w:t>
      </w:r>
      <w:r>
        <w:rPr>
          <w:rFonts w:ascii="Palatino Linotype" w:eastAsia="Palatino Linotype" w:hAnsi="Palatino Linotype" w:cs="Palatino Linotype"/>
          <w:i/>
        </w:rPr>
        <w:lastRenderedPageBreak/>
        <w:t>pozos/bombas de agua que NO se encue</w:t>
      </w:r>
      <w:r>
        <w:rPr>
          <w:rFonts w:ascii="Palatino Linotype" w:eastAsia="Palatino Linotype" w:hAnsi="Palatino Linotype" w:cs="Palatino Linotype"/>
          <w:i/>
        </w:rPr>
        <w:t>ntran en funcionamiento y la ubicación de estos. Los que no se encuentran en funcionamiento detallar los motivos por los cuales no funcionan, así como la fecha en la que dejaron de funcionar y las medidas que están tomando para que puedan funcionar nuevame</w:t>
      </w:r>
      <w:r>
        <w:rPr>
          <w:rFonts w:ascii="Palatino Linotype" w:eastAsia="Palatino Linotype" w:hAnsi="Palatino Linotype" w:cs="Palatino Linotype"/>
          <w:i/>
        </w:rPr>
        <w:t>nte. Requiero saber del mes de agosto a la fecha de la presente solicitud, el monto, diario, semanal, quincenal o mensual que ha destinado el municipio para la dispersión de agua en la población, así como los documentos que amparen dicho gasto "expresión d</w:t>
      </w:r>
      <w:r>
        <w:rPr>
          <w:rFonts w:ascii="Palatino Linotype" w:eastAsia="Palatino Linotype" w:hAnsi="Palatino Linotype" w:cs="Palatino Linotype"/>
          <w:i/>
        </w:rPr>
        <w:t xml:space="preserve">ocumental". Motivos por los que ya van casi 2 meses que no cae agua de manera regular en el municipio, colonias, barrios etc... </w:t>
      </w:r>
      <w:proofErr w:type="gramStart"/>
      <w:r>
        <w:rPr>
          <w:rFonts w:ascii="Palatino Linotype" w:eastAsia="Palatino Linotype" w:hAnsi="Palatino Linotype" w:cs="Palatino Linotype"/>
          <w:i/>
        </w:rPr>
        <w:t>y</w:t>
      </w:r>
      <w:proofErr w:type="gramEnd"/>
      <w:r>
        <w:rPr>
          <w:rFonts w:ascii="Palatino Linotype" w:eastAsia="Palatino Linotype" w:hAnsi="Palatino Linotype" w:cs="Palatino Linotype"/>
          <w:i/>
        </w:rPr>
        <w:t xml:space="preserve"> </w:t>
      </w:r>
      <w:proofErr w:type="spellStart"/>
      <w:r>
        <w:rPr>
          <w:rFonts w:ascii="Palatino Linotype" w:eastAsia="Palatino Linotype" w:hAnsi="Palatino Linotype" w:cs="Palatino Linotype"/>
          <w:i/>
        </w:rPr>
        <w:t>cuales</w:t>
      </w:r>
      <w:proofErr w:type="spellEnd"/>
      <w:r>
        <w:rPr>
          <w:rFonts w:ascii="Palatino Linotype" w:eastAsia="Palatino Linotype" w:hAnsi="Palatino Linotype" w:cs="Palatino Linotype"/>
          <w:i/>
        </w:rPr>
        <w:t xml:space="preserve"> son las acciones que está realizando el municipio para arreglar dicha situación. Nombre, cargo y sueldo de todos los se</w:t>
      </w:r>
      <w:r>
        <w:rPr>
          <w:rFonts w:ascii="Palatino Linotype" w:eastAsia="Palatino Linotype" w:hAnsi="Palatino Linotype" w:cs="Palatino Linotype"/>
          <w:i/>
        </w:rPr>
        <w:t>rvidores públicos a cargo del servicio de agua, incluyendo a los síndicos o regidores que deban o tengan bajo sus comisiones el servicio de agua. Cualquier contrato, convenio o documento que el ayuntamiento tenga o haya celebrado con particulares dueños de</w:t>
      </w:r>
      <w:r>
        <w:rPr>
          <w:rFonts w:ascii="Palatino Linotype" w:eastAsia="Palatino Linotype" w:hAnsi="Palatino Linotype" w:cs="Palatino Linotype"/>
          <w:i/>
        </w:rPr>
        <w:t xml:space="preserve"> pipas para la dispersión de agua en la población. La información es para elaborar una nota </w:t>
      </w:r>
      <w:proofErr w:type="spellStart"/>
      <w:r>
        <w:rPr>
          <w:rFonts w:ascii="Palatino Linotype" w:eastAsia="Palatino Linotype" w:hAnsi="Palatino Linotype" w:cs="Palatino Linotype"/>
          <w:i/>
        </w:rPr>
        <w:t>periodistica</w:t>
      </w:r>
      <w:proofErr w:type="spellEnd"/>
      <w:r>
        <w:rPr>
          <w:rFonts w:ascii="Palatino Linotype" w:eastAsia="Palatino Linotype" w:hAnsi="Palatino Linotype" w:cs="Palatino Linotype"/>
          <w:i/>
        </w:rPr>
        <w:t xml:space="preserve">, por lo que atendiendo a que el acceso a la información es un derecho humano no se requiere realizar un cobro por el acceso a la misma.»  (Sic) </w:t>
      </w:r>
    </w:p>
    <w:p w:rsidR="00D013C0" w:rsidRDefault="0064040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su </w:t>
      </w:r>
      <w:r>
        <w:rPr>
          <w:rFonts w:ascii="Palatino Linotype" w:eastAsia="Palatino Linotype" w:hAnsi="Palatino Linotype" w:cs="Palatino Linotype"/>
          <w:sz w:val="24"/>
          <w:szCs w:val="24"/>
        </w:rPr>
        <w:t xml:space="preserve">respuesta,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adjuntó los siguientes archivos electrónicos: </w:t>
      </w:r>
    </w:p>
    <w:p w:rsidR="00D013C0" w:rsidRDefault="0064040B">
      <w:pPr>
        <w:numPr>
          <w:ilvl w:val="0"/>
          <w:numId w:val="1"/>
        </w:numPr>
        <w:spacing w:line="360" w:lineRule="auto"/>
        <w:ind w:left="567" w:right="900" w:hanging="28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 S. 63.pdf</w:t>
      </w:r>
      <w:r>
        <w:rPr>
          <w:rFonts w:ascii="Palatino Linotype" w:eastAsia="Palatino Linotype" w:hAnsi="Palatino Linotype" w:cs="Palatino Linotype"/>
          <w:color w:val="000000"/>
        </w:rPr>
        <w:t>. Oficio número UT/ODAPAS/000907/2023 emitido por el Titular de la Unidad de Transparencia y Mejora Regulatoria, con el que se señaló que se hacía entrega de la docume</w:t>
      </w:r>
      <w:r>
        <w:rPr>
          <w:rFonts w:ascii="Palatino Linotype" w:eastAsia="Palatino Linotype" w:hAnsi="Palatino Linotype" w:cs="Palatino Linotype"/>
          <w:color w:val="000000"/>
        </w:rPr>
        <w:t>ntación requerida en la solicitud en formato PDF con la respuesta del departamento con las facultades para atender dicha solicitud.</w:t>
      </w:r>
    </w:p>
    <w:p w:rsidR="00D013C0" w:rsidRDefault="0064040B">
      <w:pPr>
        <w:numPr>
          <w:ilvl w:val="0"/>
          <w:numId w:val="1"/>
        </w:numPr>
        <w:spacing w:line="360" w:lineRule="auto"/>
        <w:ind w:left="567" w:right="900" w:hanging="28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sol. 63 DOCyM.pdf</w:t>
      </w:r>
      <w:r>
        <w:rPr>
          <w:rFonts w:ascii="Palatino Linotype" w:eastAsia="Palatino Linotype" w:hAnsi="Palatino Linotype" w:cs="Palatino Linotype"/>
          <w:color w:val="000000"/>
        </w:rPr>
        <w:t>. Oficio número ODAPAS/DCOYM/000775/2023 suscrito por el Director de Construcción, Operación y Mantenimient</w:t>
      </w:r>
      <w:r>
        <w:rPr>
          <w:rFonts w:ascii="Palatino Linotype" w:eastAsia="Palatino Linotype" w:hAnsi="Palatino Linotype" w:cs="Palatino Linotype"/>
          <w:color w:val="000000"/>
        </w:rPr>
        <w:t xml:space="preserve">o, quien informó que se cuenta con treinta y cuatro pozos en el territorio municipal, de los cuales veintinueve se encuentran en funcionamiento y cinco fuera de </w:t>
      </w:r>
      <w:r>
        <w:rPr>
          <w:rFonts w:ascii="Palatino Linotype" w:eastAsia="Palatino Linotype" w:hAnsi="Palatino Linotype" w:cs="Palatino Linotype"/>
          <w:color w:val="000000"/>
        </w:rPr>
        <w:lastRenderedPageBreak/>
        <w:t>funcionamiento. Asimismo, se señalaron cuáles son los cinco pozos fuera de mantenimiento y se p</w:t>
      </w:r>
      <w:r>
        <w:rPr>
          <w:rFonts w:ascii="Palatino Linotype" w:eastAsia="Palatino Linotype" w:hAnsi="Palatino Linotype" w:cs="Palatino Linotype"/>
          <w:color w:val="000000"/>
        </w:rPr>
        <w:t>roporcionó el nombre del pozo, la ubicación, motivo por el que no funciona y las acciones para resolver la situación. Respecto al monto que se ha destinado para la dispersión de agua, se respondió que no está claro el requerimiento. Por último, tocante a l</w:t>
      </w:r>
      <w:r>
        <w:rPr>
          <w:rFonts w:ascii="Palatino Linotype" w:eastAsia="Palatino Linotype" w:hAnsi="Palatino Linotype" w:cs="Palatino Linotype"/>
          <w:color w:val="000000"/>
        </w:rPr>
        <w:t xml:space="preserve">o solicitado relativo a la distribución irregular de agua en el municipio, se respondió que el argumento carece de referencias que permitan responder con más eficiencia la solicitud, sin embargo, dicha situación puede justificarse con lo referido respecto </w:t>
      </w:r>
      <w:r>
        <w:rPr>
          <w:rFonts w:ascii="Palatino Linotype" w:eastAsia="Palatino Linotype" w:hAnsi="Palatino Linotype" w:cs="Palatino Linotype"/>
          <w:color w:val="000000"/>
        </w:rPr>
        <w:t>de los pozos que no están en funcionamiento.</w:t>
      </w:r>
    </w:p>
    <w:p w:rsidR="00D013C0" w:rsidRDefault="0064040B">
      <w:pPr>
        <w:spacing w:line="360" w:lineRule="auto"/>
        <w:ind w:left="70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Sol. 63</w:t>
      </w:r>
      <w:proofErr w:type="gramStart"/>
      <w:r>
        <w:rPr>
          <w:rFonts w:ascii="Palatino Linotype" w:eastAsia="Palatino Linotype" w:hAnsi="Palatino Linotype" w:cs="Palatino Linotype"/>
          <w:b/>
          <w:color w:val="000000"/>
        </w:rPr>
        <w:t>.pdf</w:t>
      </w:r>
      <w:proofErr w:type="gramEnd"/>
      <w:r>
        <w:rPr>
          <w:rFonts w:ascii="Palatino Linotype" w:eastAsia="Palatino Linotype" w:hAnsi="Palatino Linotype" w:cs="Palatino Linotype"/>
          <w:color w:val="000000"/>
        </w:rPr>
        <w:t>. Documento que contiene lo siguiente:</w:t>
      </w:r>
    </w:p>
    <w:p w:rsidR="00D013C0" w:rsidRDefault="0064040B">
      <w:pPr>
        <w:spacing w:line="360" w:lineRule="auto"/>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número ODAPAS/</w:t>
      </w:r>
      <w:proofErr w:type="spellStart"/>
      <w:r>
        <w:rPr>
          <w:rFonts w:ascii="Palatino Linotype" w:eastAsia="Palatino Linotype" w:hAnsi="Palatino Linotype" w:cs="Palatino Linotype"/>
          <w:color w:val="000000"/>
        </w:rPr>
        <w:t>DAyF</w:t>
      </w:r>
      <w:proofErr w:type="spellEnd"/>
      <w:r>
        <w:rPr>
          <w:rFonts w:ascii="Palatino Linotype" w:eastAsia="Palatino Linotype" w:hAnsi="Palatino Linotype" w:cs="Palatino Linotype"/>
          <w:color w:val="000000"/>
        </w:rPr>
        <w:t>/0807/2023 suscrito por la Directora de Administración y Finanzas, mediante el cual se informó que el Departamento de Recursos Humanos r</w:t>
      </w:r>
      <w:r>
        <w:rPr>
          <w:rFonts w:ascii="Palatino Linotype" w:eastAsia="Palatino Linotype" w:hAnsi="Palatino Linotype" w:cs="Palatino Linotype"/>
          <w:color w:val="000000"/>
        </w:rPr>
        <w:t>emitió su respuesta.</w:t>
      </w:r>
    </w:p>
    <w:p w:rsidR="00D013C0" w:rsidRDefault="0064040B">
      <w:pPr>
        <w:spacing w:line="360" w:lineRule="auto"/>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número ODAPAS/RH/1163/2023 signado por el Titular del Departamento de Recursos Humanos, por medio del cual se atendió la solicitud en su parte relativa al nombre, cargo y sueldo de los servidores públicos manifestando que se remitió un listado en fo</w:t>
      </w:r>
      <w:r>
        <w:rPr>
          <w:rFonts w:ascii="Palatino Linotype" w:eastAsia="Palatino Linotype" w:hAnsi="Palatino Linotype" w:cs="Palatino Linotype"/>
          <w:color w:val="000000"/>
        </w:rPr>
        <w:t>rmato PDF de los servidores públicos que se encuentran en el Departamento de Agua Potable y Suministro de Pipas y se puntualizó que respecto de los síndicos y regidores, se informa que el Sujeto Obligado no tiene ningún síndico o regidor adscrito.</w:t>
      </w:r>
    </w:p>
    <w:p w:rsidR="00D013C0" w:rsidRDefault="0064040B">
      <w:pPr>
        <w:spacing w:line="360" w:lineRule="auto"/>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lista</w:t>
      </w:r>
      <w:r>
        <w:rPr>
          <w:rFonts w:ascii="Palatino Linotype" w:eastAsia="Palatino Linotype" w:hAnsi="Palatino Linotype" w:cs="Palatino Linotype"/>
          <w:color w:val="000000"/>
        </w:rPr>
        <w:t>do de los servidores públicos adscritos al Departamento de Agua Potable y Suministro de Pipas, en el que se observan los rubros del nombre del trabajador, cargo y sueldo bruto.</w:t>
      </w:r>
    </w:p>
    <w:p w:rsidR="00D013C0" w:rsidRDefault="0064040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interpus</w:t>
      </w:r>
      <w:r>
        <w:rPr>
          <w:rFonts w:ascii="Palatino Linotype" w:eastAsia="Palatino Linotype" w:hAnsi="Palatino Linotype" w:cs="Palatino Linotype"/>
          <w:sz w:val="24"/>
          <w:szCs w:val="24"/>
        </w:rPr>
        <w:t>o el medio de impugnación citado al rubro, señalando como acto impugnado que la respuesta es incompleta y como razones o motivos de inconformidad que no se dio respuesta a todos y cada uno de los cuestionamientos planteados en el documento adjunto a la sol</w:t>
      </w:r>
      <w:r>
        <w:rPr>
          <w:rFonts w:ascii="Palatino Linotype" w:eastAsia="Palatino Linotype" w:hAnsi="Palatino Linotype" w:cs="Palatino Linotype"/>
          <w:sz w:val="24"/>
          <w:szCs w:val="24"/>
        </w:rPr>
        <w:t>icitud, reiterando que se requiere respuesta a lo solicitado en los términos establecidos.</w:t>
      </w:r>
    </w:p>
    <w:p w:rsidR="00D013C0" w:rsidRDefault="00D013C0">
      <w:pPr>
        <w:spacing w:after="0" w:line="360" w:lineRule="auto"/>
        <w:jc w:val="both"/>
        <w:rPr>
          <w:rFonts w:ascii="Palatino Linotype" w:eastAsia="Palatino Linotype" w:hAnsi="Palatino Linotype" w:cs="Palatino Linotype"/>
          <w:sz w:val="24"/>
          <w:szCs w:val="24"/>
        </w:rPr>
      </w:pPr>
    </w:p>
    <w:p w:rsidR="00D013C0" w:rsidRDefault="0064040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Admitido el recurso de revisión, en términos del artículo 185 fracción II</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de la Ley de Transparencia y Acceso a la Información Pública del Estado de México y Munic</w:t>
      </w:r>
      <w:r>
        <w:rPr>
          <w:rFonts w:ascii="Palatino Linotype" w:eastAsia="Palatino Linotype" w:hAnsi="Palatino Linotype" w:cs="Palatino Linotype"/>
          <w:sz w:val="24"/>
          <w:szCs w:val="24"/>
        </w:rPr>
        <w:t xml:space="preserve">ipios, se integró el expediente y se puso a disposición de las partes para que, en un plazo máximo de siete días hábiles, manifestaran lo que a su derecho resultara conveniente, teniendo así que las partes omitieron realizar manifestaciones. </w:t>
      </w:r>
    </w:p>
    <w:p w:rsidR="00D013C0" w:rsidRDefault="00D013C0">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rsidR="00D013C0" w:rsidRDefault="0064040B">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sentido, derivado del análisis efectuado, el Comisionado Ponente consideró que los motivos de inconformidad aducidos por la persona solicitante resultaban </w:t>
      </w:r>
      <w:r>
        <w:rPr>
          <w:rFonts w:ascii="Palatino Linotype" w:eastAsia="Palatino Linotype" w:hAnsi="Palatino Linotype" w:cs="Palatino Linotype"/>
          <w:b/>
          <w:sz w:val="24"/>
          <w:szCs w:val="24"/>
        </w:rPr>
        <w:lastRenderedPageBreak/>
        <w:t>fundados</w:t>
      </w:r>
      <w:r>
        <w:rPr>
          <w:rFonts w:ascii="Palatino Linotype" w:eastAsia="Palatino Linotype" w:hAnsi="Palatino Linotype" w:cs="Palatino Linotype"/>
          <w:sz w:val="24"/>
          <w:szCs w:val="24"/>
        </w:rPr>
        <w:t xml:space="preserve">, y determinó </w:t>
      </w:r>
      <w:r>
        <w:rPr>
          <w:rFonts w:ascii="Palatino Linotype" w:eastAsia="Palatino Linotype" w:hAnsi="Palatino Linotype" w:cs="Palatino Linotype"/>
          <w:b/>
          <w:sz w:val="24"/>
          <w:szCs w:val="24"/>
        </w:rPr>
        <w:t xml:space="preserve">MODIFICAR </w:t>
      </w:r>
      <w:r>
        <w:rPr>
          <w:rFonts w:ascii="Palatino Linotype" w:eastAsia="Palatino Linotype" w:hAnsi="Palatino Linotype" w:cs="Palatino Linotype"/>
          <w:sz w:val="24"/>
          <w:szCs w:val="24"/>
        </w:rPr>
        <w:t>la respuesta emitida, procediendo a ordenar entre otros puntos</w:t>
      </w:r>
      <w:r>
        <w:rPr>
          <w:rFonts w:ascii="Palatino Linotype" w:eastAsia="Palatino Linotype" w:hAnsi="Palatino Linotype" w:cs="Palatino Linotype"/>
          <w:sz w:val="24"/>
          <w:szCs w:val="24"/>
        </w:rPr>
        <w:t>, la entrega de lo siguiente:</w:t>
      </w:r>
    </w:p>
    <w:p w:rsidR="00D013C0" w:rsidRDefault="0064040B">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“PRIMERO. Se MODIFICA la respuesta entregada por el Sujeto Obligado a la solicitud de información número 00063/OASCHIMAL/IP/2023, por resultar fundados los motivos de inconformidad argüidos por la Recurrente, en términos del C</w:t>
      </w:r>
      <w:r>
        <w:rPr>
          <w:rFonts w:ascii="Palatino Linotype" w:eastAsia="Palatino Linotype" w:hAnsi="Palatino Linotype" w:cs="Palatino Linotype"/>
          <w:i/>
        </w:rPr>
        <w:t xml:space="preserve">onsiderando QUINTO de la presente resolución. </w:t>
      </w:r>
    </w:p>
    <w:p w:rsidR="00D013C0" w:rsidRDefault="0064040B">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Sujeto Obligado que realice una búsqueda exhaustiva y razonable en los archivos de las áreas que se consideren competentes, con el propósito de hace entrega a la Recurrente mediante el Si</w:t>
      </w:r>
      <w:r>
        <w:rPr>
          <w:rFonts w:ascii="Palatino Linotype" w:eastAsia="Palatino Linotype" w:hAnsi="Palatino Linotype" w:cs="Palatino Linotype"/>
          <w:i/>
        </w:rPr>
        <w:t>stema de Acceso a la Información Mexiquense (SAIMEX), en versión pública en los casos que proceda y en términos del Considerando QUINTO, de los documentos en donde conste lo siguiente:</w:t>
      </w:r>
    </w:p>
    <w:p w:rsidR="00D013C0" w:rsidRDefault="0064040B">
      <w:pPr>
        <w:spacing w:after="8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D013C0" w:rsidRDefault="0064040B">
      <w:pPr>
        <w:spacing w:after="8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u w:val="single"/>
        </w:rPr>
        <w:t>4. El acuerdo que emita el Comité de Transparencia mediante el cual s</w:t>
      </w:r>
      <w:r>
        <w:rPr>
          <w:rFonts w:ascii="Palatino Linotype" w:eastAsia="Palatino Linotype" w:hAnsi="Palatino Linotype" w:cs="Palatino Linotype"/>
          <w:b/>
          <w:i/>
          <w:u w:val="single"/>
        </w:rPr>
        <w:t>e declare la incompetencia para generar información relativa a los síndicos y regidores del municipio</w:t>
      </w:r>
      <w:r>
        <w:rPr>
          <w:rFonts w:ascii="Palatino Linotype" w:eastAsia="Palatino Linotype" w:hAnsi="Palatino Linotype" w:cs="Palatino Linotype"/>
          <w:i/>
        </w:rPr>
        <w:t>.” (Énfasis añadido)</w:t>
      </w:r>
    </w:p>
    <w:p w:rsidR="00D013C0" w:rsidRDefault="0064040B">
      <w:pPr>
        <w:spacing w:before="240" w:after="24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rsidR="00D013C0" w:rsidRDefault="0064040B">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términos generales es de señalar que se comparte en su mayoría el sentido de la resolución, no así del punto concerniente al acuerdo de incompetencia para para generar información relativa a los síndicos y regidores del municipio, que se ordena por los </w:t>
      </w:r>
      <w:r>
        <w:rPr>
          <w:rFonts w:ascii="Palatino Linotype" w:eastAsia="Palatino Linotype" w:hAnsi="Palatino Linotype" w:cs="Palatino Linotype"/>
          <w:sz w:val="24"/>
          <w:szCs w:val="24"/>
        </w:rPr>
        <w:t>argumentos que se exponen a continuación:</w:t>
      </w:r>
    </w:p>
    <w:p w:rsidR="00D013C0" w:rsidRDefault="0064040B">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Respecto a la Declaración de Incompetencia la Ley de Transparencia y Acceso a la Información Pública del Estado de México y Municipios, establece, en los artículos 49, fracción II y 167, lo siguiente: </w:t>
      </w:r>
    </w:p>
    <w:p w:rsidR="00D013C0" w:rsidRDefault="0064040B">
      <w:pPr>
        <w:tabs>
          <w:tab w:val="left" w:pos="851"/>
        </w:tabs>
        <w:spacing w:before="120"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rsidR="00D013C0" w:rsidRDefault="0064040B">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D013C0" w:rsidRDefault="0064040B">
      <w:pPr>
        <w:tabs>
          <w:tab w:val="left" w:pos="851"/>
        </w:tabs>
        <w:spacing w:before="120" w:after="120" w:line="240" w:lineRule="auto"/>
        <w:ind w:left="851" w:right="902"/>
        <w:jc w:val="both"/>
        <w:rPr>
          <w:rFonts w:ascii="Palatino Linotype" w:eastAsia="Palatino Linotype" w:hAnsi="Palatino Linotype" w:cs="Palatino Linotype"/>
          <w:b/>
          <w:i/>
          <w:u w:val="single"/>
        </w:rPr>
      </w:pPr>
      <w:r>
        <w:rPr>
          <w:rFonts w:ascii="Palatino Linotype" w:eastAsia="Palatino Linotype" w:hAnsi="Palatino Linotype" w:cs="Palatino Linotype"/>
          <w:b/>
          <w:i/>
        </w:rPr>
        <w:t>II.</w:t>
      </w:r>
      <w:r>
        <w:t xml:space="preserve"> </w:t>
      </w:r>
      <w:r>
        <w:rPr>
          <w:rFonts w:ascii="Palatino Linotype" w:eastAsia="Palatino Linotype" w:hAnsi="Palatino Linotype" w:cs="Palatino Linotype"/>
          <w:b/>
          <w:i/>
        </w:rPr>
        <w:t>Confirmar, modificar o revocar</w:t>
      </w:r>
      <w:r>
        <w:rPr>
          <w:rFonts w:ascii="Palatino Linotype" w:eastAsia="Palatino Linotype" w:hAnsi="Palatino Linotype" w:cs="Palatino Linotype"/>
          <w:i/>
        </w:rPr>
        <w:t xml:space="preserve"> las determinaciones que en materia de ampliación del plazo de respuesta, clasificación de la información </w:t>
      </w:r>
      <w:r>
        <w:rPr>
          <w:rFonts w:ascii="Palatino Linotype" w:eastAsia="Palatino Linotype" w:hAnsi="Palatino Linotype" w:cs="Palatino Linotype"/>
          <w:b/>
          <w:i/>
        </w:rPr>
        <w:t>y declaración</w:t>
      </w:r>
      <w:r>
        <w:rPr>
          <w:rFonts w:ascii="Palatino Linotype" w:eastAsia="Palatino Linotype" w:hAnsi="Palatino Linotype" w:cs="Palatino Linotype"/>
          <w:i/>
        </w:rPr>
        <w:t xml:space="preserve"> de inexistencia o </w:t>
      </w:r>
      <w:r>
        <w:rPr>
          <w:rFonts w:ascii="Palatino Linotype" w:eastAsia="Palatino Linotype" w:hAnsi="Palatino Linotype" w:cs="Palatino Linotype"/>
          <w:b/>
          <w:i/>
        </w:rPr>
        <w:t>d</w:t>
      </w:r>
      <w:r>
        <w:rPr>
          <w:rFonts w:ascii="Palatino Linotype" w:eastAsia="Palatino Linotype" w:hAnsi="Palatino Linotype" w:cs="Palatino Linotype"/>
          <w:b/>
          <w:i/>
        </w:rPr>
        <w:t>e incompetencia realicen los titulares de las áreas de los sujetos obligados;</w:t>
      </w:r>
    </w:p>
    <w:p w:rsidR="00D013C0" w:rsidRDefault="0064040B">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D013C0" w:rsidRDefault="0064040B">
      <w:pPr>
        <w:tabs>
          <w:tab w:val="left" w:pos="851"/>
        </w:tabs>
        <w:spacing w:before="120" w:after="12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Artículo 167</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las unidades de transparencia determinen la notoria incompetencia</w:t>
      </w:r>
      <w:r>
        <w:rPr>
          <w:rFonts w:ascii="Palatino Linotype" w:eastAsia="Palatino Linotype" w:hAnsi="Palatino Linotype" w:cs="Palatino Linotype"/>
          <w:i/>
        </w:rPr>
        <w:t xml:space="preserve"> por parte de los sujetos obligados, dentro del ámbito de aplicación, para atender la so</w:t>
      </w:r>
      <w:r>
        <w:rPr>
          <w:rFonts w:ascii="Palatino Linotype" w:eastAsia="Palatino Linotype" w:hAnsi="Palatino Linotype" w:cs="Palatino Linotype"/>
          <w:i/>
        </w:rPr>
        <w:t xml:space="preserve">licitud de acceso a la información, </w:t>
      </w:r>
      <w:r>
        <w:rPr>
          <w:rFonts w:ascii="Palatino Linotype" w:eastAsia="Palatino Linotype" w:hAnsi="Palatino Linotype" w:cs="Palatino Linotype"/>
          <w:b/>
          <w:i/>
        </w:rPr>
        <w:t>deberán comunicarlo al solicitante, dentro de los tres días hábiles posteriores a la recepción de la solicitud</w:t>
      </w:r>
      <w:r>
        <w:rPr>
          <w:rFonts w:ascii="Palatino Linotype" w:eastAsia="Palatino Linotype" w:hAnsi="Palatino Linotype" w:cs="Palatino Linotype"/>
          <w:i/>
        </w:rPr>
        <w:t xml:space="preserve"> y, </w:t>
      </w:r>
      <w:r>
        <w:rPr>
          <w:rFonts w:ascii="Palatino Linotype" w:eastAsia="Palatino Linotype" w:hAnsi="Palatino Linotype" w:cs="Palatino Linotype"/>
          <w:b/>
          <w:i/>
        </w:rPr>
        <w:t xml:space="preserve">en su caso orientar al solicitante, el o los sujetos obligados competentes.” </w:t>
      </w:r>
    </w:p>
    <w:p w:rsidR="00D013C0" w:rsidRDefault="00D013C0">
      <w:pPr>
        <w:spacing w:before="120" w:after="120" w:line="240" w:lineRule="auto"/>
        <w:ind w:left="851" w:right="902"/>
        <w:jc w:val="both"/>
        <w:rPr>
          <w:rFonts w:ascii="Palatino Linotype" w:eastAsia="Palatino Linotype" w:hAnsi="Palatino Linotype" w:cs="Palatino Linotype"/>
          <w:sz w:val="24"/>
          <w:szCs w:val="24"/>
        </w:rPr>
      </w:pPr>
    </w:p>
    <w:p w:rsidR="00D013C0" w:rsidRDefault="0064040B">
      <w:pPr>
        <w:tabs>
          <w:tab w:val="left" w:pos="142"/>
          <w:tab w:val="left" w:pos="284"/>
        </w:tabs>
        <w:spacing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De los preceptos citados se</w:t>
      </w:r>
      <w:r>
        <w:rPr>
          <w:rFonts w:ascii="Palatino Linotype" w:eastAsia="Palatino Linotype" w:hAnsi="Palatino Linotype" w:cs="Palatino Linotype"/>
          <w:sz w:val="24"/>
          <w:szCs w:val="24"/>
        </w:rPr>
        <w:t xml:space="preserve"> desprende que es atribución del Comité de Transparencia confirmar, modificar o revocar, en su caso, la declaración de incompetencia,</w:t>
      </w:r>
      <w:r>
        <w:rPr>
          <w:rFonts w:ascii="Palatino Linotype" w:eastAsia="Palatino Linotype" w:hAnsi="Palatino Linotype" w:cs="Palatino Linotype"/>
          <w:b/>
          <w:sz w:val="24"/>
          <w:szCs w:val="24"/>
        </w:rPr>
        <w:t xml:space="preserve"> en aquellos casos en los que no se trate de una notoria incompetencia. </w:t>
      </w:r>
    </w:p>
    <w:p w:rsidR="00D013C0" w:rsidRDefault="0064040B">
      <w:pPr>
        <w:tabs>
          <w:tab w:val="left" w:pos="142"/>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Puesto que la Ley también prevé que dicho acuerdo </w:t>
      </w:r>
      <w:r>
        <w:rPr>
          <w:rFonts w:ascii="Palatino Linotype" w:eastAsia="Palatino Linotype" w:hAnsi="Palatino Linotype" w:cs="Palatino Linotype"/>
          <w:sz w:val="24"/>
          <w:szCs w:val="24"/>
        </w:rPr>
        <w:t xml:space="preserve">no es necesario cuando la Unidad de Transparencia determine que la incompetencia es notoria dando un plazo de tres días hábiles para hacerlo del conocimiento del particular, por lo que si bien, </w:t>
      </w:r>
      <w:r>
        <w:rPr>
          <w:rFonts w:ascii="Palatino Linotype" w:eastAsia="Palatino Linotype" w:hAnsi="Palatino Linotype" w:cs="Palatino Linotype"/>
          <w:sz w:val="24"/>
          <w:szCs w:val="24"/>
        </w:rPr>
        <w:lastRenderedPageBreak/>
        <w:t>en el caso particular, no fue respetado dicho plazo, ello no c</w:t>
      </w:r>
      <w:r>
        <w:rPr>
          <w:rFonts w:ascii="Palatino Linotype" w:eastAsia="Palatino Linotype" w:hAnsi="Palatino Linotype" w:cs="Palatino Linotype"/>
          <w:sz w:val="24"/>
          <w:szCs w:val="24"/>
        </w:rPr>
        <w:t xml:space="preserve">ambia la circunstancia de que la incompetencia de sujeto obligado para dar atención a la solicitud de información siga siendo notoria. </w:t>
      </w:r>
    </w:p>
    <w:p w:rsidR="00D013C0" w:rsidRDefault="0064040B">
      <w:pPr>
        <w:tabs>
          <w:tab w:val="left" w:pos="142"/>
          <w:tab w:val="left" w:pos="284"/>
        </w:tabs>
        <w:spacing w:line="360" w:lineRule="auto"/>
        <w:jc w:val="both"/>
        <w:rPr>
          <w:rFonts w:ascii="Palatino Linotype" w:eastAsia="Palatino Linotype" w:hAnsi="Palatino Linotype" w:cs="Palatino Linotype"/>
          <w:sz w:val="24"/>
          <w:szCs w:val="24"/>
          <w:u w:val="single"/>
        </w:rPr>
      </w:pPr>
      <w:r>
        <w:rPr>
          <w:rFonts w:ascii="Palatino Linotype" w:eastAsia="Palatino Linotype" w:hAnsi="Palatino Linotype" w:cs="Palatino Linotype"/>
          <w:sz w:val="24"/>
          <w:szCs w:val="24"/>
        </w:rPr>
        <w:t>En otras palabras, la Ley de la Materia confiere a las Unidades de Transparencia la posibilidad de notificar la incompet</w:t>
      </w:r>
      <w:r>
        <w:rPr>
          <w:rFonts w:ascii="Palatino Linotype" w:eastAsia="Palatino Linotype" w:hAnsi="Palatino Linotype" w:cs="Palatino Linotype"/>
          <w:sz w:val="24"/>
          <w:szCs w:val="24"/>
        </w:rPr>
        <w:t xml:space="preserve">encia cuando esta sea notoria, siendo innecesario que dicha circunstancia sea sometida a consideración de los integrantes del Comité de Transparencia </w:t>
      </w:r>
      <w:r>
        <w:rPr>
          <w:rFonts w:ascii="Palatino Linotype" w:eastAsia="Palatino Linotype" w:hAnsi="Palatino Linotype" w:cs="Palatino Linotype"/>
          <w:sz w:val="24"/>
          <w:szCs w:val="24"/>
          <w:u w:val="single"/>
        </w:rPr>
        <w:t xml:space="preserve">para su aprobación. </w:t>
      </w:r>
    </w:p>
    <w:p w:rsidR="00D013C0" w:rsidRDefault="0064040B">
      <w:pPr>
        <w:spacing w:before="240" w:after="360" w:line="360" w:lineRule="auto"/>
        <w:ind w:right="1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sustento de lo anterior, resulta aplicable el Criterio 20/20, emitido por el Instituto Nacional de Transparencia, Acceso a la Información, y Protección de Datos Personales, INAI, que lleva por rubro y texto los siguientes:  </w:t>
      </w:r>
    </w:p>
    <w:p w:rsidR="00D013C0" w:rsidRDefault="0064040B">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“Declaración de incompeten</w:t>
      </w:r>
      <w:r>
        <w:rPr>
          <w:rFonts w:ascii="Palatino Linotype" w:eastAsia="Palatino Linotype" w:hAnsi="Palatino Linotype" w:cs="Palatino Linotype"/>
          <w:b/>
          <w:i/>
          <w:color w:val="000000"/>
        </w:rPr>
        <w:t>cia por parte del Comité, cuando no sea notoria o manifiesta.</w:t>
      </w:r>
      <w:r>
        <w:rPr>
          <w:rFonts w:ascii="Palatino Linotype" w:eastAsia="Palatino Linotype" w:hAnsi="Palatino Linotype" w:cs="Palatino Linotype"/>
          <w:i/>
          <w:color w:val="000000"/>
        </w:rPr>
        <w:t xml:space="preserve"> Cuando la normatividad que prevé las atribuciones del sujeto obligado no sea clara en delimitar su competencia respecto a lo requerido por la persona solicitante y resulte necesario efectuar un </w:t>
      </w:r>
      <w:r>
        <w:rPr>
          <w:rFonts w:ascii="Palatino Linotype" w:eastAsia="Palatino Linotype" w:hAnsi="Palatino Linotype" w:cs="Palatino Linotype"/>
          <w:i/>
          <w:color w:val="000000"/>
        </w:rPr>
        <w:t>análisis mayor para determinar la incompetencia, ésta debe ser declarada por el Comité de Transparencia.”</w:t>
      </w:r>
    </w:p>
    <w:p w:rsidR="00D013C0" w:rsidRDefault="0064040B">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manera, el Pleno de este Instituto, a través del Criterio 02/04 emitido en la Segunda Época, precisa los alcances del artículo 167 de la Ley de Transparencia, al señalar que corresponde al Comité de Transparencia confirmar la declaratoria de incom</w:t>
      </w:r>
      <w:r>
        <w:rPr>
          <w:rFonts w:ascii="Palatino Linotype" w:eastAsia="Palatino Linotype" w:hAnsi="Palatino Linotype" w:cs="Palatino Linotype"/>
          <w:sz w:val="24"/>
          <w:szCs w:val="24"/>
        </w:rPr>
        <w:t>petencia y notificarle dicha determinación al particular, refiriéndose a aquellos casos en los que exista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duda razonable sobre la administración del documento materia de la solicitud de información</w:t>
      </w:r>
      <w:r>
        <w:rPr>
          <w:rFonts w:ascii="Palatino Linotype" w:eastAsia="Palatino Linotype" w:hAnsi="Palatino Linotype" w:cs="Palatino Linotype"/>
          <w:sz w:val="24"/>
          <w:szCs w:val="24"/>
        </w:rPr>
        <w:t>, como se lee enseguida:</w:t>
      </w:r>
    </w:p>
    <w:p w:rsidR="00D013C0" w:rsidRDefault="0064040B">
      <w:pPr>
        <w:spacing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“DECLARATORIA DE INCOMPETENCIA DEL</w:t>
      </w:r>
      <w:r>
        <w:rPr>
          <w:rFonts w:ascii="Palatino Linotype" w:eastAsia="Palatino Linotype" w:hAnsi="Palatino Linotype" w:cs="Palatino Linotype"/>
          <w:b/>
          <w:i/>
        </w:rPr>
        <w:t xml:space="preserve"> SUJETO OBLIGADO. SUPUESTO PARA CONFIRMARLA POR ACUERDO DEL COMITÉ DE TRANSPARENCIA. </w:t>
      </w:r>
      <w:r>
        <w:rPr>
          <w:rFonts w:ascii="Palatino Linotype" w:eastAsia="Palatino Linotype" w:hAnsi="Palatino Linotype" w:cs="Palatino Linotype"/>
          <w:i/>
        </w:rPr>
        <w:t>De conformidad con el artículo 167 de la Ley de Transparencia vigente en la entidad, las Unidades de Transparencia tienen la facultad de determinar la notoria incompetenci</w:t>
      </w:r>
      <w:r>
        <w:rPr>
          <w:rFonts w:ascii="Palatino Linotype" w:eastAsia="Palatino Linotype" w:hAnsi="Palatino Linotype" w:cs="Palatino Linotype"/>
          <w:i/>
        </w:rPr>
        <w:t xml:space="preserve">a para atender las solicitudes de acceso a la información y comunicarla al solicitante dentro de los tres días hábiles posteriores a la recepción de la misma, así como en su caso, orientar al particular sobre el o los Sujetos Obligados competentes para su </w:t>
      </w:r>
      <w:r>
        <w:rPr>
          <w:rFonts w:ascii="Palatino Linotype" w:eastAsia="Palatino Linotype" w:hAnsi="Palatino Linotype" w:cs="Palatino Linotype"/>
          <w:i/>
        </w:rPr>
        <w:t xml:space="preserve">atención. No obstante, es importante resaltar que </w:t>
      </w:r>
      <w:r>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Pr>
          <w:rFonts w:ascii="Palatino Linotype" w:eastAsia="Palatino Linotype" w:hAnsi="Palatino Linotype" w:cs="Palatino Linotype"/>
          <w:b/>
          <w:i/>
          <w:u w:val="single"/>
        </w:rPr>
        <w:t>impiden determinar dentro del término legal de tre</w:t>
      </w:r>
      <w:r>
        <w:rPr>
          <w:rFonts w:ascii="Palatino Linotype" w:eastAsia="Palatino Linotype" w:hAnsi="Palatino Linotype" w:cs="Palatino Linotype"/>
          <w:b/>
          <w:i/>
          <w:u w:val="single"/>
        </w:rPr>
        <w:t>s días hábiles</w:t>
      </w:r>
      <w:r>
        <w:rPr>
          <w:rFonts w:ascii="Palatino Linotype" w:eastAsia="Palatino Linotype" w:hAnsi="Palatino Linotype" w:cs="Palatino Linotype"/>
          <w:b/>
          <w:i/>
        </w:rPr>
        <w:t>, si se posee o no la información por el Sujeto Obligado requerid</w:t>
      </w:r>
      <w:r>
        <w:rPr>
          <w:rFonts w:ascii="Palatino Linotype" w:eastAsia="Palatino Linotype" w:hAnsi="Palatino Linotype" w:cs="Palatino Linotype"/>
          <w:i/>
        </w:rPr>
        <w:t>o; en virtud de ello, en aras de disipar toda duda razonable sobre la administración del documento materia de la solicitud de información, el Sujeto Obligado deberá dar el trámi</w:t>
      </w:r>
      <w:r>
        <w:rPr>
          <w:rFonts w:ascii="Palatino Linotype" w:eastAsia="Palatino Linotype" w:hAnsi="Palatino Linotype" w:cs="Palatino Linotype"/>
          <w:i/>
        </w:rPr>
        <w:t>te correspondiente a la solicitud de información a efecto de realizar un análisis minucioso de las facultades, competencias o funciones de cada una de las Unidades Administrativas que lo integran y, si posterior a ello, se corrobora la incompetencia para l</w:t>
      </w:r>
      <w:r>
        <w:rPr>
          <w:rFonts w:ascii="Palatino Linotype" w:eastAsia="Palatino Linotype" w:hAnsi="Palatino Linotype" w:cs="Palatino Linotype"/>
          <w:i/>
        </w:rPr>
        <w:t>a atención del requerimiento, en razón de que es otro el Sujeto Obligado poseedor de la documentación, corresponde a su Comité de Transparencia confirmar la declaratoria de incompetencia y notificarle dicha determinación al particular, en términos de lo di</w:t>
      </w:r>
      <w:r>
        <w:rPr>
          <w:rFonts w:ascii="Palatino Linotype" w:eastAsia="Palatino Linotype" w:hAnsi="Palatino Linotype" w:cs="Palatino Linotype"/>
          <w:i/>
        </w:rPr>
        <w:t>spuesto en el artículo 49, fracción II de la Ley de Transparencia Local, al ser este el acto jurídico idóneo que genera seguridad jurídica de que el Ente ante quien se presentó la solicitud, carece de facultades, competencias o funciones para poseer o gene</w:t>
      </w:r>
      <w:r>
        <w:rPr>
          <w:rFonts w:ascii="Palatino Linotype" w:eastAsia="Palatino Linotype" w:hAnsi="Palatino Linotype" w:cs="Palatino Linotype"/>
          <w:i/>
        </w:rPr>
        <w:t>rar la información requerida; lo anterior, sin perjuicio de que pueda gestionar la colaboración de otro Sujeto Obligado competente para atender la solicitud.”</w:t>
      </w:r>
    </w:p>
    <w:p w:rsidR="00D013C0" w:rsidRDefault="00D013C0">
      <w:pPr>
        <w:ind w:left="851" w:right="900"/>
        <w:jc w:val="both"/>
        <w:rPr>
          <w:rFonts w:ascii="Palatino Linotype" w:eastAsia="Palatino Linotype" w:hAnsi="Palatino Linotype" w:cs="Palatino Linotype"/>
          <w:i/>
          <w:sz w:val="24"/>
          <w:szCs w:val="24"/>
        </w:rPr>
      </w:pPr>
    </w:p>
    <w:p w:rsidR="00D013C0" w:rsidRDefault="0064040B">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el caso particular en la resolución de mérito se señaló de manera textual lo siguiente:</w:t>
      </w: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Asimismo, si bien es cierto que el Departamento de Recursos Humanos hizo del conocimiento del Recurrente que entre sus servidores públicos adscritos no hay síndicos ni regidores, también lo es que el Sujeto Obligado dejó de observar lo dispuesto en el artí</w:t>
      </w:r>
      <w:r>
        <w:rPr>
          <w:rFonts w:ascii="Palatino Linotype" w:eastAsia="Palatino Linotype" w:hAnsi="Palatino Linotype" w:cs="Palatino Linotype"/>
          <w:i/>
        </w:rPr>
        <w:t>culo 167 de la Ley de Transparencia estatal, que a la letra dispone lo siguiente:</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Artículo 167. Cuando las unidades de transparencia determinen la notoria incompetencia por parte de los sujetos obligados, dentro del ámbito de aplicación, para atender la s</w:t>
      </w:r>
      <w:r>
        <w:rPr>
          <w:rFonts w:ascii="Palatino Linotype" w:eastAsia="Palatino Linotype" w:hAnsi="Palatino Linotype" w:cs="Palatino Linotype"/>
          <w:i/>
        </w:rPr>
        <w:t xml:space="preserve">olicitud de acceso a la información, deberán comunicarlo al solicitante, dentro de los tres días hábiles posteriores a la recepción de la solicitud y, en su caso orientar al solicitante, el o los sujetos obligados competentes. </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Si los sujetos obligados so</w:t>
      </w:r>
      <w:r>
        <w:rPr>
          <w:rFonts w:ascii="Palatino Linotype" w:eastAsia="Palatino Linotype" w:hAnsi="Palatino Linotype" w:cs="Palatino Linotype"/>
          <w:i/>
        </w:rPr>
        <w:t xml:space="preserve">n competentes para atender parcialmente la solicitud de acceso a la información, deberá dar respuesta respecto de dicha parte. Respecto de la información sobre la cual es incompetente se procederá conforme lo señala el párrafo anterior. </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Si transcurrido e</w:t>
      </w:r>
      <w:r>
        <w:rPr>
          <w:rFonts w:ascii="Palatino Linotype" w:eastAsia="Palatino Linotype" w:hAnsi="Palatino Linotype" w:cs="Palatino Linotype"/>
          <w:i/>
        </w:rPr>
        <w:t>l plazo señalado en el primer párrafo de este artículo, el sujeto obligado no declina la competencia en los términos establecidos, podrá canalizar la solicitud ante el sujeto obligado competente.</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Conforme a lo dispuesto en el artículo en cita, los sujetos</w:t>
      </w:r>
      <w:r>
        <w:rPr>
          <w:rFonts w:ascii="Palatino Linotype" w:eastAsia="Palatino Linotype" w:hAnsi="Palatino Linotype" w:cs="Palatino Linotype"/>
          <w:i/>
        </w:rPr>
        <w:t xml:space="preserve"> obligados deberán hacer del conocimiento de los solicitantes la incompetencia para generar la información dentro del término de tres días hábiles posteriores a la recepción de la solicitud; lo que, en el presente caso, no sucedió, puesto que la solicitud </w:t>
      </w:r>
      <w:r>
        <w:rPr>
          <w:rFonts w:ascii="Palatino Linotype" w:eastAsia="Palatino Linotype" w:hAnsi="Palatino Linotype" w:cs="Palatino Linotype"/>
          <w:i/>
        </w:rPr>
        <w:t>de información ingresó el día dieciséis de octubre, mientras que la respuesta, dada la prórroga solicitada, se proporcionó hasta el dieciséis de noviembre, ambas fechas de dos mil veintitrés.</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Por tanto, con el propósito de colmar plenamente la pretensión </w:t>
      </w:r>
      <w:r>
        <w:rPr>
          <w:rFonts w:ascii="Palatino Linotype" w:eastAsia="Palatino Linotype" w:hAnsi="Palatino Linotype" w:cs="Palatino Linotype"/>
          <w:i/>
        </w:rPr>
        <w:t>del Recurrente, es necesario que se haga entrega del acuerdo que emita el Comité de Transparencia por el cual se declare la incompetencia para conocer de la información relativa a síndicos y regidores., tal como se encuentra establecido en el artículo 49 f</w:t>
      </w:r>
      <w:r>
        <w:rPr>
          <w:rFonts w:ascii="Palatino Linotype" w:eastAsia="Palatino Linotype" w:hAnsi="Palatino Linotype" w:cs="Palatino Linotype"/>
          <w:i/>
        </w:rPr>
        <w:t>racción II de la Ley en cita, que a la letra dispone lo siguiente:</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Artículo 49. Los Comités de Transparencia tendrán las siguientes atribuciones:</w:t>
      </w: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013C0" w:rsidRDefault="0064040B">
      <w:pPr>
        <w:widowControl w:val="0"/>
        <w:spacing w:after="0" w:line="276" w:lineRule="auto"/>
        <w:ind w:left="567" w:right="900"/>
        <w:jc w:val="both"/>
        <w:rPr>
          <w:rFonts w:ascii="Palatino Linotype" w:eastAsia="Palatino Linotype" w:hAnsi="Palatino Linotype" w:cs="Palatino Linotype"/>
          <w:i/>
        </w:rPr>
      </w:pPr>
      <w:proofErr w:type="spellStart"/>
      <w:r>
        <w:rPr>
          <w:rFonts w:ascii="Palatino Linotype" w:eastAsia="Palatino Linotype" w:hAnsi="Palatino Linotype" w:cs="Palatino Linotype"/>
          <w:i/>
        </w:rPr>
        <w:t>II.Confirmar</w:t>
      </w:r>
      <w:proofErr w:type="spellEnd"/>
      <w:r>
        <w:rPr>
          <w:rFonts w:ascii="Palatino Linotype" w:eastAsia="Palatino Linotype" w:hAnsi="Palatino Linotype" w:cs="Palatino Linotype"/>
          <w:i/>
        </w:rPr>
        <w:t>, modificar o revocar las determinaciones que en materia de ampliación del plazo de respuesta</w:t>
      </w:r>
      <w:r>
        <w:rPr>
          <w:rFonts w:ascii="Palatino Linotype" w:eastAsia="Palatino Linotype" w:hAnsi="Palatino Linotype" w:cs="Palatino Linotype"/>
          <w:i/>
        </w:rPr>
        <w:t>, clasificación de la información y declaración de inexistencia o de incompetencia realicen los titulares de las áreas de los sujetos obligados;</w:t>
      </w:r>
    </w:p>
    <w:p w:rsidR="00D013C0" w:rsidRDefault="0064040B">
      <w:pPr>
        <w:widowControl w:val="0"/>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D013C0" w:rsidRDefault="00D013C0">
      <w:pPr>
        <w:widowControl w:val="0"/>
        <w:spacing w:after="0" w:line="276" w:lineRule="auto"/>
        <w:ind w:left="567" w:right="900"/>
        <w:jc w:val="both"/>
        <w:rPr>
          <w:rFonts w:ascii="Palatino Linotype" w:eastAsia="Palatino Linotype" w:hAnsi="Palatino Linotype" w:cs="Palatino Linotype"/>
          <w:i/>
        </w:rPr>
      </w:pPr>
    </w:p>
    <w:p w:rsidR="00D013C0" w:rsidRDefault="0064040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Advirtiéndose que  el Sujeto Obligado resulta incompetente para tener en sus archivos los documentos donde consten las remuneraciones de síndicos y regidores.</w:t>
      </w:r>
    </w:p>
    <w:p w:rsidR="00D013C0" w:rsidRDefault="0064040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en virtud de que, desde mi perspectiva, ordenar al Comité de Transpare</w:t>
      </w:r>
      <w:r>
        <w:rPr>
          <w:rFonts w:ascii="Palatino Linotype" w:eastAsia="Palatino Linotype" w:hAnsi="Palatino Linotype" w:cs="Palatino Linotype"/>
          <w:sz w:val="24"/>
          <w:szCs w:val="24"/>
        </w:rPr>
        <w:t xml:space="preserve">ncia del Sujeto Obligado que sesione para que emita un acuerdo en el que confirme la declaratoria de incompetencia para garantizar el derecho de la parte Recurrente dilata los plazos del procedimiento, genera una carga adicional al Sujeto Obligado, y ello </w:t>
      </w:r>
      <w:r>
        <w:rPr>
          <w:rFonts w:ascii="Palatino Linotype" w:eastAsia="Palatino Linotype" w:hAnsi="Palatino Linotype" w:cs="Palatino Linotype"/>
          <w:sz w:val="24"/>
          <w:szCs w:val="24"/>
        </w:rPr>
        <w:t xml:space="preserve">no modifica el hecho de que la parte Recurrente no obtendrá la información que es de su interés por esta vía. </w:t>
      </w:r>
    </w:p>
    <w:p w:rsidR="00D013C0" w:rsidRDefault="0064040B">
      <w:pPr>
        <w:spacing w:line="360" w:lineRule="auto"/>
        <w:jc w:val="both"/>
        <w:rPr>
          <w:rFonts w:ascii="Palatino Linotype" w:eastAsia="Palatino Linotype" w:hAnsi="Palatino Linotype" w:cs="Palatino Linotype"/>
          <w:sz w:val="24"/>
          <w:szCs w:val="24"/>
        </w:rPr>
      </w:pPr>
      <w:bookmarkStart w:id="1" w:name="_heading=h.3znysh7" w:colFirst="0" w:colLast="0"/>
      <w:bookmarkEnd w:id="1"/>
      <w:r>
        <w:rPr>
          <w:rFonts w:ascii="Palatino Linotype" w:eastAsia="Palatino Linotype" w:hAnsi="Palatino Linotype" w:cs="Palatino Linotype"/>
          <w:sz w:val="24"/>
          <w:szCs w:val="24"/>
        </w:rPr>
        <w:t xml:space="preserve">Por ello, instruir al Comité de Transparencia para que sesione y emita una resolución en la que se confirme una notoria incompetencia que ya fue </w:t>
      </w:r>
      <w:r>
        <w:rPr>
          <w:rFonts w:ascii="Palatino Linotype" w:eastAsia="Palatino Linotype" w:hAnsi="Palatino Linotype" w:cs="Palatino Linotype"/>
          <w:sz w:val="24"/>
          <w:szCs w:val="24"/>
        </w:rPr>
        <w:t xml:space="preserve">declarada por el Sujeto Obligado y analizada por este Organismo Garante, se aparta de los principios de </w:t>
      </w:r>
      <w:r>
        <w:rPr>
          <w:rFonts w:ascii="Palatino Linotype" w:eastAsia="Palatino Linotype" w:hAnsi="Palatino Linotype" w:cs="Palatino Linotype"/>
          <w:sz w:val="24"/>
          <w:szCs w:val="24"/>
        </w:rPr>
        <w:lastRenderedPageBreak/>
        <w:t>sencillez y rapidez establecidos por la Ley de Transparencia y Acceso a la Información Pública del Estado de México y Municipios, en sus artículos 2, fr</w:t>
      </w:r>
      <w:r>
        <w:rPr>
          <w:rFonts w:ascii="Palatino Linotype" w:eastAsia="Palatino Linotype" w:hAnsi="Palatino Linotype" w:cs="Palatino Linotype"/>
          <w:sz w:val="24"/>
          <w:szCs w:val="24"/>
        </w:rPr>
        <w:t xml:space="preserve">acciones II y III, 21 y 150. </w:t>
      </w:r>
    </w:p>
    <w:p w:rsidR="00D013C0" w:rsidRDefault="000D402D">
      <w:pPr>
        <w:spacing w:before="240" w:after="240" w:line="360" w:lineRule="auto"/>
        <w:ind w:right="139"/>
        <w:jc w:val="both"/>
        <w:rPr>
          <w:rFonts w:ascii="Palatino Linotype" w:eastAsia="Palatino Linotype" w:hAnsi="Palatino Linotype" w:cs="Palatino Linotype"/>
          <w:sz w:val="24"/>
          <w:szCs w:val="24"/>
        </w:rPr>
      </w:pPr>
      <w:bookmarkStart w:id="2" w:name="_GoBack"/>
      <w:r>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simplePos x="0" y="0"/>
                <wp:positionH relativeFrom="column">
                  <wp:posOffset>75804</wp:posOffset>
                </wp:positionH>
                <wp:positionV relativeFrom="paragraph">
                  <wp:posOffset>901520</wp:posOffset>
                </wp:positionV>
                <wp:extent cx="5218981" cy="5443268"/>
                <wp:effectExtent l="0" t="0" r="20320" b="24130"/>
                <wp:wrapNone/>
                <wp:docPr id="1" name="Conector recto 1"/>
                <wp:cNvGraphicFramePr/>
                <a:graphic xmlns:a="http://schemas.openxmlformats.org/drawingml/2006/main">
                  <a:graphicData uri="http://schemas.microsoft.com/office/word/2010/wordprocessingShape">
                    <wps:wsp>
                      <wps:cNvCnPr/>
                      <wps:spPr>
                        <a:xfrm>
                          <a:off x="0" y="0"/>
                          <a:ext cx="5218981" cy="54432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7C69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71pt" to="416.9pt,4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" strokecolor="black [3200]" strokeweight=".5pt">
                <v:stroke joinstyle="miter"/>
              </v:line>
            </w:pict>
          </mc:Fallback>
        </mc:AlternateContent>
      </w:r>
      <w:bookmarkEnd w:id="2"/>
      <w:r w:rsidR="0064040B">
        <w:rPr>
          <w:rFonts w:ascii="Palatino Linotype" w:eastAsia="Palatino Linotype" w:hAnsi="Palatino Linotype" w:cs="Palatino Linotype"/>
          <w:sz w:val="24"/>
          <w:szCs w:val="24"/>
        </w:rPr>
        <w:t>Es por todo lo vertido en líneas anteriores que la Suscrita no comparte el sentido de la resolución sólo por lo que hace al acuerdo de incompetencia, por lo que se formula el presente voto particular.</w:t>
      </w:r>
    </w:p>
    <w:p w:rsidR="00D013C0" w:rsidRDefault="00D013C0">
      <w:pPr>
        <w:spacing w:before="240" w:after="240" w:line="360" w:lineRule="auto"/>
        <w:ind w:right="139"/>
        <w:jc w:val="both"/>
        <w:rPr>
          <w:rFonts w:ascii="Palatino Linotype" w:eastAsia="Palatino Linotype" w:hAnsi="Palatino Linotype" w:cs="Palatino Linotype"/>
          <w:sz w:val="24"/>
          <w:szCs w:val="24"/>
          <w:highlight w:val="red"/>
        </w:rPr>
      </w:pPr>
      <w:bookmarkStart w:id="3" w:name="_heading=h.1fob9te" w:colFirst="0" w:colLast="0"/>
      <w:bookmarkEnd w:id="3"/>
    </w:p>
    <w:p w:rsidR="00D013C0" w:rsidRDefault="00D013C0">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rsidR="00D013C0" w:rsidRDefault="00D013C0">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bookmarkStart w:id="4" w:name="_heading=h.gjdgxs" w:colFirst="0" w:colLast="0"/>
      <w:bookmarkEnd w:id="4"/>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p w:rsidR="00D013C0" w:rsidRDefault="00D013C0">
      <w:pPr>
        <w:spacing w:before="240" w:after="240" w:line="360" w:lineRule="auto"/>
        <w:ind w:right="139"/>
        <w:jc w:val="both"/>
        <w:rPr>
          <w:rFonts w:ascii="Palatino Linotype" w:eastAsia="Palatino Linotype" w:hAnsi="Palatino Linotype" w:cs="Palatino Linotype"/>
        </w:rPr>
      </w:pPr>
    </w:p>
    <w:sectPr w:rsidR="00D013C0">
      <w:headerReference w:type="default" r:id="rId8"/>
      <w:foot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040B">
      <w:pPr>
        <w:spacing w:after="0" w:line="240" w:lineRule="auto"/>
      </w:pPr>
      <w:r>
        <w:separator/>
      </w:r>
    </w:p>
  </w:endnote>
  <w:endnote w:type="continuationSeparator" w:id="0">
    <w:p w:rsidR="00000000" w:rsidRDefault="0064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C0" w:rsidRDefault="0064040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0D402D">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0D402D">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p>
  <w:p w:rsidR="00D013C0" w:rsidRDefault="00D013C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040B">
      <w:pPr>
        <w:spacing w:after="0" w:line="240" w:lineRule="auto"/>
      </w:pPr>
      <w:r>
        <w:separator/>
      </w:r>
    </w:p>
  </w:footnote>
  <w:footnote w:type="continuationSeparator" w:id="0">
    <w:p w:rsidR="00000000" w:rsidRDefault="0064040B">
      <w:pPr>
        <w:spacing w:after="0" w:line="240" w:lineRule="auto"/>
      </w:pPr>
      <w:r>
        <w:continuationSeparator/>
      </w:r>
    </w:p>
  </w:footnote>
  <w:footnote w:id="1">
    <w:p w:rsidR="00D013C0" w:rsidRDefault="0064040B">
      <w:pPr>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rsidR="00D013C0" w:rsidRDefault="0064040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3C0" w:rsidRDefault="0064040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highlight w:val="yellow"/>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-952490</wp:posOffset>
          </wp:positionH>
          <wp:positionV relativeFrom="paragraph">
            <wp:posOffset>-568953</wp:posOffset>
          </wp:positionV>
          <wp:extent cx="7510628" cy="9883775"/>
          <wp:effectExtent l="0" t="0" r="0" b="0"/>
          <wp:wrapNone/>
          <wp:docPr id="2146485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013C0" w:rsidRDefault="0064040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08175/INFOEM/IP/RR/2023</w:t>
    </w:r>
  </w:p>
  <w:p w:rsidR="00D013C0" w:rsidRDefault="00D013C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E0310"/>
    <w:multiLevelType w:val="multilevel"/>
    <w:tmpl w:val="56C8A286"/>
    <w:lvl w:ilvl="0">
      <w:start w:val="1"/>
      <w:numFmt w:val="decimal"/>
      <w:lvlText w:val="%1."/>
      <w:lvlJc w:val="left"/>
      <w:pPr>
        <w:ind w:left="709" w:hanging="424"/>
      </w:pPr>
    </w:lvl>
    <w:lvl w:ilvl="1">
      <w:start w:val="1"/>
      <w:numFmt w:val="decimal"/>
      <w:lvlText w:val="%1.%2."/>
      <w:lvlJc w:val="left"/>
      <w:pPr>
        <w:ind w:left="1276" w:hanging="567"/>
      </w:pPr>
    </w:lvl>
    <w:lvl w:ilvl="2">
      <w:start w:val="1"/>
      <w:numFmt w:val="decimal"/>
      <w:lvlText w:val="%1.%2.%3."/>
      <w:lvlJc w:val="left"/>
      <w:pPr>
        <w:ind w:left="1854" w:hanging="720"/>
      </w:pPr>
    </w:lvl>
    <w:lvl w:ilvl="3">
      <w:start w:val="1"/>
      <w:numFmt w:val="decimal"/>
      <w:lvlText w:val="%1.%2.%3.%4."/>
      <w:lvlJc w:val="left"/>
      <w:pPr>
        <w:ind w:left="2279" w:hanging="720"/>
      </w:pPr>
    </w:lvl>
    <w:lvl w:ilvl="4">
      <w:start w:val="1"/>
      <w:numFmt w:val="decimal"/>
      <w:lvlText w:val="%1.%2.%3.%4.%5."/>
      <w:lvlJc w:val="left"/>
      <w:pPr>
        <w:ind w:left="3064" w:hanging="1080"/>
      </w:pPr>
    </w:lvl>
    <w:lvl w:ilvl="5">
      <w:start w:val="1"/>
      <w:numFmt w:val="decimal"/>
      <w:lvlText w:val="%1.%2.%3.%4.%5.%6."/>
      <w:lvlJc w:val="left"/>
      <w:pPr>
        <w:ind w:left="3489" w:hanging="1080"/>
      </w:pPr>
    </w:lvl>
    <w:lvl w:ilvl="6">
      <w:start w:val="1"/>
      <w:numFmt w:val="decimal"/>
      <w:lvlText w:val="%1.%2.%3.%4.%5.%6.%7."/>
      <w:lvlJc w:val="left"/>
      <w:pPr>
        <w:ind w:left="4274" w:hanging="1440"/>
      </w:pPr>
    </w:lvl>
    <w:lvl w:ilvl="7">
      <w:start w:val="1"/>
      <w:numFmt w:val="decimal"/>
      <w:lvlText w:val="%1.%2.%3.%4.%5.%6.%7.%8."/>
      <w:lvlJc w:val="left"/>
      <w:pPr>
        <w:ind w:left="4699" w:hanging="1440"/>
      </w:pPr>
    </w:lvl>
    <w:lvl w:ilvl="8">
      <w:start w:val="1"/>
      <w:numFmt w:val="decimal"/>
      <w:lvlText w:val="%1.%2.%3.%4.%5.%6.%7.%8.%9."/>
      <w:lvlJc w:val="left"/>
      <w:pPr>
        <w:ind w:left="5484"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C0"/>
    <w:rsid w:val="000D402D"/>
    <w:rsid w:val="0064040B"/>
    <w:rsid w:val="00D013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DDAFA-E26C-43CD-BF62-D235F4E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inespaciado">
    <w:name w:val="No Spacing"/>
    <w:aliases w:val="Francesa,INAI"/>
    <w:link w:val="SinespaciadoCar"/>
    <w:uiPriority w:val="1"/>
    <w:qFormat/>
    <w:rsid w:val="00F33522"/>
    <w:pPr>
      <w:spacing w:after="0" w:line="240" w:lineRule="auto"/>
    </w:pPr>
  </w:style>
  <w:style w:type="character" w:customStyle="1" w:styleId="SinespaciadoCar">
    <w:name w:val="Sin espaciado Car"/>
    <w:aliases w:val="Francesa Car,INAI Car"/>
    <w:link w:val="Sinespaciado"/>
    <w:uiPriority w:val="1"/>
    <w:locked/>
    <w:rsid w:val="00F33522"/>
  </w:style>
  <w:style w:type="table" w:customStyle="1" w:styleId="TableNormal6">
    <w:name w:val="Table Normal"/>
    <w:uiPriority w:val="2"/>
    <w:semiHidden/>
    <w:unhideWhenUsed/>
    <w:qFormat/>
    <w:rsid w:val="00B21C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Pr>
  </w:style>
  <w:style w:type="paragraph" w:customStyle="1" w:styleId="Citas">
    <w:name w:val="Citas"/>
    <w:basedOn w:val="Normal"/>
    <w:qFormat/>
    <w:rsid w:val="000365D3"/>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A407FbDI+a/a+aRP822ewbk+A==">CgMxLjAyCWguMzBqMHpsbDIJaC4zem55c2g3MgloLjFmb2I5dGUyCGguZ2pkZ3hzOAByITFLcWJZNmE0Wm5zV3l1VDA1bXcyQzRkU1dQUXFPSXpGbA==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2450</Words>
  <Characters>13475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2024-03-19T18:37:00Z</cp:lastPrinted>
  <dcterms:created xsi:type="dcterms:W3CDTF">2024-03-19T18:36:00Z</dcterms:created>
  <dcterms:modified xsi:type="dcterms:W3CDTF">2024-03-19T18:37:00Z</dcterms:modified>
</cp:coreProperties>
</file>