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0547B" w14:textId="4820FA53" w:rsidR="001E6365" w:rsidRPr="00C569A8" w:rsidRDefault="001E6365" w:rsidP="00C75920">
      <w:pPr>
        <w:spacing w:after="0" w:line="360" w:lineRule="auto"/>
        <w:ind w:right="-93"/>
        <w:contextualSpacing/>
        <w:jc w:val="both"/>
        <w:rPr>
          <w:rFonts w:ascii="Palatino Linotype" w:hAnsi="Palatino Linotype" w:cs="Tahoma"/>
          <w:b/>
        </w:rPr>
      </w:pPr>
      <w:r w:rsidRPr="00C569A8">
        <w:rPr>
          <w:rFonts w:ascii="Palatino Linotype" w:hAnsi="Palatino Linotype" w:cs="Tahoma"/>
          <w:b/>
        </w:rPr>
        <w:t xml:space="preserve">VOTO PARTICULAR QUE FORMULAN LOS COMISIONADOS MARÍA DEL ROSARIO MEJÍA AYALA Y LUIS GUSTAVO PARRA NORIEGA, CON RELACIÓN A LA RESOLUCIÓN EMITIDA POR EL PLENO DEL INSTITUTO DE TRANSPARENCIA, ACCESO A LA INFORMACIÓN PÚBLICA Y PROTECCIÓN DE DATOS PERSONALES DEL ESTADO DE MÉXICO Y MUNICIPIOS AL RECURSO DE REVISIÓN </w:t>
      </w:r>
      <w:r w:rsidR="00EC7A01">
        <w:rPr>
          <w:rFonts w:ascii="Palatino Linotype" w:hAnsi="Palatino Linotype" w:cs="Arial"/>
          <w:b/>
        </w:rPr>
        <w:t>04391</w:t>
      </w:r>
      <w:r w:rsidR="00DD1828">
        <w:rPr>
          <w:rFonts w:ascii="Palatino Linotype" w:hAnsi="Palatino Linotype" w:cs="Arial"/>
          <w:b/>
        </w:rPr>
        <w:t>/INFOEM/IP/RR/2023</w:t>
      </w:r>
      <w:r w:rsidRPr="00BE325C">
        <w:rPr>
          <w:rFonts w:ascii="Palatino Linotype" w:hAnsi="Palatino Linotype" w:cs="Arial"/>
          <w:b/>
        </w:rPr>
        <w:t>,</w:t>
      </w:r>
      <w:r w:rsidRPr="00C569A8">
        <w:rPr>
          <w:rFonts w:ascii="Palatino Linotype" w:hAnsi="Palatino Linotype" w:cs="Tahoma"/>
          <w:b/>
        </w:rPr>
        <w:t xml:space="preserve"> PROMOVIDO EN CONTRA DEL </w:t>
      </w:r>
      <w:r w:rsidRPr="00BE325C">
        <w:rPr>
          <w:rFonts w:ascii="Palatino Linotype" w:hAnsi="Palatino Linotype"/>
          <w:b/>
          <w:bCs/>
        </w:rPr>
        <w:t xml:space="preserve">AYUNTAMIENTO DE </w:t>
      </w:r>
      <w:r w:rsidR="00EC7A01">
        <w:rPr>
          <w:rFonts w:ascii="Palatino Linotype" w:hAnsi="Palatino Linotype"/>
          <w:b/>
          <w:bCs/>
        </w:rPr>
        <w:t>ECATEPEC DE MORELOS.</w:t>
      </w:r>
    </w:p>
    <w:p w14:paraId="21C5C21C" w14:textId="77777777" w:rsidR="001E6365" w:rsidRPr="00C569A8" w:rsidRDefault="001E6365" w:rsidP="001E6365">
      <w:pPr>
        <w:tabs>
          <w:tab w:val="left" w:pos="1843"/>
        </w:tabs>
        <w:spacing w:after="0" w:line="360" w:lineRule="auto"/>
        <w:jc w:val="both"/>
        <w:rPr>
          <w:rFonts w:ascii="Palatino Linotype" w:hAnsi="Palatino Linotype" w:cs="Tahoma"/>
        </w:rPr>
      </w:pPr>
    </w:p>
    <w:p w14:paraId="3AB47454" w14:textId="36D5D22E" w:rsidR="001E6365" w:rsidRPr="00C569A8" w:rsidRDefault="001E6365" w:rsidP="00C75920">
      <w:pPr>
        <w:spacing w:after="0" w:line="360" w:lineRule="auto"/>
        <w:ind w:right="-93"/>
        <w:contextualSpacing/>
        <w:jc w:val="both"/>
        <w:rPr>
          <w:rFonts w:ascii="Palatino Linotype" w:hAnsi="Palatino Linotype"/>
        </w:rPr>
      </w:pPr>
      <w:r w:rsidRPr="00C569A8">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EC7A01">
        <w:rPr>
          <w:rFonts w:ascii="Palatino Linotype" w:hAnsi="Palatino Linotype" w:cs="Arial"/>
          <w:b/>
        </w:rPr>
        <w:t>04391</w:t>
      </w:r>
      <w:r w:rsidR="00DD1828">
        <w:rPr>
          <w:rFonts w:ascii="Palatino Linotype" w:hAnsi="Palatino Linotype" w:cs="Arial"/>
          <w:b/>
        </w:rPr>
        <w:t>/INFOEM/IP/RR/2023</w:t>
      </w:r>
      <w:r w:rsidRPr="00BE325C">
        <w:rPr>
          <w:rFonts w:ascii="Palatino Linotype" w:hAnsi="Palatino Linotype" w:cs="Arial"/>
          <w:b/>
        </w:rPr>
        <w:t>,</w:t>
      </w:r>
      <w:r w:rsidRPr="00C569A8">
        <w:rPr>
          <w:rFonts w:ascii="Palatino Linotype" w:hAnsi="Palatino Linotype"/>
          <w:b/>
          <w:bCs/>
        </w:rPr>
        <w:t xml:space="preserve"> </w:t>
      </w:r>
      <w:r w:rsidR="00EC7A01">
        <w:rPr>
          <w:rFonts w:ascii="Palatino Linotype" w:hAnsi="Palatino Linotype"/>
        </w:rPr>
        <w:t>presentada por el Comisionado Luis Gustavo Parra Noriega</w:t>
      </w:r>
      <w:r w:rsidRPr="00C569A8">
        <w:rPr>
          <w:rFonts w:ascii="Palatino Linotype" w:hAnsi="Palatino Linotype"/>
        </w:rPr>
        <w:t xml:space="preserve"> </w:t>
      </w:r>
      <w:r w:rsidRPr="00C569A8">
        <w:rPr>
          <w:rFonts w:ascii="Palatino Linotype" w:hAnsi="Palatino Linotype"/>
          <w:b/>
        </w:rPr>
        <w:t>conforme al criterio mayoritario del Pleno</w:t>
      </w:r>
      <w:r w:rsidRPr="00C569A8">
        <w:rPr>
          <w:rFonts w:ascii="Palatino Linotype" w:hAnsi="Palatino Linotype"/>
        </w:rPr>
        <w:t xml:space="preserve">, respecto de la cual, quienes suscriben, emiten </w:t>
      </w:r>
      <w:r w:rsidRPr="00C569A8">
        <w:rPr>
          <w:rFonts w:ascii="Palatino Linotype" w:hAnsi="Palatino Linotype"/>
          <w:b/>
        </w:rPr>
        <w:t>VOTO PARTICULAR CONCURRENTE</w:t>
      </w:r>
      <w:r w:rsidRPr="00C569A8">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37DF9149" w14:textId="77777777" w:rsidR="001E6365" w:rsidRPr="00C569A8" w:rsidRDefault="001E6365" w:rsidP="001E6365">
      <w:pPr>
        <w:spacing w:after="0" w:line="360" w:lineRule="auto"/>
        <w:jc w:val="both"/>
        <w:rPr>
          <w:rFonts w:ascii="Palatino Linotype" w:hAnsi="Palatino Linotype"/>
          <w:b/>
          <w:lang w:val="es-ES_tradnl"/>
        </w:rPr>
      </w:pPr>
    </w:p>
    <w:p w14:paraId="16D55E09" w14:textId="74674367" w:rsidR="001E6365" w:rsidRPr="001E6365" w:rsidRDefault="001E6365" w:rsidP="001E6365">
      <w:pPr>
        <w:spacing w:after="0" w:line="360" w:lineRule="auto"/>
        <w:jc w:val="both"/>
        <w:rPr>
          <w:rFonts w:ascii="Palatino Linotype" w:hAnsi="Palatino Linotype" w:cs="Tahoma"/>
        </w:rPr>
      </w:pPr>
      <w:r w:rsidRPr="001E6365">
        <w:rPr>
          <w:rFonts w:ascii="Palatino Linotype" w:hAnsi="Palatino Linotype" w:cs="Tahoma"/>
        </w:rPr>
        <w:t xml:space="preserve">En este sentido, como se advierte en la Resolución en comento, se determinó </w:t>
      </w:r>
      <w:r w:rsidR="009445EA">
        <w:rPr>
          <w:rFonts w:ascii="Palatino Linotype" w:hAnsi="Palatino Linotype" w:cs="Tahoma"/>
          <w:b/>
        </w:rPr>
        <w:t>REVOCAR</w:t>
      </w:r>
      <w:r w:rsidRPr="001E6365">
        <w:rPr>
          <w:rFonts w:ascii="Palatino Linotype" w:hAnsi="Palatino Linotype" w:cs="Tahoma"/>
        </w:rPr>
        <w:t xml:space="preserve"> la respuesta del Sujeto Obligado a fin de que, entregue la información solicitada en copias certificadas previo pago de los derechos correspondiente, por lo que, se debe informar al Recurrente el procedimiento, </w:t>
      </w:r>
      <w:r w:rsidRPr="001E6365">
        <w:rPr>
          <w:rFonts w:ascii="Palatino Linotype" w:hAnsi="Palatino Linotype" w:cs="Tahoma"/>
          <w:u w:val="single"/>
        </w:rPr>
        <w:t>costo</w:t>
      </w:r>
      <w:r w:rsidRPr="001E6365">
        <w:rPr>
          <w:rFonts w:ascii="Palatino Linotype" w:hAnsi="Palatino Linotype" w:cs="Tahoma"/>
        </w:rPr>
        <w:t xml:space="preserve">, lugar, días y horario para efectuar el pago de derechos correspondientes. </w:t>
      </w:r>
    </w:p>
    <w:p w14:paraId="128541CF" w14:textId="77777777" w:rsidR="001E6365" w:rsidRPr="00C569A8" w:rsidRDefault="001E6365" w:rsidP="001E6365">
      <w:pPr>
        <w:spacing w:after="0" w:line="360" w:lineRule="auto"/>
        <w:jc w:val="both"/>
        <w:rPr>
          <w:rFonts w:ascii="Palatino Linotype" w:hAnsi="Palatino Linotype" w:cs="Tahoma"/>
        </w:rPr>
      </w:pPr>
      <w:r w:rsidRPr="00C569A8">
        <w:rPr>
          <w:rFonts w:ascii="Palatino Linotype" w:hAnsi="Palatino Linotype" w:cs="Tahoma"/>
        </w:rPr>
        <w:lastRenderedPageBreak/>
        <w:t xml:space="preserve">Sobre el particular, resulta hacer alusión al Principio de Gratuidad, establecido en el artículo 17 de la Ley General de Transparencia y Acceso a la Información Pública, el cual precisa </w:t>
      </w:r>
      <w:r w:rsidRPr="00C569A8">
        <w:rPr>
          <w:rFonts w:ascii="Palatino Linotype" w:hAnsi="Palatino Linotype" w:cs="Tahoma"/>
          <w:b/>
        </w:rPr>
        <w:t xml:space="preserve">que el ejercicio de acceso a la información será gratuito y solamente podrá requerirse un cobro, dependiendo la modalidad y entrega de la misma. </w:t>
      </w:r>
      <w:r w:rsidRPr="00C569A8">
        <w:rPr>
          <w:rFonts w:ascii="Palatino Linotype" w:hAnsi="Palatino Linotype" w:cs="Tahoma"/>
        </w:rPr>
        <w:t>De manera coincidente lo precisa el artículo 17 de la Ley de Transparencia y Acceso a la Información Pública del Estado y Municipios, al señalar que únicamente se cubrirán los gastos de reproducción.</w:t>
      </w:r>
    </w:p>
    <w:p w14:paraId="1D3A6111" w14:textId="77777777" w:rsidR="001E6365" w:rsidRPr="00C569A8" w:rsidRDefault="001E6365" w:rsidP="001E6365">
      <w:pPr>
        <w:spacing w:after="0" w:line="360" w:lineRule="auto"/>
        <w:jc w:val="both"/>
        <w:rPr>
          <w:rFonts w:ascii="Palatino Linotype" w:hAnsi="Palatino Linotype" w:cs="Tahoma"/>
        </w:rPr>
      </w:pPr>
    </w:p>
    <w:p w14:paraId="63AA8BDC" w14:textId="77777777" w:rsidR="001E6365" w:rsidRPr="00C569A8" w:rsidRDefault="001E6365" w:rsidP="001E6365">
      <w:pPr>
        <w:spacing w:after="0" w:line="360" w:lineRule="auto"/>
        <w:jc w:val="both"/>
        <w:rPr>
          <w:rFonts w:ascii="Palatino Linotype" w:hAnsi="Palatino Linotype" w:cs="Tahoma"/>
        </w:rPr>
      </w:pPr>
      <w:r w:rsidRPr="00C569A8">
        <w:rPr>
          <w:rFonts w:ascii="Palatino Linotype" w:hAnsi="Palatino Linotype" w:cs="Tahoma"/>
        </w:rPr>
        <w:t>Asimismo, el artículo 9°, fracción III, de la Ley en cita, prevé que el Principio de Gratuidad consiste en que el acceso a la información pública no generará costo alguno para los solicitantes y sólo podrá requerirse el correspondiente a la modalidad de reproducción y entrega solicitada; lo anterior debe interpretarse que el sentido de la norma es eliminar cualquier barrera u obstáculo que imposibilite el derecho de acceso a la información o que este se garantice de manera discriminada; esto es, sólo para aquellos que tengan los medios económicos para cubrir el costo de la reproducción de información, lo que materializaría el impedimento de acceso a la información.</w:t>
      </w:r>
    </w:p>
    <w:p w14:paraId="20C46A17" w14:textId="77777777" w:rsidR="001E6365" w:rsidRPr="00C569A8" w:rsidRDefault="001E6365" w:rsidP="001E6365">
      <w:pPr>
        <w:spacing w:after="0" w:line="360" w:lineRule="auto"/>
        <w:jc w:val="both"/>
        <w:rPr>
          <w:rFonts w:ascii="Palatino Linotype" w:hAnsi="Palatino Linotype" w:cs="Tahoma"/>
        </w:rPr>
      </w:pPr>
    </w:p>
    <w:p w14:paraId="2A26AECD" w14:textId="32944012" w:rsidR="001E6365" w:rsidRPr="00C569A8" w:rsidRDefault="001E6365" w:rsidP="001E6365">
      <w:pPr>
        <w:spacing w:after="0" w:line="360" w:lineRule="auto"/>
        <w:jc w:val="both"/>
        <w:rPr>
          <w:rFonts w:ascii="Palatino Linotype" w:hAnsi="Palatino Linotype" w:cs="Tahoma"/>
        </w:rPr>
      </w:pPr>
      <w:r w:rsidRPr="00C569A8">
        <w:rPr>
          <w:rFonts w:ascii="Palatino Linotype" w:hAnsi="Palatino Linotype" w:cs="Tahoma"/>
        </w:rPr>
        <w:t>En ese orden de ideas, el artículo 174 de la Ley de la materia, establece que</w:t>
      </w:r>
      <w:r>
        <w:rPr>
          <w:rFonts w:ascii="Palatino Linotype" w:hAnsi="Palatino Linotype" w:cs="Tahoma"/>
        </w:rPr>
        <w:t>,</w:t>
      </w:r>
      <w:r w:rsidRPr="00C569A8">
        <w:rPr>
          <w:rFonts w:ascii="Palatino Linotype" w:hAnsi="Palatino Linotype" w:cs="Tahoma"/>
        </w:rPr>
        <w:t xml:space="preserve"> en los casos de existir costos para obtener la información, deberán cubrirse de manera previa y nunca deberán ser superiores a la suma de los costos de los materiales utilizados, envió y certificación, en su caso. Conforme a la normatividad señalada, se advierte que el derecho de acceso a la información, debe realizarse bajo el principio de gratuidad y que sólo procederá el cobro, cuando implique la utilización de materiales para reproducción, envió y certificación, tal como podría ser una copia simple o certificada, pues en dichas modalidades se requiere de materia </w:t>
      </w:r>
      <w:r w:rsidRPr="00C569A8">
        <w:rPr>
          <w:rFonts w:ascii="Palatino Linotype" w:hAnsi="Palatino Linotype" w:cs="Tahoma"/>
        </w:rPr>
        <w:lastRenderedPageBreak/>
        <w:t>prima (papel y tinta), así como diversos utensilios para realizar la certificación de la información, lo cual, indudablemente implica un costo adicional.</w:t>
      </w:r>
    </w:p>
    <w:p w14:paraId="290CBC06" w14:textId="77777777" w:rsidR="001E6365" w:rsidRPr="00C569A8" w:rsidRDefault="001E6365" w:rsidP="001E6365">
      <w:pPr>
        <w:spacing w:after="0" w:line="360" w:lineRule="auto"/>
        <w:jc w:val="both"/>
        <w:rPr>
          <w:rFonts w:ascii="Palatino Linotype" w:hAnsi="Palatino Linotype" w:cs="Tahoma"/>
        </w:rPr>
      </w:pPr>
    </w:p>
    <w:p w14:paraId="68960BF1" w14:textId="77777777" w:rsidR="001E6365" w:rsidRPr="00C569A8" w:rsidRDefault="001E6365" w:rsidP="001E6365">
      <w:pPr>
        <w:spacing w:after="0" w:line="360" w:lineRule="auto"/>
        <w:jc w:val="both"/>
        <w:rPr>
          <w:rFonts w:ascii="Palatino Linotype" w:hAnsi="Palatino Linotype" w:cs="Tahoma"/>
          <w:lang w:eastAsia="es-MX"/>
        </w:rPr>
      </w:pPr>
      <w:r w:rsidRPr="00C569A8">
        <w:rPr>
          <w:rFonts w:ascii="Palatino Linotype" w:hAnsi="Palatino Linotype" w:cs="Tahoma"/>
        </w:rPr>
        <w:t xml:space="preserve">No obstante, la propia Ley de Transparencia y Acceso a la Información Pública del Estado México y Municipios, establece excepciones al pago por costos de reproducción, las cuales se encuentra en los </w:t>
      </w:r>
      <w:r w:rsidRPr="00C569A8">
        <w:rPr>
          <w:rFonts w:ascii="Palatino Linotype" w:hAnsi="Palatino Linotype" w:cs="Tahoma"/>
          <w:lang w:eastAsia="es-MX"/>
        </w:rPr>
        <w:t>artículos 24, fracción XX; 165; 174, 175 y 234, los cuales establecen lo siguiente:</w:t>
      </w:r>
    </w:p>
    <w:p w14:paraId="5F550D9E" w14:textId="77777777" w:rsidR="001E6365" w:rsidRPr="00C569A8" w:rsidRDefault="001E6365" w:rsidP="001E6365">
      <w:pPr>
        <w:spacing w:after="0" w:line="360" w:lineRule="auto"/>
        <w:jc w:val="both"/>
        <w:rPr>
          <w:rFonts w:ascii="Palatino Linotype" w:hAnsi="Palatino Linotype" w:cs="Tahoma"/>
          <w:lang w:eastAsia="es-MX"/>
        </w:rPr>
      </w:pPr>
    </w:p>
    <w:p w14:paraId="5CF843E8" w14:textId="77777777" w:rsidR="001E6365" w:rsidRPr="00C569A8" w:rsidRDefault="001E6365" w:rsidP="001E6365">
      <w:pPr>
        <w:pStyle w:val="Prrafodelista"/>
        <w:numPr>
          <w:ilvl w:val="0"/>
          <w:numId w:val="1"/>
        </w:numPr>
        <w:spacing w:line="360" w:lineRule="auto"/>
        <w:jc w:val="both"/>
        <w:rPr>
          <w:rFonts w:ascii="Palatino Linotype" w:hAnsi="Palatino Linotype" w:cs="Tahoma"/>
          <w:sz w:val="22"/>
          <w:szCs w:val="22"/>
          <w:lang w:eastAsia="es-MX"/>
        </w:rPr>
      </w:pPr>
      <w:r w:rsidRPr="00C569A8">
        <w:rPr>
          <w:rFonts w:ascii="Palatino Linotype" w:hAnsi="Palatino Linotype" w:cs="Tahoma"/>
          <w:sz w:val="22"/>
          <w:szCs w:val="22"/>
          <w:lang w:eastAsia="es-MX"/>
        </w:rPr>
        <w:t>Los sujetos obligados deben tomar las medidas apropiadas para proporcionar información a personas con discapacidad en formatos y tecnologías accesibles de forma oportuna y sin un costo adicional.</w:t>
      </w:r>
    </w:p>
    <w:p w14:paraId="3B520F7F" w14:textId="77777777" w:rsidR="001E6365" w:rsidRPr="00C569A8" w:rsidRDefault="001E6365" w:rsidP="001E6365">
      <w:pPr>
        <w:spacing w:after="0" w:line="360" w:lineRule="auto"/>
        <w:jc w:val="both"/>
        <w:rPr>
          <w:rFonts w:ascii="Palatino Linotype" w:hAnsi="Palatino Linotype" w:cs="Tahoma"/>
          <w:lang w:eastAsia="es-MX"/>
        </w:rPr>
      </w:pPr>
    </w:p>
    <w:p w14:paraId="56294A69" w14:textId="77777777" w:rsidR="001E6365" w:rsidRPr="00C569A8" w:rsidRDefault="001E6365" w:rsidP="001E6365">
      <w:pPr>
        <w:pStyle w:val="Prrafodelista"/>
        <w:numPr>
          <w:ilvl w:val="0"/>
          <w:numId w:val="1"/>
        </w:numPr>
        <w:spacing w:line="360" w:lineRule="auto"/>
        <w:jc w:val="both"/>
        <w:rPr>
          <w:rFonts w:ascii="Palatino Linotype" w:hAnsi="Palatino Linotype" w:cs="Tahoma"/>
          <w:sz w:val="22"/>
          <w:szCs w:val="22"/>
          <w:lang w:eastAsia="es-MX"/>
        </w:rPr>
      </w:pPr>
      <w:r w:rsidRPr="00C569A8">
        <w:rPr>
          <w:rFonts w:ascii="Palatino Linotype" w:hAnsi="Palatino Linotype" w:cs="Tahoma"/>
          <w:sz w:val="22"/>
          <w:szCs w:val="22"/>
          <w:lang w:eastAsia="es-MX"/>
        </w:rPr>
        <w:t>Ante la falta de respuesta a una solicitud en el plazo previsto y en caso de que proceda el acceso, los costos de reproducción y envío correrán a cargo del sujeto obligado.</w:t>
      </w:r>
    </w:p>
    <w:p w14:paraId="09187EBB" w14:textId="77777777" w:rsidR="001E6365" w:rsidRPr="00C569A8" w:rsidRDefault="001E6365" w:rsidP="001E6365">
      <w:pPr>
        <w:spacing w:after="0" w:line="360" w:lineRule="auto"/>
        <w:jc w:val="both"/>
        <w:rPr>
          <w:rFonts w:ascii="Palatino Linotype" w:hAnsi="Palatino Linotype" w:cs="Tahoma"/>
          <w:lang w:eastAsia="es-MX"/>
        </w:rPr>
      </w:pPr>
    </w:p>
    <w:p w14:paraId="0BC28495" w14:textId="77777777" w:rsidR="001E6365" w:rsidRPr="00C569A8" w:rsidRDefault="001E6365" w:rsidP="001E6365">
      <w:pPr>
        <w:pStyle w:val="Prrafodelista"/>
        <w:numPr>
          <w:ilvl w:val="0"/>
          <w:numId w:val="1"/>
        </w:numPr>
        <w:spacing w:line="360" w:lineRule="auto"/>
        <w:jc w:val="both"/>
        <w:rPr>
          <w:rFonts w:ascii="Palatino Linotype" w:hAnsi="Palatino Linotype" w:cs="Tahoma"/>
          <w:sz w:val="22"/>
          <w:szCs w:val="22"/>
          <w:lang w:eastAsia="es-MX"/>
        </w:rPr>
      </w:pPr>
      <w:r w:rsidRPr="00C569A8">
        <w:rPr>
          <w:rFonts w:ascii="Palatino Linotype" w:hAnsi="Palatino Linotype" w:cs="Tahoma"/>
          <w:sz w:val="22"/>
          <w:szCs w:val="22"/>
          <w:lang w:eastAsia="es-MX"/>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406507E5" w14:textId="77777777" w:rsidR="001E6365" w:rsidRPr="00C569A8" w:rsidRDefault="001E6365" w:rsidP="001E6365">
      <w:pPr>
        <w:spacing w:after="0" w:line="360" w:lineRule="auto"/>
        <w:jc w:val="both"/>
        <w:rPr>
          <w:rFonts w:ascii="Palatino Linotype" w:hAnsi="Palatino Linotype" w:cs="Tahoma"/>
          <w:lang w:eastAsia="es-MX"/>
        </w:rPr>
      </w:pPr>
    </w:p>
    <w:p w14:paraId="7EECA5C4" w14:textId="77777777" w:rsidR="001E6365" w:rsidRPr="00C569A8" w:rsidRDefault="001E6365" w:rsidP="001E6365">
      <w:pPr>
        <w:pStyle w:val="Prrafodelista"/>
        <w:numPr>
          <w:ilvl w:val="0"/>
          <w:numId w:val="1"/>
        </w:numPr>
        <w:spacing w:line="360" w:lineRule="auto"/>
        <w:jc w:val="both"/>
        <w:rPr>
          <w:rFonts w:ascii="Palatino Linotype" w:hAnsi="Palatino Linotype" w:cs="Tahoma"/>
          <w:sz w:val="22"/>
          <w:szCs w:val="22"/>
          <w:lang w:eastAsia="es-MX"/>
        </w:rPr>
      </w:pPr>
      <w:r w:rsidRPr="00C569A8">
        <w:rPr>
          <w:rFonts w:ascii="Palatino Linotype" w:hAnsi="Palatino Linotype" w:cs="Tahoma"/>
          <w:sz w:val="22"/>
          <w:szCs w:val="22"/>
          <w:lang w:eastAsia="es-MX"/>
        </w:rPr>
        <w:t>La información que en términos de Ley deban publicar de manera obligatoria los sujetos obligados, o deba ser generada de manera electrónica, según lo dispongan las disposiciones legales o administrativas no podrá tener ningún costo, incluyendo aquella que se hubiera digitalizado previamente por cualquier motivo, en aquellos casos en que la modalidad de entrega sea por medio de la plataforma o vía electrónica.</w:t>
      </w:r>
    </w:p>
    <w:p w14:paraId="57A05EA4" w14:textId="77777777" w:rsidR="001E6365" w:rsidRPr="00C569A8" w:rsidRDefault="001E6365" w:rsidP="001E6365">
      <w:pPr>
        <w:spacing w:after="0" w:line="360" w:lineRule="auto"/>
        <w:jc w:val="both"/>
        <w:rPr>
          <w:rFonts w:ascii="Palatino Linotype" w:hAnsi="Palatino Linotype" w:cs="Tahoma"/>
          <w:lang w:eastAsia="es-MX"/>
        </w:rPr>
      </w:pPr>
    </w:p>
    <w:p w14:paraId="3E5B9EF5" w14:textId="77777777" w:rsidR="001E6365" w:rsidRPr="00C569A8" w:rsidRDefault="001E6365" w:rsidP="001E6365">
      <w:pPr>
        <w:pStyle w:val="Prrafodelista"/>
        <w:numPr>
          <w:ilvl w:val="0"/>
          <w:numId w:val="1"/>
        </w:numPr>
        <w:spacing w:line="360" w:lineRule="auto"/>
        <w:jc w:val="both"/>
        <w:rPr>
          <w:rFonts w:ascii="Palatino Linotype" w:hAnsi="Palatino Linotype" w:cs="Tahoma"/>
          <w:sz w:val="22"/>
          <w:szCs w:val="22"/>
          <w:lang w:eastAsia="es-MX"/>
        </w:rPr>
      </w:pPr>
      <w:r w:rsidRPr="00C569A8">
        <w:rPr>
          <w:rFonts w:ascii="Palatino Linotype" w:hAnsi="Palatino Linotype" w:cs="Tahoma"/>
          <w:sz w:val="22"/>
          <w:szCs w:val="22"/>
          <w:lang w:eastAsia="es-MX"/>
        </w:rPr>
        <w:t>En caso que el Instituto determine que por negligencia no se hubiere atendido alguna solicitud en los términos de esta Ley, requerirá a la Unidad de Transparencia correspondiente para que proporcione la información sin costo alguno para el solicitante, dentro del plazo de quince días hábiles a partir del requerimiento.</w:t>
      </w:r>
    </w:p>
    <w:p w14:paraId="5BEDEDA0" w14:textId="77777777" w:rsidR="001E6365" w:rsidRPr="00C569A8" w:rsidRDefault="001E6365" w:rsidP="001E6365">
      <w:pPr>
        <w:spacing w:after="0" w:line="360" w:lineRule="auto"/>
        <w:jc w:val="both"/>
        <w:rPr>
          <w:rFonts w:ascii="Palatino Linotype" w:hAnsi="Palatino Linotype" w:cs="Tahoma"/>
          <w:lang w:eastAsia="es-MX"/>
        </w:rPr>
      </w:pPr>
    </w:p>
    <w:p w14:paraId="51C1FE0C" w14:textId="77777777" w:rsidR="001E6365" w:rsidRPr="00C569A8" w:rsidRDefault="001E6365" w:rsidP="001E6365">
      <w:pPr>
        <w:spacing w:after="0" w:line="360" w:lineRule="auto"/>
        <w:jc w:val="both"/>
        <w:rPr>
          <w:rFonts w:ascii="Palatino Linotype" w:hAnsi="Palatino Linotype" w:cs="Tahoma"/>
          <w:lang w:eastAsia="es-MX"/>
        </w:rPr>
      </w:pPr>
      <w:r w:rsidRPr="00C569A8">
        <w:rPr>
          <w:rFonts w:ascii="Palatino Linotype" w:hAnsi="Palatino Linotype" w:cs="Tahoma"/>
          <w:lang w:eastAsia="es-MX"/>
        </w:rPr>
        <w:t xml:space="preserve">De acuerdo con lo anterior y de la interpretación sistemática de los artículos anteriores y desde la perspectiva del principio </w:t>
      </w:r>
      <w:r w:rsidRPr="00C569A8">
        <w:rPr>
          <w:rFonts w:ascii="Palatino Linotype" w:hAnsi="Palatino Linotype" w:cs="Tahoma"/>
          <w:i/>
          <w:lang w:eastAsia="es-MX"/>
        </w:rPr>
        <w:t>pro homine</w:t>
      </w:r>
      <w:r w:rsidRPr="00C569A8">
        <w:rPr>
          <w:rFonts w:ascii="Palatino Linotype" w:hAnsi="Palatino Linotype" w:cs="Tahoma"/>
          <w:lang w:eastAsia="es-MX"/>
        </w:rPr>
        <w:t>, se debe entender que en la entrega de la información se debe favorecer la gratuidad, aun tratándose de la entrega de copias certificadas, puesta ante una respuesta desfavorable de los sujetos obligados, en donde se advierta negligencia, se entendería que se actualiza el supuesto establecido en el artículo 234 de la Ley de nuestra Entidad y por ende el costo debe correr a cargo del Sujeto Obligado.</w:t>
      </w:r>
    </w:p>
    <w:p w14:paraId="1A3BF3EB" w14:textId="77777777" w:rsidR="001E6365" w:rsidRPr="00C569A8" w:rsidRDefault="001E6365" w:rsidP="001E6365">
      <w:pPr>
        <w:spacing w:after="0" w:line="360" w:lineRule="auto"/>
        <w:jc w:val="both"/>
        <w:rPr>
          <w:rFonts w:ascii="Palatino Linotype" w:hAnsi="Palatino Linotype" w:cs="Tahoma"/>
        </w:rPr>
      </w:pPr>
    </w:p>
    <w:p w14:paraId="090944E2" w14:textId="77777777" w:rsidR="001E6365" w:rsidRPr="00C569A8" w:rsidRDefault="001E6365" w:rsidP="001E6365">
      <w:pPr>
        <w:spacing w:after="0" w:line="360" w:lineRule="auto"/>
        <w:jc w:val="both"/>
        <w:rPr>
          <w:rFonts w:ascii="Palatino Linotype" w:hAnsi="Palatino Linotype" w:cs="Tahoma"/>
        </w:rPr>
      </w:pPr>
      <w:r w:rsidRPr="00C569A8">
        <w:rPr>
          <w:rFonts w:ascii="Palatino Linotype" w:hAnsi="Palatino Linotype" w:cs="Tahoma"/>
        </w:rPr>
        <w:t>Bajo este orden de ideas, toda vez que los titulares de las unidades de información deben contar con el perfil adecuado y contar con los conocimientos mínimos necesarios para garantizar los derechos humanos de acceso a la información pública y de acceso a datos personales, ante respuestas desfavorables de los sujetos obligados, nuestra perspectiva es que se debe ordenar la entrega de la información sin costos por reproducción en el caso de las solicitudes en copias certificadas, de acuerdo con el Principio de Gratuidad establecido en el artículo 9°, fracción III, relacionado con la excepción establecida en el diverso 234, ambos de la Ley de Transparencia y Acceso a la Información Pública del Estado de México y Municipios.</w:t>
      </w:r>
    </w:p>
    <w:p w14:paraId="43A442A8" w14:textId="77777777" w:rsidR="001E6365" w:rsidRPr="00C569A8" w:rsidRDefault="001E6365" w:rsidP="001E6365">
      <w:pPr>
        <w:spacing w:after="0" w:line="360" w:lineRule="auto"/>
        <w:jc w:val="both"/>
        <w:rPr>
          <w:rFonts w:ascii="Palatino Linotype" w:hAnsi="Palatino Linotype" w:cs="Tahoma"/>
        </w:rPr>
      </w:pPr>
    </w:p>
    <w:p w14:paraId="0F9DF57C" w14:textId="77777777" w:rsidR="001E6365" w:rsidRPr="00C569A8" w:rsidRDefault="001E6365" w:rsidP="001E6365">
      <w:pPr>
        <w:spacing w:after="0" w:line="360" w:lineRule="auto"/>
        <w:jc w:val="both"/>
        <w:rPr>
          <w:rFonts w:ascii="Palatino Linotype" w:hAnsi="Palatino Linotype" w:cs="Tahoma"/>
          <w:b/>
        </w:rPr>
      </w:pPr>
      <w:r w:rsidRPr="00C569A8">
        <w:rPr>
          <w:rFonts w:ascii="Palatino Linotype" w:hAnsi="Palatino Linotype" w:cs="Tahoma"/>
        </w:rPr>
        <w:t xml:space="preserve">En conclusión, tratándose de la entrega de copias certificadas en recursos de revisión en donde la respuesta fue desfavorable para el Recurrente, porque así lo haya determinado el Pleno de </w:t>
      </w:r>
      <w:r w:rsidRPr="00C569A8">
        <w:rPr>
          <w:rFonts w:ascii="Palatino Linotype" w:hAnsi="Palatino Linotype" w:cs="Tahoma"/>
        </w:rPr>
        <w:lastRenderedPageBreak/>
        <w:t>este Organismo Garante, se debe favorecer el Principio de Gratuidad del Solicitante, en aras de garantizar el derecho de acceso a la información pública</w:t>
      </w:r>
      <w:r w:rsidRPr="00C569A8">
        <w:rPr>
          <w:rFonts w:ascii="Palatino Linotype" w:hAnsi="Palatino Linotype" w:cs="Tahoma"/>
          <w:b/>
        </w:rPr>
        <w:t xml:space="preserve">. </w:t>
      </w:r>
    </w:p>
    <w:p w14:paraId="39DF5057" w14:textId="77777777" w:rsidR="001E6365" w:rsidRDefault="001E6365" w:rsidP="001E6365">
      <w:pPr>
        <w:spacing w:after="0" w:line="360" w:lineRule="auto"/>
        <w:jc w:val="both"/>
        <w:rPr>
          <w:rFonts w:ascii="Palatino Linotype" w:hAnsi="Palatino Linotype" w:cs="Tahoma"/>
          <w:b/>
        </w:rPr>
      </w:pPr>
    </w:p>
    <w:p w14:paraId="4719FF95" w14:textId="77777777" w:rsidR="001E6365" w:rsidRPr="00AA45A6" w:rsidRDefault="001E6365" w:rsidP="001E6365">
      <w:pPr>
        <w:spacing w:after="0" w:line="360" w:lineRule="auto"/>
        <w:jc w:val="both"/>
        <w:rPr>
          <w:rFonts w:ascii="Palatino Linotype" w:hAnsi="Palatino Linotype" w:cs="Tahoma"/>
        </w:rPr>
      </w:pPr>
      <w:r w:rsidRPr="00AA45A6">
        <w:rPr>
          <w:rFonts w:ascii="Palatino Linotype" w:hAnsi="Palatino Linotype" w:cs="Tahoma"/>
        </w:rPr>
        <w:t>No se omite manifestar que no existe afectación alguna al erario público, toda vez que el procedimiento de acceso a la información pública, es gratuito de conformidad a la ley; por lo que no debe tener propósitos recaudatorios, toda vez que la gratuidad de la información es uno de los principios rectores de la transparencia y el derecho a la información.</w:t>
      </w:r>
    </w:p>
    <w:p w14:paraId="4B6ED922" w14:textId="77777777" w:rsidR="001E6365" w:rsidRPr="00AA45A6" w:rsidRDefault="001E6365" w:rsidP="001E6365">
      <w:pPr>
        <w:spacing w:after="0" w:line="360" w:lineRule="auto"/>
        <w:jc w:val="both"/>
        <w:rPr>
          <w:rFonts w:ascii="Palatino Linotype" w:hAnsi="Palatino Linotype" w:cs="Tahoma"/>
        </w:rPr>
      </w:pPr>
    </w:p>
    <w:p w14:paraId="768CDDAB" w14:textId="77777777" w:rsidR="001E6365" w:rsidRPr="00AA45A6" w:rsidRDefault="001E6365" w:rsidP="001E6365">
      <w:pPr>
        <w:spacing w:after="0" w:line="360" w:lineRule="auto"/>
        <w:jc w:val="both"/>
        <w:rPr>
          <w:rFonts w:ascii="Palatino Linotype" w:hAnsi="Palatino Linotype" w:cs="Tahoma"/>
        </w:rPr>
      </w:pPr>
      <w:r w:rsidRPr="00AA45A6">
        <w:rPr>
          <w:rFonts w:ascii="Palatino Linotype" w:hAnsi="Palatino Linotype" w:cs="Tahoma"/>
        </w:rPr>
        <w:t>Los fines recaudatorios son una limitante de la garantía constitucional del derecho de acceso a la información y contravienen su naturaleza general, ya que inhiben indebidamente el ejercicio amplio y completo del derecho de acceso a la información</w:t>
      </w:r>
      <w:r>
        <w:rPr>
          <w:rFonts w:ascii="Palatino Linotype" w:hAnsi="Palatino Linotype" w:cs="Tahoma"/>
        </w:rPr>
        <w:t>.</w:t>
      </w:r>
    </w:p>
    <w:p w14:paraId="1520CDAE" w14:textId="77777777" w:rsidR="001E6365" w:rsidRPr="00C569A8" w:rsidRDefault="001E6365" w:rsidP="001E6365">
      <w:pPr>
        <w:spacing w:after="0" w:line="360" w:lineRule="auto"/>
        <w:jc w:val="both"/>
        <w:rPr>
          <w:rFonts w:ascii="Palatino Linotype" w:hAnsi="Palatino Linotype" w:cs="Tahoma"/>
          <w:b/>
        </w:rPr>
      </w:pPr>
    </w:p>
    <w:p w14:paraId="12F7826A" w14:textId="3C52DB13" w:rsidR="003A7F5B" w:rsidRPr="0087208B" w:rsidRDefault="001E6365" w:rsidP="0087208B">
      <w:pPr>
        <w:spacing w:after="0" w:line="360" w:lineRule="auto"/>
        <w:jc w:val="both"/>
        <w:rPr>
          <w:rFonts w:ascii="Palatino Linotype" w:hAnsi="Palatino Linotype" w:cs="Tahoma"/>
        </w:rPr>
      </w:pPr>
      <w:r w:rsidRPr="00C569A8">
        <w:rPr>
          <w:rFonts w:ascii="Palatino Linotype" w:hAnsi="Palatino Linotype" w:cs="Tahoma"/>
        </w:rPr>
        <w:t xml:space="preserve">Lo anterior expone razones suficientes para la emisión y presentación del presente </w:t>
      </w:r>
      <w:r w:rsidRPr="00C569A8">
        <w:rPr>
          <w:rFonts w:ascii="Palatino Linotype" w:hAnsi="Palatino Linotype" w:cs="Tahoma"/>
          <w:b/>
        </w:rPr>
        <w:t>Voto Particular Concurrente</w:t>
      </w:r>
      <w:r w:rsidRPr="00C569A8">
        <w:rPr>
          <w:rFonts w:ascii="Palatino Linotype" w:hAnsi="Palatino Linotype" w:cs="Tahoma"/>
        </w:rPr>
        <w:t>, relacionado con la resolución del Recurso de Revisión referido. ---------------------------------------------------------------------------------------------------------------------------------------------------------------------------------------------------------------------------------------------------------------</w:t>
      </w:r>
      <w:r w:rsidR="00DD1828" w:rsidRPr="00C569A8">
        <w:rPr>
          <w:rFonts w:ascii="Palatino Linotype" w:hAnsi="Palatino Linotype" w:cs="Tahoma"/>
        </w:rPr>
        <w:t>--------------------------------------------------------------------------------------------------------------------------------------------------------------------------------------------------------------------------------------------------------------------------------------------------------------------------------------------------------------------------------------------------------------------------------------------------------------------------------------------------------------------------------------------------------------------------------------------------------------------------------------------------------------------------------------------------------------------------------------------------------------------------------------------------------------------------------------------------------------------------------------------------------------------------------------------------------------------------------------------------------------------------------</w:t>
      </w:r>
      <w:bookmarkStart w:id="0" w:name="_GoBack"/>
      <w:bookmarkEnd w:id="0"/>
    </w:p>
    <w:sectPr w:rsidR="003A7F5B" w:rsidRPr="0087208B" w:rsidSect="001F7B38">
      <w:headerReference w:type="even" r:id="rId7"/>
      <w:headerReference w:type="default" r:id="rId8"/>
      <w:footerReference w:type="default" r:id="rId9"/>
      <w:pgSz w:w="12240" w:h="15840"/>
      <w:pgMar w:top="926" w:right="1418" w:bottom="1418" w:left="1701" w:header="709"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2D9BA" w14:textId="77777777" w:rsidR="00295ED0" w:rsidRDefault="00295ED0" w:rsidP="001E6365">
      <w:pPr>
        <w:spacing w:after="0" w:line="240" w:lineRule="auto"/>
      </w:pPr>
      <w:r>
        <w:separator/>
      </w:r>
    </w:p>
  </w:endnote>
  <w:endnote w:type="continuationSeparator" w:id="0">
    <w:p w14:paraId="6D03124F" w14:textId="77777777" w:rsidR="00295ED0" w:rsidRDefault="00295ED0" w:rsidP="001E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423FF" w14:textId="77777777" w:rsidR="00372F1B" w:rsidRPr="00986599" w:rsidRDefault="001E6365" w:rsidP="007F0307">
    <w:pPr>
      <w:pStyle w:val="Piedepgina"/>
      <w:jc w:val="right"/>
      <w:rPr>
        <w:rFonts w:ascii="Arial" w:hAnsi="Arial" w:cs="Arial"/>
        <w:sz w:val="20"/>
        <w:szCs w:val="20"/>
      </w:rPr>
    </w:pP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A7F5B">
      <w:rPr>
        <w:rFonts w:ascii="Arial" w:hAnsi="Arial" w:cs="Arial"/>
        <w:b/>
        <w:bCs/>
        <w:noProof/>
        <w:sz w:val="20"/>
        <w:szCs w:val="20"/>
      </w:rPr>
      <w:t>5</w:t>
    </w:r>
    <w:r w:rsidRPr="00986599">
      <w:rPr>
        <w:rFonts w:ascii="Arial" w:hAnsi="Arial" w:cs="Arial"/>
        <w:b/>
        <w:bCs/>
        <w:sz w:val="20"/>
        <w:szCs w:val="20"/>
      </w:rPr>
      <w:fldChar w:fldCharType="end"/>
    </w:r>
    <w:r>
      <w:rPr>
        <w:rFonts w:ascii="Arial" w:hAnsi="Arial" w:cs="Arial"/>
        <w:sz w:val="20"/>
        <w:szCs w:val="20"/>
      </w:rPr>
      <w:t xml:space="preserve"> </w:t>
    </w:r>
    <w:r w:rsidRPr="00986599">
      <w:rPr>
        <w:rFonts w:ascii="Arial" w:hAnsi="Arial" w:cs="Arial"/>
        <w:sz w:val="20"/>
        <w:szCs w:val="20"/>
      </w:rPr>
      <w:t>de</w:t>
    </w:r>
    <w:r>
      <w:rPr>
        <w:rFonts w:ascii="Arial" w:hAnsi="Arial" w:cs="Arial"/>
        <w:sz w:val="20"/>
        <w:szCs w:val="20"/>
      </w:rPr>
      <w:t xml:space="preserv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A7F5B">
      <w:rPr>
        <w:rFonts w:ascii="Arial" w:hAnsi="Arial" w:cs="Arial"/>
        <w:b/>
        <w:bCs/>
        <w:noProof/>
        <w:sz w:val="20"/>
        <w:szCs w:val="20"/>
      </w:rPr>
      <w:t>5</w:t>
    </w:r>
    <w:r w:rsidRPr="00986599">
      <w:rPr>
        <w:rFonts w:ascii="Arial" w:hAnsi="Arial" w:cs="Arial"/>
        <w:b/>
        <w:bCs/>
        <w:sz w:val="20"/>
        <w:szCs w:val="20"/>
      </w:rPr>
      <w:fldChar w:fldCharType="end"/>
    </w:r>
  </w:p>
  <w:p w14:paraId="7AC5EC7D" w14:textId="77777777" w:rsidR="00372F1B" w:rsidRDefault="00372F1B" w:rsidP="007F0307">
    <w:pPr>
      <w:pStyle w:val="Piedepgina"/>
      <w:jc w:val="right"/>
    </w:pPr>
  </w:p>
  <w:p w14:paraId="160E652F" w14:textId="77777777" w:rsidR="00372F1B" w:rsidRDefault="00372F1B"/>
  <w:p w14:paraId="414C7399" w14:textId="77777777" w:rsidR="00372F1B" w:rsidRDefault="00372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9F9B3" w14:textId="77777777" w:rsidR="00295ED0" w:rsidRDefault="00295ED0" w:rsidP="001E6365">
      <w:pPr>
        <w:spacing w:after="0" w:line="240" w:lineRule="auto"/>
      </w:pPr>
      <w:r>
        <w:separator/>
      </w:r>
    </w:p>
  </w:footnote>
  <w:footnote w:type="continuationSeparator" w:id="0">
    <w:p w14:paraId="11F1B916" w14:textId="77777777" w:rsidR="00295ED0" w:rsidRDefault="00295ED0" w:rsidP="001E6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1C8B" w14:textId="77777777" w:rsidR="00372F1B" w:rsidRDefault="001E6365">
    <w:pPr>
      <w:pStyle w:val="Encabezado"/>
    </w:pPr>
    <w:r>
      <w:rPr>
        <w:noProof/>
        <w:lang w:val="es-MX" w:eastAsia="es-MX"/>
      </w:rPr>
      <mc:AlternateContent>
        <mc:Choice Requires="wps">
          <w:drawing>
            <wp:anchor distT="0" distB="0" distL="114300" distR="114300" simplePos="0" relativeHeight="251659264" behindDoc="1" locked="0" layoutInCell="0" allowOverlap="1" wp14:anchorId="474091AD" wp14:editId="13217C4E">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A8397" w14:textId="77777777" w:rsidR="00372F1B" w:rsidRDefault="001E6365" w:rsidP="007F0307">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4091AD"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" o:allowincell="f" filled="f" stroked="f">
              <v:stroke joinstyle="round"/>
              <o:lock v:ext="edit" shapetype="t"/>
              <v:textbox style="mso-fit-shape-to-text:t">
                <w:txbxContent>
                  <w:p w14:paraId="6EFA8397" w14:textId="77777777" w:rsidR="007F0307" w:rsidRDefault="001E6365" w:rsidP="007F0307">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p w14:paraId="132DC1B0" w14:textId="77777777" w:rsidR="00372F1B" w:rsidRDefault="00372F1B"/>
  <w:p w14:paraId="5D6C3176" w14:textId="77777777" w:rsidR="00372F1B" w:rsidRDefault="00372F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521"/>
    </w:tblGrid>
    <w:tr w:rsidR="00282741" w:rsidRPr="003E102C" w14:paraId="7CC41716" w14:textId="77777777" w:rsidTr="00DD1828">
      <w:trPr>
        <w:trHeight w:val="1832"/>
      </w:trPr>
      <w:tc>
        <w:tcPr>
          <w:tcW w:w="3261" w:type="dxa"/>
          <w:vAlign w:val="bottom"/>
        </w:tcPr>
        <w:p w14:paraId="48749C92" w14:textId="77777777" w:rsidR="00372F1B" w:rsidRDefault="001E6365" w:rsidP="00282741">
          <w:pPr>
            <w:pStyle w:val="Encabezado"/>
            <w:tabs>
              <w:tab w:val="center" w:pos="2614"/>
            </w:tabs>
            <w:ind w:left="-255"/>
          </w:pPr>
          <w:r>
            <w:rPr>
              <w:noProof/>
              <w:sz w:val="10"/>
              <w:szCs w:val="10"/>
              <w:lang w:val="es-MX" w:eastAsia="es-MX"/>
            </w:rPr>
            <w:drawing>
              <wp:inline distT="0" distB="0" distL="0" distR="0" wp14:anchorId="06AA89BE" wp14:editId="5772E37D">
                <wp:extent cx="1873633" cy="11265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0616" cy="1160801"/>
                        </a:xfrm>
                        <a:prstGeom prst="rect">
                          <a:avLst/>
                        </a:prstGeom>
                      </pic:spPr>
                    </pic:pic>
                  </a:graphicData>
                </a:graphic>
              </wp:inline>
            </w:drawing>
          </w:r>
        </w:p>
        <w:p w14:paraId="3CA76082" w14:textId="77777777" w:rsidR="00372F1B" w:rsidRDefault="00372F1B" w:rsidP="00282741">
          <w:pPr>
            <w:pStyle w:val="Encabezado"/>
            <w:tabs>
              <w:tab w:val="center" w:pos="2614"/>
            </w:tabs>
          </w:pPr>
        </w:p>
      </w:tc>
      <w:tc>
        <w:tcPr>
          <w:tcW w:w="6521" w:type="dxa"/>
          <w:vAlign w:val="center"/>
        </w:tcPr>
        <w:p w14:paraId="7C2E4266" w14:textId="77777777" w:rsidR="00372F1B" w:rsidRPr="003E102C" w:rsidRDefault="001E6365" w:rsidP="00DD1828">
          <w:pPr>
            <w:pStyle w:val="Encabezado"/>
            <w:ind w:left="-108" w:right="-250"/>
            <w:rPr>
              <w:rFonts w:ascii="Palatino Linotype" w:hAnsi="Palatino Linotype" w:cs="Tahoma"/>
              <w:b/>
            </w:rPr>
          </w:pPr>
          <w:r>
            <w:rPr>
              <w:rFonts w:ascii="Palatino Linotype" w:hAnsi="Palatino Linotype" w:cs="Tahoma"/>
              <w:b/>
            </w:rPr>
            <w:t xml:space="preserve">Voto </w:t>
          </w:r>
          <w:r w:rsidRPr="003E102C">
            <w:rPr>
              <w:rFonts w:ascii="Palatino Linotype" w:hAnsi="Palatino Linotype" w:cs="Tahoma"/>
              <w:b/>
            </w:rPr>
            <w:t>Particular</w:t>
          </w:r>
        </w:p>
        <w:p w14:paraId="0CEE64C3" w14:textId="350911D3" w:rsidR="00372F1B" w:rsidRDefault="001E6365" w:rsidP="00DD1828">
          <w:pPr>
            <w:pStyle w:val="Encabezado"/>
            <w:ind w:left="-108" w:right="-250"/>
            <w:rPr>
              <w:rFonts w:ascii="Palatino Linotype" w:eastAsia="Palatino Linotype" w:hAnsi="Palatino Linotype" w:cs="Palatino Linotype"/>
              <w:b/>
            </w:rPr>
          </w:pPr>
          <w:r w:rsidRPr="003E102C">
            <w:rPr>
              <w:rFonts w:ascii="Palatino Linotype" w:hAnsi="Palatino Linotype" w:cs="Tahoma"/>
              <w:b/>
            </w:rPr>
            <w:t xml:space="preserve">Recurso de Revisión: </w:t>
          </w:r>
          <w:r w:rsidR="00EC7A01">
            <w:rPr>
              <w:rFonts w:ascii="Palatino Linotype" w:hAnsi="Palatino Linotype" w:cs="Arial"/>
            </w:rPr>
            <w:t>04391</w:t>
          </w:r>
          <w:r w:rsidR="00C75920" w:rsidRPr="00C75920">
            <w:rPr>
              <w:rFonts w:ascii="Palatino Linotype" w:hAnsi="Palatino Linotype" w:cs="Arial"/>
            </w:rPr>
            <w:t>/INFOEM/IP/RR/202</w:t>
          </w:r>
          <w:r w:rsidR="00DD1828">
            <w:rPr>
              <w:rFonts w:ascii="Palatino Linotype" w:hAnsi="Palatino Linotype" w:cs="Arial"/>
            </w:rPr>
            <w:t>3</w:t>
          </w:r>
        </w:p>
        <w:p w14:paraId="309C5107" w14:textId="59F46807" w:rsidR="00372F1B" w:rsidRDefault="001E6365" w:rsidP="00DD1828">
          <w:pPr>
            <w:pStyle w:val="Encabezado"/>
            <w:ind w:left="-108" w:right="-250"/>
            <w:rPr>
              <w:rFonts w:ascii="Palatino Linotype" w:eastAsia="Palatino Linotype" w:hAnsi="Palatino Linotype" w:cs="Palatino Linotype"/>
            </w:rPr>
          </w:pPr>
          <w:r>
            <w:rPr>
              <w:rFonts w:ascii="Palatino Linotype" w:hAnsi="Palatino Linotype" w:cs="Tahoma"/>
              <w:b/>
            </w:rPr>
            <w:t>Sujeto Obligado:</w:t>
          </w:r>
          <w:r>
            <w:rPr>
              <w:rFonts w:ascii="Palatino Linotype" w:eastAsia="Palatino Linotype" w:hAnsi="Palatino Linotype" w:cs="Palatino Linotype"/>
              <w:b/>
            </w:rPr>
            <w:t xml:space="preserve"> </w:t>
          </w:r>
          <w:r w:rsidRPr="00BE325C">
            <w:rPr>
              <w:rFonts w:ascii="Palatino Linotype" w:eastAsia="Palatino Linotype" w:hAnsi="Palatino Linotype" w:cs="Palatino Linotype"/>
            </w:rPr>
            <w:t xml:space="preserve">Ayuntamiento de </w:t>
          </w:r>
          <w:r w:rsidR="00EC7A01">
            <w:rPr>
              <w:rFonts w:ascii="Palatino Linotype" w:eastAsia="Palatino Linotype" w:hAnsi="Palatino Linotype" w:cs="Palatino Linotype"/>
            </w:rPr>
            <w:t>Ecatepec de Morelos</w:t>
          </w:r>
        </w:p>
        <w:p w14:paraId="77DD3841" w14:textId="3FE86159" w:rsidR="00372F1B" w:rsidRPr="00DD6BEE" w:rsidRDefault="001E6365" w:rsidP="00DD1828">
          <w:pPr>
            <w:pStyle w:val="Encabezado"/>
            <w:ind w:left="-108" w:right="-250"/>
            <w:rPr>
              <w:rFonts w:ascii="Palatino Linotype" w:hAnsi="Palatino Linotype" w:cs="Tahoma"/>
              <w:bCs/>
            </w:rPr>
          </w:pPr>
          <w:r>
            <w:rPr>
              <w:rFonts w:ascii="Palatino Linotype" w:hAnsi="Palatino Linotype" w:cs="Tahoma"/>
              <w:b/>
            </w:rPr>
            <w:t xml:space="preserve">Comisionada Ponente: </w:t>
          </w:r>
          <w:r w:rsidR="00C75920">
            <w:rPr>
              <w:rFonts w:ascii="Palatino Linotype" w:hAnsi="Palatino Linotype" w:cs="Tahoma"/>
              <w:bCs/>
            </w:rPr>
            <w:t>María del Rosario Mejía Ayala</w:t>
          </w:r>
        </w:p>
      </w:tc>
    </w:tr>
  </w:tbl>
  <w:p w14:paraId="09B6A267" w14:textId="77777777" w:rsidR="00372F1B" w:rsidRDefault="00372F1B" w:rsidP="001F7B38">
    <w:pPr>
      <w:pStyle w:val="Encabezad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391F"/>
    <w:multiLevelType w:val="hybridMultilevel"/>
    <w:tmpl w:val="2090A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65"/>
    <w:rsid w:val="001E6365"/>
    <w:rsid w:val="00203E5A"/>
    <w:rsid w:val="00264675"/>
    <w:rsid w:val="00295ED0"/>
    <w:rsid w:val="00372F1B"/>
    <w:rsid w:val="00383E1B"/>
    <w:rsid w:val="003A7F5B"/>
    <w:rsid w:val="003E583F"/>
    <w:rsid w:val="00447E8F"/>
    <w:rsid w:val="00716C66"/>
    <w:rsid w:val="0083705C"/>
    <w:rsid w:val="0087208B"/>
    <w:rsid w:val="008F3157"/>
    <w:rsid w:val="009445EA"/>
    <w:rsid w:val="00B506B2"/>
    <w:rsid w:val="00C75920"/>
    <w:rsid w:val="00CC574A"/>
    <w:rsid w:val="00CE7148"/>
    <w:rsid w:val="00D54B55"/>
    <w:rsid w:val="00DD1828"/>
    <w:rsid w:val="00E264A2"/>
    <w:rsid w:val="00EC7A01"/>
    <w:rsid w:val="00F23678"/>
    <w:rsid w:val="00FA19FE"/>
    <w:rsid w:val="00FB2E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AB93A"/>
  <w15:chartTrackingRefBased/>
  <w15:docId w15:val="{7103B319-4315-4C1B-A895-870B3C77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65"/>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36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1E6365"/>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1E636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E6365"/>
    <w:rPr>
      <w:rFonts w:ascii="Times New Roman" w:eastAsia="Times New Roman" w:hAnsi="Times New Roman" w:cs="Times New Roman"/>
      <w:kern w:val="0"/>
      <w:sz w:val="24"/>
      <w:szCs w:val="24"/>
      <w:lang w:val="es-ES" w:eastAsia="es-ES"/>
      <w14:ligatures w14:val="none"/>
    </w:rPr>
  </w:style>
  <w:style w:type="paragraph" w:styleId="NormalWeb">
    <w:name w:val="Normal (Web)"/>
    <w:basedOn w:val="Normal"/>
    <w:uiPriority w:val="99"/>
    <w:rsid w:val="001E636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6365"/>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E6365"/>
    <w:rPr>
      <w:rFonts w:ascii="Times New Roman" w:eastAsia="Calibri" w:hAnsi="Times New Roman" w:cs="Times New Roman"/>
      <w:kern w:val="0"/>
      <w:sz w:val="24"/>
      <w:szCs w:val="24"/>
      <w:lang w:val="es-ES" w:eastAsia="es-ES"/>
      <w14:ligatures w14:val="none"/>
    </w:rPr>
  </w:style>
  <w:style w:type="table" w:styleId="Tablaconcuadrcula">
    <w:name w:val="Table Grid"/>
    <w:basedOn w:val="Tablanormal"/>
    <w:uiPriority w:val="39"/>
    <w:rsid w:val="001E63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1379</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ROX</cp:lastModifiedBy>
  <cp:revision>6</cp:revision>
  <cp:lastPrinted>2024-02-06T16:31:00Z</cp:lastPrinted>
  <dcterms:created xsi:type="dcterms:W3CDTF">2024-02-06T17:37:00Z</dcterms:created>
  <dcterms:modified xsi:type="dcterms:W3CDTF">2024-03-04T20:52:00Z</dcterms:modified>
</cp:coreProperties>
</file>