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809DF" w14:textId="77777777" w:rsidR="006C5D62" w:rsidRDefault="006C5D62" w:rsidP="003B357E">
      <w:pPr>
        <w:pStyle w:val="Encabezado"/>
        <w:spacing w:line="360" w:lineRule="auto"/>
        <w:ind w:right="49"/>
        <w:jc w:val="both"/>
        <w:rPr>
          <w:rFonts w:ascii="Palatino Linotype" w:hAnsi="Palatino Linotype" w:cs="Tahoma"/>
          <w:b/>
        </w:rPr>
      </w:pPr>
    </w:p>
    <w:p w14:paraId="467BBEA9" w14:textId="63F30DBE" w:rsidR="003B357E" w:rsidRDefault="003B357E" w:rsidP="003B357E">
      <w:pPr>
        <w:pStyle w:val="Encabezado"/>
        <w:spacing w:line="360" w:lineRule="auto"/>
        <w:ind w:right="49"/>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00A569AC">
        <w:rPr>
          <w:rFonts w:ascii="Palatino Linotype" w:hAnsi="Palatino Linotype"/>
          <w:b/>
        </w:rPr>
        <w:t>0</w:t>
      </w:r>
      <w:r w:rsidR="00F16CF2">
        <w:rPr>
          <w:rFonts w:ascii="Palatino Linotype" w:hAnsi="Palatino Linotype"/>
          <w:b/>
        </w:rPr>
        <w:t>7901</w:t>
      </w:r>
      <w:r w:rsidRPr="00A35B8C">
        <w:rPr>
          <w:rFonts w:ascii="Palatino Linotype" w:hAnsi="Palatino Linotype"/>
          <w:b/>
        </w:rPr>
        <w:t>/INFOEM/IP/RR/202</w:t>
      </w:r>
      <w:r>
        <w:rPr>
          <w:rFonts w:ascii="Palatino Linotype" w:hAnsi="Palatino Linotype"/>
          <w:b/>
        </w:rPr>
        <w:t>3</w:t>
      </w:r>
      <w:r w:rsidR="00981468">
        <w:rPr>
          <w:rFonts w:ascii="Palatino Linotype" w:hAnsi="Palatino Linotype"/>
          <w:b/>
        </w:rPr>
        <w:t xml:space="preserve"> Y ACUMULADOS</w:t>
      </w:r>
      <w:r w:rsidRPr="006A7606">
        <w:rPr>
          <w:rFonts w:ascii="Palatino Linotype" w:hAnsi="Palatino Linotype" w:cs="Tahoma"/>
          <w:b/>
        </w:rPr>
        <w:t>, PROMOVIDO EN CONTRA DE</w:t>
      </w:r>
      <w:r>
        <w:rPr>
          <w:rFonts w:ascii="Palatino Linotype" w:hAnsi="Palatino Linotype" w:cs="Tahoma"/>
          <w:b/>
        </w:rPr>
        <w:t xml:space="preserve">L </w:t>
      </w:r>
      <w:r w:rsidR="00F16CF2" w:rsidRPr="00F16CF2">
        <w:rPr>
          <w:rFonts w:ascii="Palatino Linotype" w:hAnsi="Palatino Linotype" w:cs="Tahoma"/>
          <w:b/>
        </w:rPr>
        <w:t>CENTRO DE CONCILIACIÓN LABORAL DEL ESTADO DE MÉXICO</w:t>
      </w:r>
      <w:r w:rsidR="00A569AC">
        <w:rPr>
          <w:rFonts w:ascii="Palatino Linotype" w:hAnsi="Palatino Linotype" w:cs="Tahoma"/>
          <w:b/>
        </w:rPr>
        <w:t>.</w:t>
      </w:r>
    </w:p>
    <w:p w14:paraId="144E27B3" w14:textId="77777777" w:rsidR="003B357E" w:rsidRPr="006A7606" w:rsidRDefault="003B357E" w:rsidP="003B357E">
      <w:pPr>
        <w:pStyle w:val="Encabezado"/>
        <w:spacing w:line="360" w:lineRule="auto"/>
        <w:ind w:right="49"/>
        <w:jc w:val="both"/>
        <w:rPr>
          <w:rFonts w:ascii="Palatino Linotype" w:hAnsi="Palatino Linotype" w:cs="Tahoma"/>
        </w:rPr>
      </w:pPr>
    </w:p>
    <w:p w14:paraId="1555AA63" w14:textId="39B2760B" w:rsidR="003B357E" w:rsidRDefault="003B357E" w:rsidP="003B357E">
      <w:pPr>
        <w:spacing w:after="0" w:line="360" w:lineRule="auto"/>
        <w:jc w:val="both"/>
        <w:rPr>
          <w:rFonts w:ascii="Palatino Linotype" w:hAnsi="Palatino Linotype" w:cs="Tahoma"/>
          <w:b/>
        </w:rPr>
      </w:pPr>
      <w:r w:rsidRPr="0046182D">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en la resolución que </w:t>
      </w:r>
      <w:r w:rsidRPr="00B56DE2">
        <w:rPr>
          <w:rFonts w:ascii="Palatino Linotype" w:hAnsi="Palatino Linotype" w:cs="Tahoma"/>
          <w:b/>
          <w:bCs/>
        </w:rPr>
        <w:t>presenté conforme al criterio mayoritario del Pleno,</w:t>
      </w:r>
      <w:r w:rsidRPr="0046182D">
        <w:rPr>
          <w:rFonts w:ascii="Palatino Linotype" w:hAnsi="Palatino Linotype" w:cs="Tahoma"/>
        </w:rPr>
        <w:t xml:space="preserve"> en la Resolución del Recurso de Revisión </w:t>
      </w:r>
      <w:r w:rsidR="00A569AC">
        <w:rPr>
          <w:rFonts w:ascii="Palatino Linotype" w:hAnsi="Palatino Linotype" w:cs="Tahoma"/>
          <w:b/>
        </w:rPr>
        <w:t>0</w:t>
      </w:r>
      <w:r w:rsidR="00F16CF2">
        <w:rPr>
          <w:rFonts w:ascii="Palatino Linotype" w:hAnsi="Palatino Linotype" w:cs="Tahoma"/>
          <w:b/>
        </w:rPr>
        <w:t>790</w:t>
      </w:r>
      <w:r w:rsidR="00A569AC">
        <w:rPr>
          <w:rFonts w:ascii="Palatino Linotype" w:hAnsi="Palatino Linotype" w:cs="Tahoma"/>
          <w:b/>
        </w:rPr>
        <w:t>1</w:t>
      </w:r>
      <w:r>
        <w:rPr>
          <w:rFonts w:ascii="Palatino Linotype" w:hAnsi="Palatino Linotype" w:cs="Tahoma"/>
          <w:b/>
        </w:rPr>
        <w:t>/INFOEM/IP/RR/2023.</w:t>
      </w:r>
    </w:p>
    <w:p w14:paraId="12765FD3" w14:textId="77777777" w:rsidR="003B357E" w:rsidRPr="005A391A" w:rsidRDefault="003B357E" w:rsidP="003B357E">
      <w:pPr>
        <w:spacing w:after="0" w:line="360" w:lineRule="auto"/>
        <w:jc w:val="both"/>
        <w:rPr>
          <w:rFonts w:ascii="Palatino Linotype" w:hAnsi="Palatino Linotype" w:cs="Tahoma"/>
        </w:rPr>
      </w:pPr>
    </w:p>
    <w:p w14:paraId="79A3AD3A" w14:textId="219BFD0D" w:rsidR="00801B21" w:rsidRDefault="00E66339" w:rsidP="00590D44">
      <w:pPr>
        <w:spacing w:after="0" w:line="360" w:lineRule="auto"/>
        <w:contextualSpacing/>
        <w:jc w:val="both"/>
        <w:rPr>
          <w:rFonts w:ascii="Palatino Linotype" w:hAnsi="Palatino Linotype" w:cs="Tahoma"/>
        </w:rPr>
      </w:pPr>
      <w:r w:rsidRPr="00A77118">
        <w:rPr>
          <w:rFonts w:ascii="Palatino Linotype" w:hAnsi="Palatino Linotype" w:cs="Tahoma"/>
        </w:rPr>
        <w:t>Como se desprende de la Resolución que nos ocupa, el solicitante requirió,</w:t>
      </w:r>
      <w:r w:rsidR="00F16CF2">
        <w:rPr>
          <w:rFonts w:ascii="Palatino Linotype" w:hAnsi="Palatino Linotype" w:cs="Tahoma"/>
        </w:rPr>
        <w:t xml:space="preserve"> entre otras cosas, </w:t>
      </w:r>
      <w:r w:rsidR="00A569AC">
        <w:rPr>
          <w:rFonts w:ascii="Palatino Linotype" w:hAnsi="Palatino Linotype" w:cs="Tahoma"/>
        </w:rPr>
        <w:t xml:space="preserve"> </w:t>
      </w:r>
      <w:r w:rsidR="00F16CF2">
        <w:rPr>
          <w:rFonts w:ascii="Palatino Linotype" w:hAnsi="Palatino Linotype" w:cs="Tahoma"/>
          <w:lang w:val="es-MX"/>
        </w:rPr>
        <w:t>n</w:t>
      </w:r>
      <w:r w:rsidR="00F16CF2" w:rsidRPr="00F16CF2">
        <w:rPr>
          <w:rFonts w:ascii="Palatino Linotype" w:hAnsi="Palatino Linotype" w:cs="Tahoma"/>
          <w:lang w:val="es-MX"/>
        </w:rPr>
        <w:t xml:space="preserve">úmeros de expedientes o trámites por denuncias por posible conflicto de intereses entre los servidores públicos </w:t>
      </w:r>
      <w:r w:rsidR="00F16CF2">
        <w:rPr>
          <w:rFonts w:ascii="Palatino Linotype" w:hAnsi="Palatino Linotype" w:cs="Tahoma"/>
          <w:lang w:val="es-MX"/>
        </w:rPr>
        <w:t>y los t</w:t>
      </w:r>
      <w:r w:rsidR="00F16CF2" w:rsidRPr="00F16CF2">
        <w:rPr>
          <w:rFonts w:ascii="Palatino Linotype" w:hAnsi="Palatino Linotype" w:cs="Tahoma"/>
          <w:lang w:val="es-MX"/>
        </w:rPr>
        <w:t>rámites o vistas al Órgano Interno de Control que se hayan dado a conocer por la relación de parentesco entre los servidores públicos identificados en la solicitud de información</w:t>
      </w:r>
      <w:r w:rsidR="00F16CF2">
        <w:rPr>
          <w:rFonts w:ascii="Palatino Linotype" w:hAnsi="Palatino Linotype" w:cs="Tahoma"/>
        </w:rPr>
        <w:t xml:space="preserve">; </w:t>
      </w:r>
      <w:r w:rsidR="00C758F7" w:rsidRPr="00C758F7">
        <w:rPr>
          <w:rFonts w:ascii="Palatino Linotype" w:hAnsi="Palatino Linotype" w:cs="Tahoma"/>
        </w:rPr>
        <w:t xml:space="preserve">al respecto, se ordenó la entrega de la información en versión pública, así mismo, se precisó que, para el caso que existieran procedimientos en trámite se clasificara como reservados en términos de lo establecido por el artículo 140, fracción VI, de la Ley de Transparencia y </w:t>
      </w:r>
      <w:r w:rsidR="0085403A">
        <w:rPr>
          <w:rFonts w:ascii="Palatino Linotype" w:hAnsi="Palatino Linotype" w:cs="Tahoma"/>
        </w:rPr>
        <w:t>Acceso a la Información pública;</w:t>
      </w:r>
      <w:r w:rsidR="00C758F7">
        <w:rPr>
          <w:rFonts w:ascii="Palatino Linotype" w:hAnsi="Palatino Linotype" w:cs="Tahoma"/>
        </w:rPr>
        <w:t xml:space="preserve"> y</w:t>
      </w:r>
      <w:r w:rsidR="0085403A">
        <w:rPr>
          <w:rFonts w:ascii="Palatino Linotype" w:hAnsi="Palatino Linotype" w:cs="Tahoma"/>
        </w:rPr>
        <w:t>,</w:t>
      </w:r>
      <w:bookmarkStart w:id="0" w:name="_GoBack"/>
      <w:bookmarkEnd w:id="0"/>
      <w:r w:rsidR="00C758F7">
        <w:rPr>
          <w:rFonts w:ascii="Palatino Linotype" w:hAnsi="Palatino Linotype" w:cs="Tahoma"/>
        </w:rPr>
        <w:t xml:space="preserve"> </w:t>
      </w:r>
      <w:r w:rsidR="002605BA">
        <w:rPr>
          <w:rFonts w:ascii="Palatino Linotype" w:hAnsi="Palatino Linotype" w:cs="Tahoma"/>
        </w:rPr>
        <w:t>para el caso de que</w:t>
      </w:r>
      <w:r w:rsidR="004E7CC9">
        <w:rPr>
          <w:rFonts w:ascii="Palatino Linotype" w:hAnsi="Palatino Linotype" w:cs="Tahoma"/>
        </w:rPr>
        <w:t xml:space="preserve"> </w:t>
      </w:r>
      <w:r w:rsidR="00A569AC">
        <w:rPr>
          <w:rFonts w:ascii="Palatino Linotype" w:hAnsi="Palatino Linotype" w:cs="Tahoma"/>
        </w:rPr>
        <w:t xml:space="preserve">algunos de estos estuvieran relacionados con </w:t>
      </w:r>
      <w:r w:rsidR="00590D44">
        <w:rPr>
          <w:rFonts w:ascii="Palatino Linotype" w:hAnsi="Palatino Linotype" w:cs="Tahoma"/>
        </w:rPr>
        <w:t>procedimiento</w:t>
      </w:r>
      <w:r w:rsidR="00A569AC">
        <w:rPr>
          <w:rFonts w:ascii="Palatino Linotype" w:hAnsi="Palatino Linotype" w:cs="Tahoma"/>
        </w:rPr>
        <w:t>s</w:t>
      </w:r>
      <w:r w:rsidR="00590D44">
        <w:rPr>
          <w:rFonts w:ascii="Palatino Linotype" w:hAnsi="Palatino Linotype" w:cs="Tahoma"/>
        </w:rPr>
        <w:t xml:space="preserve"> de responsabilidad administrativa, en l</w:t>
      </w:r>
      <w:r w:rsidR="00A569AC">
        <w:rPr>
          <w:rFonts w:ascii="Palatino Linotype" w:hAnsi="Palatino Linotype" w:cs="Tahoma"/>
        </w:rPr>
        <w:t>os</w:t>
      </w:r>
      <w:r w:rsidR="00590D44">
        <w:rPr>
          <w:rFonts w:ascii="Palatino Linotype" w:hAnsi="Palatino Linotype" w:cs="Tahoma"/>
        </w:rPr>
        <w:t xml:space="preserve"> que se haya declarado absuelto al servidor público, su nombre debía ser confidencial.</w:t>
      </w:r>
    </w:p>
    <w:p w14:paraId="17397B5D" w14:textId="5E1936FC" w:rsidR="002931A8" w:rsidRDefault="002931A8" w:rsidP="003C115B">
      <w:pPr>
        <w:spacing w:after="0" w:line="360" w:lineRule="auto"/>
        <w:contextualSpacing/>
        <w:jc w:val="both"/>
        <w:rPr>
          <w:rFonts w:ascii="Palatino Linotype" w:hAnsi="Palatino Linotype" w:cs="Tahoma"/>
        </w:rPr>
      </w:pPr>
    </w:p>
    <w:p w14:paraId="2ED0078F" w14:textId="34175D63" w:rsidR="00C758F7" w:rsidRPr="00863B1B" w:rsidRDefault="00C758F7" w:rsidP="00C758F7">
      <w:pPr>
        <w:spacing w:after="0" w:line="360" w:lineRule="auto"/>
        <w:contextualSpacing/>
        <w:jc w:val="both"/>
        <w:rPr>
          <w:rFonts w:ascii="Palatino Linotype" w:eastAsia="Calibri" w:hAnsi="Palatino Linotype" w:cs="Tahoma"/>
        </w:rPr>
      </w:pPr>
      <w:r w:rsidRPr="00767A96">
        <w:rPr>
          <w:rFonts w:ascii="Palatino Linotype" w:eastAsia="Calibri" w:hAnsi="Palatino Linotype" w:cs="Tahoma"/>
        </w:rPr>
        <w:t>De acuerdo con lo expuesto, emito el presente</w:t>
      </w:r>
      <w:r>
        <w:rPr>
          <w:rFonts w:ascii="Palatino Linotype" w:eastAsia="Calibri" w:hAnsi="Palatino Linotype" w:cs="Tahoma"/>
        </w:rPr>
        <w:t xml:space="preserve"> </w:t>
      </w:r>
      <w:r w:rsidRPr="00767A96">
        <w:rPr>
          <w:rFonts w:ascii="Palatino Linotype" w:eastAsia="Calibri" w:hAnsi="Palatino Linotype" w:cs="Tahoma"/>
          <w:b/>
        </w:rPr>
        <w:t xml:space="preserve">por </w:t>
      </w:r>
      <w:r>
        <w:rPr>
          <w:rFonts w:ascii="Palatino Linotype" w:eastAsia="Calibri" w:hAnsi="Palatino Linotype" w:cs="Tahoma"/>
          <w:b/>
        </w:rPr>
        <w:t>dos</w:t>
      </w:r>
      <w:r w:rsidRPr="00767A96">
        <w:rPr>
          <w:rFonts w:ascii="Palatino Linotype" w:eastAsia="Calibri" w:hAnsi="Palatino Linotype" w:cs="Tahoma"/>
          <w:b/>
        </w:rPr>
        <w:t xml:space="preserve"> razones</w:t>
      </w:r>
      <w:r>
        <w:rPr>
          <w:rFonts w:ascii="Palatino Linotype" w:eastAsia="Calibri" w:hAnsi="Palatino Linotype" w:cs="Tahoma"/>
          <w:b/>
        </w:rPr>
        <w:t>,</w:t>
      </w:r>
      <w:r w:rsidRPr="00767A96">
        <w:rPr>
          <w:rFonts w:ascii="Palatino Linotype" w:eastAsia="Calibri" w:hAnsi="Palatino Linotype" w:cs="Tahoma"/>
        </w:rPr>
        <w:t xml:space="preserve"> la primera de ellas es en virtud de que considero se debió realizar un estudio de la clasificación de información en donde se funde y motive la causal de reserva específica que se actualiza del artículo 140 de la Ley de Transparencia y Acceso a la Información Pública del Estado de México y Municipios. </w:t>
      </w:r>
      <w:r w:rsidRPr="00863B1B">
        <w:rPr>
          <w:rFonts w:ascii="Palatino Linotype" w:eastAsia="Calibri" w:hAnsi="Palatino Linotype" w:cs="Tahoma"/>
        </w:rPr>
        <w:t>Lo anterior, ya que la información reservada, es aquella que cuando, de manera excepcional y por razones de interés público, su publicidad puede causar un daño al interés jurídico tutelado por la Ley, en el que se debe especificar alguno de los supuestos establecidos en el artículo mencionado y con ello especificar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7DBEC5E6" w14:textId="77777777" w:rsidR="00C758F7" w:rsidRPr="00863B1B" w:rsidRDefault="00C758F7" w:rsidP="00C758F7">
      <w:pPr>
        <w:spacing w:after="0" w:line="360" w:lineRule="auto"/>
        <w:contextualSpacing/>
        <w:jc w:val="both"/>
        <w:rPr>
          <w:rFonts w:ascii="Palatino Linotype" w:eastAsia="Calibri" w:hAnsi="Palatino Linotype" w:cs="Tahoma"/>
        </w:rPr>
      </w:pPr>
    </w:p>
    <w:p w14:paraId="1ABAF74D" w14:textId="77777777" w:rsidR="00C758F7" w:rsidRPr="00863B1B" w:rsidRDefault="00C758F7" w:rsidP="00C758F7">
      <w:pPr>
        <w:spacing w:after="0" w:line="360" w:lineRule="auto"/>
        <w:contextualSpacing/>
        <w:jc w:val="both"/>
        <w:rPr>
          <w:rFonts w:ascii="Palatino Linotype" w:eastAsia="Calibri" w:hAnsi="Palatino Linotype" w:cs="Tahoma"/>
        </w:rPr>
      </w:pPr>
      <w:r w:rsidRPr="00863B1B">
        <w:rPr>
          <w:rFonts w:ascii="Palatino Linotype" w:eastAsia="Calibri" w:hAnsi="Palatino Linotype" w:cs="Tahoma"/>
        </w:rPr>
        <w:t xml:space="preserve">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fundamentación incorrecta y por lo tanto una errónea clasificación de la información. 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w:t>
      </w:r>
      <w:r w:rsidRPr="00863B1B">
        <w:rPr>
          <w:rFonts w:ascii="Palatino Linotype" w:eastAsia="Calibri" w:hAnsi="Palatino Linotype" w:cs="Tahoma"/>
        </w:rPr>
        <w:lastRenderedPageBreak/>
        <w:t>correspondiente del artículo 140 de la Ley de Transparencia y Acceso a la Información Pública del Estado de México y Municipios, por lo tanto, se debe especificar la fracción que corresponda.</w:t>
      </w:r>
    </w:p>
    <w:p w14:paraId="11AE0A6F" w14:textId="77777777" w:rsidR="00C758F7" w:rsidRPr="00863B1B" w:rsidRDefault="00C758F7" w:rsidP="00C758F7">
      <w:pPr>
        <w:spacing w:after="0" w:line="360" w:lineRule="auto"/>
        <w:contextualSpacing/>
        <w:jc w:val="both"/>
        <w:rPr>
          <w:rFonts w:ascii="Palatino Linotype" w:eastAsia="Calibri" w:hAnsi="Palatino Linotype" w:cs="Tahoma"/>
        </w:rPr>
      </w:pPr>
    </w:p>
    <w:p w14:paraId="5CD30669" w14:textId="77777777" w:rsidR="00C758F7" w:rsidRPr="00863B1B" w:rsidRDefault="00C758F7" w:rsidP="00C758F7">
      <w:pPr>
        <w:spacing w:after="0" w:line="360" w:lineRule="auto"/>
        <w:contextualSpacing/>
        <w:jc w:val="both"/>
        <w:rPr>
          <w:rFonts w:ascii="Palatino Linotype" w:eastAsia="Calibri" w:hAnsi="Palatino Linotype" w:cs="Tahoma"/>
        </w:rPr>
      </w:pPr>
      <w:r w:rsidRPr="00863B1B">
        <w:rPr>
          <w:rFonts w:ascii="Palatino Linotype" w:eastAsia="Calibri"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 y en qué términos.</w:t>
      </w:r>
    </w:p>
    <w:p w14:paraId="26A9CBEE" w14:textId="77777777" w:rsidR="00C758F7" w:rsidRPr="00863B1B" w:rsidRDefault="00C758F7" w:rsidP="00C758F7">
      <w:pPr>
        <w:spacing w:after="0" w:line="360" w:lineRule="auto"/>
        <w:jc w:val="both"/>
        <w:rPr>
          <w:rFonts w:ascii="Palatino Linotype" w:hAnsi="Palatino Linotype" w:cs="Tahoma"/>
        </w:rPr>
      </w:pPr>
    </w:p>
    <w:p w14:paraId="5B011E82" w14:textId="77777777" w:rsidR="00C758F7" w:rsidRPr="00863B1B" w:rsidRDefault="00C758F7" w:rsidP="00C758F7">
      <w:pPr>
        <w:spacing w:after="0" w:line="360" w:lineRule="auto"/>
        <w:jc w:val="both"/>
        <w:rPr>
          <w:rFonts w:ascii="Palatino Linotype" w:hAnsi="Palatino Linotype" w:cs="Tahoma"/>
        </w:rPr>
      </w:pPr>
      <w:r w:rsidRPr="00863B1B">
        <w:rPr>
          <w:rFonts w:ascii="Palatino Linotype" w:hAnsi="Palatino Linotype" w:cs="Tahoma"/>
        </w:rPr>
        <w:t xml:space="preserve">Es importante hacer notar que para estar en condiciones de confirmar o revocar la clasificación a través del procedimiento señalado en los artículos antes citados, es necesario confirmar el estado que guarda el expediente solicitado, motivo por el cual es únicamente en el punto de la reserva de la información en donde difiero, en virtud de que el análisis del proyecto debió incluir de qué manera en el caso específico se cumplía con todas las disposiciones de la Ley de Transparencia y Acceso a la Información Pública del Estado de México y Municipios y así plasmarlo en la Resolución. Abona a lo expuesto, lo resuelto por el Instituto Nacional de Transparencia, Acceso a la Información Pública y Protección de Datos Personales, en los Recursos de Inconformidad con número </w:t>
      </w:r>
      <w:r w:rsidRPr="00863B1B">
        <w:rPr>
          <w:rFonts w:ascii="Palatino Linotype" w:hAnsi="Palatino Linotype" w:cs="Tahoma"/>
          <w:b/>
          <w:bCs/>
        </w:rPr>
        <w:t xml:space="preserve">RIA 0118/18, RIA 0124/19 </w:t>
      </w:r>
      <w:r w:rsidRPr="00863B1B">
        <w:rPr>
          <w:rFonts w:ascii="Palatino Linotype" w:hAnsi="Palatino Linotype" w:cs="Tahoma"/>
          <w:b/>
        </w:rPr>
        <w:t>y</w:t>
      </w:r>
      <w:r w:rsidRPr="00863B1B">
        <w:rPr>
          <w:rFonts w:ascii="Palatino Linotype" w:hAnsi="Palatino Linotype" w:cs="Tahoma"/>
          <w:b/>
          <w:bCs/>
        </w:rPr>
        <w:t xml:space="preserve"> RIA 0118/19</w:t>
      </w:r>
      <w:r w:rsidRPr="00863B1B">
        <w:rPr>
          <w:rFonts w:ascii="Palatino Linotype" w:hAnsi="Palatino Linotype" w:cs="Tahoma"/>
          <w:b/>
        </w:rPr>
        <w:t xml:space="preserve">, </w:t>
      </w:r>
      <w:r w:rsidRPr="00863B1B">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54FC5224" w14:textId="77777777" w:rsidR="00C758F7" w:rsidRPr="00863B1B" w:rsidRDefault="00C758F7" w:rsidP="00C758F7">
      <w:pPr>
        <w:spacing w:after="0" w:line="360" w:lineRule="auto"/>
        <w:jc w:val="both"/>
        <w:rPr>
          <w:rFonts w:ascii="Palatino Linotype" w:hAnsi="Palatino Linotype" w:cs="Tahoma"/>
        </w:rPr>
      </w:pPr>
    </w:p>
    <w:p w14:paraId="6EE82503" w14:textId="77777777" w:rsidR="00C758F7" w:rsidRPr="00863B1B" w:rsidRDefault="00C758F7" w:rsidP="00C758F7">
      <w:pPr>
        <w:spacing w:after="0" w:line="360" w:lineRule="auto"/>
        <w:jc w:val="both"/>
        <w:rPr>
          <w:rFonts w:ascii="Palatino Linotype" w:hAnsi="Palatino Linotype" w:cs="Tahoma"/>
        </w:rPr>
      </w:pPr>
      <w:r w:rsidRPr="00863B1B">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de la información, además de analizar si el periodo de clasificación resulta acorde con la naturaleza de la información requerida. En otras palabras, la determinación de la existencia </w:t>
      </w:r>
      <w:r w:rsidRPr="00863B1B">
        <w:rPr>
          <w:rFonts w:ascii="Palatino Linotype" w:hAnsi="Palatino Linotype" w:cs="Tahoma"/>
        </w:rPr>
        <w:lastRenderedPageBreak/>
        <w:t>de información clasificada,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5AE0E08B" w14:textId="77777777" w:rsidR="00C758F7" w:rsidRPr="00863B1B" w:rsidRDefault="00C758F7" w:rsidP="00C758F7">
      <w:pPr>
        <w:spacing w:after="0" w:line="360" w:lineRule="auto"/>
        <w:jc w:val="both"/>
        <w:rPr>
          <w:rFonts w:ascii="Palatino Linotype" w:hAnsi="Palatino Linotype" w:cs="Tahoma"/>
        </w:rPr>
      </w:pPr>
    </w:p>
    <w:p w14:paraId="00132977" w14:textId="7F667368" w:rsidR="00C758F7" w:rsidRPr="00863B1B" w:rsidRDefault="00C758F7" w:rsidP="00C758F7">
      <w:pPr>
        <w:spacing w:after="0" w:line="360" w:lineRule="auto"/>
        <w:jc w:val="both"/>
        <w:rPr>
          <w:rFonts w:ascii="Palatino Linotype" w:hAnsi="Palatino Linotype" w:cs="Tahoma"/>
        </w:rPr>
      </w:pPr>
      <w:r w:rsidRPr="00863B1B">
        <w:rPr>
          <w:rFonts w:ascii="Palatino Linotype" w:hAnsi="Palatino Linotype" w:cs="Tahoma"/>
        </w:rPr>
        <w:t>Bajo esa lógica, estimo que en el presente caso, si bien del estudio realizado por la Ponencia Resolutora se puede desprender que la información actualiza la causal de reserva establecida en el artículo 140,</w:t>
      </w:r>
      <w:r>
        <w:rPr>
          <w:rFonts w:ascii="Palatino Linotype" w:hAnsi="Palatino Linotype" w:cs="Tahoma"/>
        </w:rPr>
        <w:t xml:space="preserve"> fracción VI, </w:t>
      </w:r>
      <w:r w:rsidRPr="00863B1B">
        <w:rPr>
          <w:rFonts w:ascii="Palatino Linotype" w:hAnsi="Palatino Linotype" w:cs="Tahoma"/>
        </w:rPr>
        <w:t xml:space="preserve">de la Ley de Transparencia y Acceso a la Información Pública del Estado de México y Municipios, </w:t>
      </w:r>
      <w:r>
        <w:rPr>
          <w:rFonts w:ascii="Palatino Linotype" w:hAnsi="Palatino Linotype" w:cs="Tahoma"/>
        </w:rPr>
        <w:t xml:space="preserve">como se estableció en la resolución en comento, </w:t>
      </w:r>
      <w:r w:rsidRPr="00863B1B">
        <w:rPr>
          <w:rFonts w:ascii="Palatino Linotype" w:hAnsi="Palatino Linotype" w:cs="Tahoma"/>
        </w:rPr>
        <w:t xml:space="preserve">para convalidar la clasificación como información reservada, se debió efectuar el estudio de clasificación a la luz de los elementos que exigen los Lineamientos generales en materia de clasificación y desclasificación de la información, así como para la elaboración de versiones públicas. </w:t>
      </w:r>
    </w:p>
    <w:p w14:paraId="7A2A5C18" w14:textId="77777777" w:rsidR="00C758F7" w:rsidRPr="00863B1B" w:rsidRDefault="00C758F7" w:rsidP="00C758F7">
      <w:pPr>
        <w:spacing w:after="0" w:line="360" w:lineRule="auto"/>
        <w:jc w:val="both"/>
        <w:rPr>
          <w:rFonts w:ascii="Palatino Linotype" w:hAnsi="Palatino Linotype" w:cs="Tahoma"/>
        </w:rPr>
      </w:pPr>
    </w:p>
    <w:p w14:paraId="461C08D2" w14:textId="77777777" w:rsidR="00C758F7" w:rsidRPr="00863B1B" w:rsidRDefault="00C758F7" w:rsidP="00C758F7">
      <w:pPr>
        <w:spacing w:after="0" w:line="360" w:lineRule="auto"/>
        <w:jc w:val="both"/>
        <w:rPr>
          <w:rFonts w:ascii="Palatino Linotype" w:hAnsi="Palatino Linotype" w:cs="Tahoma"/>
        </w:rPr>
      </w:pPr>
      <w:r w:rsidRPr="00863B1B">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3C8B2A65" w14:textId="77777777" w:rsidR="00C758F7" w:rsidRPr="00863B1B" w:rsidRDefault="00C758F7" w:rsidP="00C758F7">
      <w:pPr>
        <w:spacing w:after="0" w:line="360" w:lineRule="auto"/>
        <w:jc w:val="both"/>
        <w:rPr>
          <w:rFonts w:ascii="Palatino Linotype" w:hAnsi="Palatino Linotype" w:cs="Tahoma"/>
        </w:rPr>
      </w:pPr>
    </w:p>
    <w:p w14:paraId="41E630D2" w14:textId="77777777" w:rsidR="00C758F7" w:rsidRPr="00274A5F" w:rsidRDefault="00C758F7" w:rsidP="00C758F7">
      <w:pPr>
        <w:spacing w:after="0" w:line="360" w:lineRule="auto"/>
        <w:jc w:val="both"/>
        <w:rPr>
          <w:rFonts w:ascii="Palatino Linotype" w:hAnsi="Palatino Linotype" w:cs="Tahoma"/>
        </w:rPr>
      </w:pPr>
      <w:r w:rsidRPr="00863B1B">
        <w:rPr>
          <w:rFonts w:ascii="Palatino Linotype" w:hAnsi="Palatino Linotype" w:cs="Tahoma"/>
        </w:rPr>
        <w:t>Por lo tanto, mi postura es a favor de efectuar un análisis exhaustivo en todos aquellos casos que restrinjan el derecho de acceso a la información, como es la figura de la clasificación, para verificar que se acredita alguna de las fracciones correspondientes del artículo 140 de la Ley de la materia, así como la prueba de daño y no sólo indicar que se deba entregar el Acuerdo de Clasificación.</w:t>
      </w:r>
    </w:p>
    <w:p w14:paraId="36EBB0BF" w14:textId="77777777" w:rsidR="00C758F7" w:rsidRPr="00274A5F" w:rsidRDefault="00C758F7" w:rsidP="00C758F7">
      <w:pPr>
        <w:spacing w:after="0" w:line="360" w:lineRule="auto"/>
        <w:jc w:val="both"/>
        <w:rPr>
          <w:rFonts w:ascii="Palatino Linotype" w:hAnsi="Palatino Linotype" w:cs="Tahoma"/>
        </w:rPr>
      </w:pPr>
    </w:p>
    <w:p w14:paraId="0AE85BAB" w14:textId="2DE7B8C4" w:rsidR="00C758F7" w:rsidRPr="00C6130E" w:rsidRDefault="00C758F7" w:rsidP="00C758F7">
      <w:pPr>
        <w:spacing w:after="0" w:line="360" w:lineRule="auto"/>
        <w:contextualSpacing/>
        <w:jc w:val="both"/>
        <w:rPr>
          <w:rFonts w:ascii="Palatino Linotype" w:eastAsia="Calibri" w:hAnsi="Palatino Linotype" w:cs="Tahoma"/>
        </w:rPr>
      </w:pPr>
      <w:r>
        <w:rPr>
          <w:rFonts w:ascii="Palatino Linotype" w:hAnsi="Palatino Linotype" w:cs="Tahoma"/>
        </w:rPr>
        <w:lastRenderedPageBreak/>
        <w:t>Finalmente en</w:t>
      </w:r>
      <w:r w:rsidRPr="00863B1B">
        <w:rPr>
          <w:rFonts w:ascii="Palatino Linotype" w:hAnsi="Palatino Linotype" w:cs="Tahoma"/>
          <w:b/>
        </w:rPr>
        <w:t xml:space="preserve"> segundo lugar,</w:t>
      </w:r>
      <w:r w:rsidRPr="00C07ABB">
        <w:rPr>
          <w:rFonts w:ascii="Palatino Linotype" w:hAnsi="Palatino Linotype" w:cs="Arial"/>
        </w:rPr>
        <w:t xml:space="preserve"> </w:t>
      </w:r>
      <w:r>
        <w:rPr>
          <w:rFonts w:ascii="Palatino Linotype" w:hAnsi="Palatino Linotype" w:cs="Tahoma"/>
        </w:rPr>
        <w:t xml:space="preserve">respecto a la reserva de nombres de servidores públicos absueltos de responsabilidad administrativa, </w:t>
      </w:r>
      <w:r w:rsidRPr="00C6130E">
        <w:rPr>
          <w:rFonts w:ascii="Palatino Linotype" w:eastAsia="Calibri" w:hAnsi="Palatino Linotype" w:cs="Tahoma"/>
        </w:rPr>
        <w:t>en virtud de que considero que el nombre del servidor público que fue investigado y absuelto de una falta grave debe ser público ya que se trata de denuncias concluidas por falta de elementos en donde la conducta investigada no fue contraria en derecho; por lo que, entregar su nombre,  daría a conocer que las conductas que se le atribuían, no le eran imputables, lo cual permitiría la rendición de cuentas de este, pues se podría observar, que dicho trabajador, ha cumplido con sus obligaciones, no ha cometido actos irregulares y ha actuado conforme a las normatividad aplicable.</w:t>
      </w:r>
    </w:p>
    <w:p w14:paraId="0F115F27" w14:textId="77777777" w:rsidR="00C758F7" w:rsidRPr="00C6130E" w:rsidRDefault="00C758F7" w:rsidP="00C758F7">
      <w:pPr>
        <w:spacing w:after="0" w:line="360" w:lineRule="auto"/>
        <w:contextualSpacing/>
        <w:jc w:val="both"/>
        <w:rPr>
          <w:rFonts w:ascii="Palatino Linotype" w:eastAsia="Calibri" w:hAnsi="Palatino Linotype" w:cs="Tahoma"/>
        </w:rPr>
      </w:pPr>
    </w:p>
    <w:p w14:paraId="287C1F34" w14:textId="77777777" w:rsidR="00C758F7" w:rsidRPr="00C6130E" w:rsidRDefault="00C758F7" w:rsidP="00C758F7">
      <w:pPr>
        <w:spacing w:after="0" w:line="360" w:lineRule="auto"/>
        <w:contextualSpacing/>
        <w:jc w:val="both"/>
        <w:rPr>
          <w:rFonts w:ascii="Palatino Linotype" w:eastAsia="Calibri" w:hAnsi="Palatino Linotype" w:cs="Tahoma"/>
        </w:rPr>
      </w:pPr>
      <w:r w:rsidRPr="00C6130E">
        <w:rPr>
          <w:rFonts w:ascii="Palatino Linotype" w:eastAsia="Calibri" w:hAnsi="Palatino Linotype" w:cs="Tahoma"/>
        </w:rPr>
        <w:t>Además, proporcionar su nombre, no generaría una afectación a su honor, intimidad o buena imagen, pues contrario a esto, a través de las denuncias, es posible conocer que los motivos señalados en estas, no fueron comprobadas y que el servidor público ha ejercido su cargo, de manera honesta, responsable y conforme a lo establecido en las diversas disposiciones, por lo que no implicaría una vulneración a su honor o intimidad, ya que dichos procedimientos suponen la falta de elementos para sancionarlo.</w:t>
      </w:r>
    </w:p>
    <w:p w14:paraId="3CC5E508" w14:textId="77777777" w:rsidR="00C758F7" w:rsidRPr="00C6130E" w:rsidRDefault="00C758F7" w:rsidP="00C758F7">
      <w:pPr>
        <w:spacing w:after="0" w:line="360" w:lineRule="auto"/>
        <w:contextualSpacing/>
        <w:jc w:val="both"/>
        <w:rPr>
          <w:rFonts w:ascii="Palatino Linotype" w:eastAsia="Calibri" w:hAnsi="Palatino Linotype" w:cs="Tahoma"/>
        </w:rPr>
      </w:pPr>
    </w:p>
    <w:p w14:paraId="0EF04744" w14:textId="77777777" w:rsidR="00C758F7" w:rsidRPr="00C6130E" w:rsidRDefault="00C758F7" w:rsidP="00C758F7">
      <w:pPr>
        <w:spacing w:after="0" w:line="360" w:lineRule="auto"/>
        <w:contextualSpacing/>
        <w:jc w:val="both"/>
        <w:rPr>
          <w:rFonts w:ascii="Palatino Linotype" w:eastAsia="Calibri" w:hAnsi="Palatino Linotype" w:cs="Tahoma"/>
        </w:rPr>
      </w:pPr>
      <w:r w:rsidRPr="00C6130E">
        <w:rPr>
          <w:rFonts w:ascii="Palatino Linotype" w:eastAsia="Calibri" w:hAnsi="Palatino Linotype" w:cs="Tahoma"/>
        </w:rPr>
        <w:t xml:space="preserve">Igualmente, debe traerse a colación la jurisprudencia con el rubro </w:t>
      </w:r>
      <w:r w:rsidRPr="00C6130E">
        <w:rPr>
          <w:rFonts w:ascii="Palatino Linotype" w:eastAsia="Calibri" w:hAnsi="Palatino Linotype" w:cs="Tahoma"/>
          <w:b/>
          <w:i/>
        </w:rPr>
        <w:t>“LIBERTAD DE EXPRESIÓN Y DERECHO AL HONOR. EXPRESIONES QUE SE ENCUENTRAN PROTEGIDAS CONSTITUCIONALMENTE”</w:t>
      </w:r>
      <w:r w:rsidRPr="00C6130E">
        <w:rPr>
          <w:rFonts w:ascii="Palatino Linotype" w:eastAsia="Calibri" w:hAnsi="Palatino Linotype" w:cs="Tahoma"/>
        </w:rPr>
        <w:t xml:space="preserve">, de la que se desprende que la Suprema Corte de Justicia de la Nación, considera que existe una presunción general de cobertura constitucional de todo discurso expresivo cuando las ideas expresadas tienen por objeto exteriorizar un sentir positivo o favorable hacia una persona, por lo que resulta indiscutible que no habría una intromisión al derecho al honor de la persona sobre la cual se vierten ideas u opiniones cuando son de esa naturaleza. Asimismo, prevé que el estándar de constitucionalidad de las opiniones emitidas en ejercicio de la libertad de expresión es el de </w:t>
      </w:r>
      <w:r w:rsidRPr="00C6130E">
        <w:rPr>
          <w:rFonts w:ascii="Palatino Linotype" w:eastAsia="Calibri" w:hAnsi="Palatino Linotype" w:cs="Tahoma"/>
        </w:rPr>
        <w:lastRenderedPageBreak/>
        <w:t>relevancia pública, el cual depende del interés general por la materia y por las personas que en ella intervienen, cuando las noticias comunicadas o las expresiones proferidas redunden en descrédito del afectado, pues en caso contrario ni siquiera existiría un conflicto entre derechos fundamentales, al no observarse una intromisión al derecho al honor.</w:t>
      </w:r>
    </w:p>
    <w:p w14:paraId="32EAA9A3" w14:textId="77777777" w:rsidR="00C758F7" w:rsidRPr="00C6130E" w:rsidRDefault="00C758F7" w:rsidP="00C758F7">
      <w:pPr>
        <w:spacing w:after="0" w:line="360" w:lineRule="auto"/>
        <w:contextualSpacing/>
        <w:jc w:val="both"/>
        <w:rPr>
          <w:rFonts w:ascii="Palatino Linotype" w:eastAsia="Calibri" w:hAnsi="Palatino Linotype" w:cs="Tahoma"/>
        </w:rPr>
      </w:pPr>
    </w:p>
    <w:p w14:paraId="6F7A92F3" w14:textId="77777777" w:rsidR="00C758F7" w:rsidRPr="00C6130E" w:rsidRDefault="00C758F7" w:rsidP="00C758F7">
      <w:pPr>
        <w:spacing w:after="0" w:line="360" w:lineRule="auto"/>
        <w:contextualSpacing/>
        <w:jc w:val="both"/>
        <w:rPr>
          <w:rFonts w:ascii="Palatino Linotype" w:eastAsia="Calibri" w:hAnsi="Palatino Linotype" w:cs="Tahoma"/>
        </w:rPr>
      </w:pPr>
      <w:r w:rsidRPr="00C6130E">
        <w:rPr>
          <w:rFonts w:ascii="Palatino Linotype" w:eastAsia="Calibri" w:hAnsi="Palatino Linotype" w:cs="Tahoma"/>
        </w:rPr>
        <w:t>Si bien el caso que nos ocupa se refiere a un asunto de acceso a la información y no de libertad de expresión, es aplicable la tesis por analogía, en tanto que dar a conocer que existieron denuncias en contra de determinado servidor público en los que se determinó que no se actualizaba alguna responsabilidad, no representa un dato negativo o desfavorable que lo desacredite, lo cual es uno de los requisitos necesarios para que pueda considerarse que existe una intromisión al derecho al honor de una persona.</w:t>
      </w:r>
    </w:p>
    <w:p w14:paraId="4C647215" w14:textId="77777777" w:rsidR="00C758F7" w:rsidRPr="00C6130E" w:rsidRDefault="00C758F7" w:rsidP="00C758F7">
      <w:pPr>
        <w:spacing w:after="0" w:line="360" w:lineRule="auto"/>
        <w:contextualSpacing/>
        <w:jc w:val="both"/>
        <w:rPr>
          <w:rFonts w:ascii="Palatino Linotype" w:eastAsia="Calibri" w:hAnsi="Palatino Linotype" w:cs="Tahoma"/>
        </w:rPr>
      </w:pPr>
    </w:p>
    <w:p w14:paraId="44796892" w14:textId="77777777" w:rsidR="00C758F7" w:rsidRPr="00C6130E" w:rsidRDefault="00C758F7" w:rsidP="00C758F7">
      <w:pPr>
        <w:spacing w:after="0" w:line="360" w:lineRule="auto"/>
        <w:contextualSpacing/>
        <w:jc w:val="both"/>
        <w:rPr>
          <w:rFonts w:ascii="Palatino Linotype" w:eastAsia="Calibri" w:hAnsi="Palatino Linotype" w:cs="Tahoma"/>
        </w:rPr>
      </w:pPr>
      <w:r w:rsidRPr="00C6130E">
        <w:rPr>
          <w:rFonts w:ascii="Palatino Linotype" w:eastAsia="Calibri" w:hAnsi="Palatino Linotype" w:cs="Tahoma"/>
        </w:rPr>
        <w:t xml:space="preserve">Por otro lado, en la tesis aislada con el rubro </w:t>
      </w:r>
      <w:r w:rsidRPr="00C6130E">
        <w:rPr>
          <w:rFonts w:ascii="Palatino Linotype" w:eastAsia="Calibri" w:hAnsi="Palatino Linotype" w:cs="Tahoma"/>
          <w:b/>
          <w:i/>
        </w:rPr>
        <w:t>“DERECHO A SER INFORMADO Y DERECHO AL HONOR. ESTÁNDAR PARA DETERMINAR SU PREVALENCIA</w:t>
      </w:r>
      <w:r w:rsidRPr="00C6130E">
        <w:rPr>
          <w:rFonts w:ascii="Palatino Linotype" w:eastAsia="Calibri" w:hAnsi="Palatino Linotype" w:cs="Tahoma"/>
        </w:rPr>
        <w:t>”, la Suprema Corte de Justicia de la Nación ha señalado que el derecho a la información no es absoluto, pues si bien el Estado tiene la obligación de informar a la población sobre temas de relevancia pública, también debe proteger y garantizar el derecho al honor a la reputación de las personas; por lo que, para que la autoridad pueda difundir ciertos datos, debe cerciorarse que los mismos sean de relevancia pública o interés general, o bien, versen sobre personas con un impacto público o social. Además, la información debe constituir una certera aproximación a la realidad, lo cual puede derivar de que la autoridad emisora de la información la obtenga de investigaciones, informes o estadísticas propios o de otras autoridades, así como, de hechos notorios para la sociedad. Finalmente, debe carecer de toda intervención de juicios o valoraciones subjetivas que no tengan como fin informar a la sociedad, sino que pretendan establecer una postura, opinión o crítica hacia la persona.</w:t>
      </w:r>
    </w:p>
    <w:p w14:paraId="00AD73D2" w14:textId="77777777" w:rsidR="00C758F7" w:rsidRPr="00C6130E" w:rsidRDefault="00C758F7" w:rsidP="00C758F7">
      <w:pPr>
        <w:spacing w:after="0" w:line="360" w:lineRule="auto"/>
        <w:contextualSpacing/>
        <w:jc w:val="both"/>
        <w:rPr>
          <w:rFonts w:ascii="Palatino Linotype" w:eastAsia="Calibri" w:hAnsi="Palatino Linotype" w:cs="Tahoma"/>
        </w:rPr>
      </w:pPr>
    </w:p>
    <w:p w14:paraId="1940FD68" w14:textId="77777777" w:rsidR="00C758F7" w:rsidRDefault="00C758F7" w:rsidP="00C758F7">
      <w:pPr>
        <w:spacing w:after="0" w:line="360" w:lineRule="auto"/>
        <w:contextualSpacing/>
        <w:jc w:val="both"/>
        <w:rPr>
          <w:rFonts w:ascii="Palatino Linotype" w:eastAsia="Calibri" w:hAnsi="Palatino Linotype" w:cs="Tahoma"/>
        </w:rPr>
      </w:pPr>
      <w:r w:rsidRPr="00C6130E">
        <w:rPr>
          <w:rFonts w:ascii="Palatino Linotype" w:eastAsia="Calibri" w:hAnsi="Palatino Linotype" w:cs="Tahoma"/>
        </w:rPr>
        <w:lastRenderedPageBreak/>
        <w:t>Así, la información, trata sobre las actuaciones realizadas por un servidor público en ejercicio de sus funciones, las cuales no derivaron en alguna responsabilidad, además que transparenta la gestión pública y la rendición de cuentas de este, pues da a conocer que se ha conducido conforme a Derecho, es decir, de conformidad a sus objetivos, atribuciones y obligaciones.</w:t>
      </w:r>
    </w:p>
    <w:p w14:paraId="6D464882" w14:textId="77777777" w:rsidR="00C758F7" w:rsidRPr="00C6130E" w:rsidRDefault="00C758F7" w:rsidP="00C758F7">
      <w:pPr>
        <w:spacing w:after="0" w:line="360" w:lineRule="auto"/>
        <w:contextualSpacing/>
        <w:jc w:val="both"/>
        <w:rPr>
          <w:rFonts w:ascii="Palatino Linotype" w:eastAsia="Calibri" w:hAnsi="Palatino Linotype" w:cs="Tahoma"/>
        </w:rPr>
      </w:pPr>
    </w:p>
    <w:p w14:paraId="3C58A4BE" w14:textId="77777777" w:rsidR="00C758F7" w:rsidRPr="00C6130E" w:rsidRDefault="00C758F7" w:rsidP="00C758F7">
      <w:pPr>
        <w:spacing w:after="0" w:line="360" w:lineRule="auto"/>
        <w:contextualSpacing/>
        <w:jc w:val="both"/>
        <w:rPr>
          <w:rFonts w:ascii="Palatino Linotype" w:eastAsia="Calibri" w:hAnsi="Palatino Linotype" w:cs="Tahoma"/>
        </w:rPr>
      </w:pPr>
      <w:r w:rsidRPr="00C6130E">
        <w:rPr>
          <w:rFonts w:ascii="Palatino Linotype" w:eastAsia="Calibri" w:hAnsi="Palatino Linotype" w:cs="Tahoma"/>
        </w:rPr>
        <w:t>Por lo señalado, dar a conocer el nombre del servidor públicos en las denuncias, no actualiza la causal de clasificación prevista en el artículo 143, fracción I de la Ley de Transparencia y Acceso a la Información Pública del Estado de México y Municipios, pues como se precisó dicha información no afecta, su intimidad, honor y buen nombre.</w:t>
      </w:r>
    </w:p>
    <w:p w14:paraId="2FB4D27C" w14:textId="77777777" w:rsidR="00C758F7" w:rsidRPr="00C6130E" w:rsidRDefault="00C758F7" w:rsidP="00C758F7">
      <w:pPr>
        <w:spacing w:after="0" w:line="360" w:lineRule="auto"/>
        <w:contextualSpacing/>
        <w:jc w:val="both"/>
        <w:rPr>
          <w:rFonts w:ascii="Palatino Linotype" w:eastAsia="Calibri" w:hAnsi="Palatino Linotype" w:cs="Tahoma"/>
        </w:rPr>
      </w:pPr>
    </w:p>
    <w:p w14:paraId="46FBA122" w14:textId="77777777" w:rsidR="00C758F7" w:rsidRPr="00C6130E" w:rsidRDefault="00C758F7" w:rsidP="00C758F7">
      <w:pPr>
        <w:spacing w:line="360" w:lineRule="auto"/>
        <w:ind w:right="-93"/>
        <w:contextualSpacing/>
        <w:jc w:val="both"/>
        <w:rPr>
          <w:rFonts w:ascii="Palatino Linotype" w:eastAsia="Calibri" w:hAnsi="Palatino Linotype" w:cs="Tahoma"/>
          <w:bCs/>
        </w:rPr>
      </w:pPr>
      <w:r w:rsidRPr="00C6130E">
        <w:rPr>
          <w:rFonts w:ascii="Palatino Linotype" w:eastAsia="Calibri" w:hAnsi="Palatino Linotype" w:cs="Tahoma"/>
          <w:bCs/>
        </w:rPr>
        <w:t xml:space="preserve">Aunado a lo anterior, por cuanto hace a la colisión entre el derecho a la información y el derecho a la intimidad o a la vida privada, el Poder Judicial de la Federación ha sostenido la </w:t>
      </w:r>
      <w:r w:rsidRPr="00C6130E">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C6130E">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3E617722" w14:textId="77777777" w:rsidR="00C758F7" w:rsidRPr="00C6130E" w:rsidRDefault="00C758F7" w:rsidP="00C758F7">
      <w:pPr>
        <w:spacing w:line="360" w:lineRule="auto"/>
        <w:contextualSpacing/>
        <w:rPr>
          <w:rFonts w:ascii="Palatino Linotype" w:eastAsia="Calibri" w:hAnsi="Palatino Linotype" w:cs="Tahoma"/>
          <w:bCs/>
        </w:rPr>
      </w:pPr>
    </w:p>
    <w:p w14:paraId="09E8159D" w14:textId="40A9FBB4"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6130E">
        <w:rPr>
          <w:rFonts w:ascii="Palatino Linotype" w:eastAsia="Calibri" w:hAnsi="Palatino Linotype" w:cs="Tahoma"/>
          <w:bCs/>
        </w:rPr>
        <w:t>En ese mismo sentido y atendiendo a la naturaleza del derecho a la protección de datos personales, por analogía, este debe ceder cuando exista un interés público mayor de acuerdo a las circunstancias del caso.</w:t>
      </w:r>
      <w:r w:rsidRPr="00C6130E">
        <w:rPr>
          <w:rFonts w:ascii="Palatino Linotype" w:eastAsia="Calibri" w:hAnsi="Palatino Linotype" w:cs="Tahoma"/>
          <w:bCs/>
          <w:iCs/>
        </w:rPr>
        <w:t xml:space="preserve"> Señalado lo anterior, resulta necesario realizar una ponderación de los dos intereses jurídicos tutelados que convergen en la controversia que se dirime; para </w:t>
      </w:r>
      <w:r w:rsidRPr="00C6130E">
        <w:rPr>
          <w:rFonts w:ascii="Palatino Linotype" w:eastAsia="Calibri" w:hAnsi="Palatino Linotype" w:cs="Tahoma"/>
          <w:bCs/>
          <w:iCs/>
        </w:rPr>
        <w:lastRenderedPageBreak/>
        <w:t xml:space="preserve">lo cual, el artículo </w:t>
      </w:r>
      <w:r w:rsidRPr="00C6130E">
        <w:rPr>
          <w:rFonts w:ascii="Palatino Linotype" w:eastAsia="Calibri" w:hAnsi="Palatino Linotype" w:cs="Tahoma"/>
          <w:bCs/>
        </w:rPr>
        <w:t>184 de la Ley de Transparencia y Acceso a la Información Pública del Estado de México y Municipios</w:t>
      </w:r>
      <w:r w:rsidRPr="00C6130E">
        <w:rPr>
          <w:rFonts w:ascii="Palatino Linotype" w:eastAsia="Calibri" w:hAnsi="Palatino Linotype" w:cs="Tahoma"/>
          <w:bCs/>
          <w:iCs/>
        </w:rPr>
        <w:t xml:space="preserve"> prevé que cuando exista una colisión de derechos, al resolver el recurso de revisión, se debe aplicar una prueba de interés público con base en elementos de idoneidad, necesidad y proporcionalidad</w:t>
      </w:r>
      <w:r>
        <w:rPr>
          <w:rFonts w:ascii="Palatino Linotype" w:eastAsia="Calibri" w:hAnsi="Palatino Linotype" w:cs="Tahoma"/>
          <w:bCs/>
          <w:iCs/>
        </w:rPr>
        <w:t>.</w:t>
      </w:r>
      <w:r w:rsidRPr="00C758F7">
        <w:rPr>
          <w:rFonts w:ascii="Palatino Linotype" w:hAnsi="Palatino Linotype" w:cs="Tahoma"/>
          <w:bCs/>
          <w:iCs/>
        </w:rPr>
        <w:t xml:space="preserve"> </w:t>
      </w:r>
      <w:r w:rsidRPr="00C758F7">
        <w:rPr>
          <w:rFonts w:ascii="Palatino Linotype" w:eastAsia="Calibri" w:hAnsi="Palatino Linotype" w:cs="Tahoma"/>
          <w:bCs/>
          <w:iCs/>
          <w:lang w:eastAsia="es-ES_tradnl"/>
        </w:rPr>
        <w:t xml:space="preserve">Para estos efectos, se entenderá por: </w:t>
      </w:r>
    </w:p>
    <w:p w14:paraId="2791DA3D"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216E2476" w14:textId="77777777" w:rsidR="00C758F7" w:rsidRPr="00C758F7" w:rsidRDefault="00C758F7" w:rsidP="00C758F7">
      <w:pPr>
        <w:numPr>
          <w:ilvl w:val="0"/>
          <w:numId w:val="19"/>
        </w:num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
          <w:bCs/>
          <w:iCs/>
          <w:lang w:eastAsia="es-ES_tradnl"/>
        </w:rPr>
        <w:t>Idoneidad:</w:t>
      </w:r>
      <w:r w:rsidRPr="00C758F7">
        <w:rPr>
          <w:rFonts w:ascii="Palatino Linotype" w:eastAsia="Calibri" w:hAnsi="Palatino Linotype" w:cs="Tahoma"/>
          <w:bCs/>
          <w:iCs/>
          <w:lang w:eastAsia="es-ES_tradnl"/>
        </w:rPr>
        <w:t xml:space="preserve"> La legitimidad del derecho adoptado como preferente, que sea el adecuado para el logro de un fin constitucionalmente válido o apto para conseguir el fin pretendido;</w:t>
      </w:r>
    </w:p>
    <w:p w14:paraId="19799597"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686C89B6" w14:textId="77777777" w:rsidR="00C758F7" w:rsidRPr="00C758F7" w:rsidRDefault="00C758F7" w:rsidP="00C758F7">
      <w:pPr>
        <w:numPr>
          <w:ilvl w:val="0"/>
          <w:numId w:val="19"/>
        </w:num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
          <w:bCs/>
          <w:iCs/>
          <w:lang w:eastAsia="es-ES_tradnl"/>
        </w:rPr>
        <w:t>Necesidad:</w:t>
      </w:r>
      <w:r w:rsidRPr="00C758F7">
        <w:rPr>
          <w:rFonts w:ascii="Palatino Linotype" w:eastAsia="Calibri" w:hAnsi="Palatino Linotype" w:cs="Tahoma"/>
          <w:bCs/>
          <w:iCs/>
          <w:lang w:eastAsia="es-ES_tradnl"/>
        </w:rPr>
        <w:t xml:space="preserve"> La falta de un medio alternativo menos lesivo a la apertura de la información, para satisfacer el interés público, y</w:t>
      </w:r>
    </w:p>
    <w:p w14:paraId="26EBEC60"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43D7EFDF" w14:textId="77777777" w:rsidR="00C758F7" w:rsidRPr="00C758F7" w:rsidRDefault="00C758F7" w:rsidP="00C758F7">
      <w:pPr>
        <w:numPr>
          <w:ilvl w:val="0"/>
          <w:numId w:val="19"/>
        </w:num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
          <w:bCs/>
          <w:iCs/>
          <w:lang w:eastAsia="es-ES_tradnl"/>
        </w:rPr>
        <w:t>Proporcionalidad:</w:t>
      </w:r>
      <w:r w:rsidRPr="00C758F7">
        <w:rPr>
          <w:rFonts w:ascii="Palatino Linotype" w:eastAsia="Calibri" w:hAnsi="Palatino Linotype" w:cs="Tahoma"/>
          <w:bCs/>
          <w:iCs/>
          <w:lang w:eastAsia="es-ES_tradnl"/>
        </w:rPr>
        <w:t xml:space="preserve"> El equilibrio entre perjuicio y beneficio a favor del interés público, a fin de que la decisión tomada represente un beneficio mayor al perjuicio que podría causar a la población.</w:t>
      </w:r>
    </w:p>
    <w:p w14:paraId="4E1A256A"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5C1A2075"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En ese orden de ideas, resulta procedente analizar cada uno de los elementos referidos, partiendo de que, en el caso concreto, se estima como preferente el derecho de acceso a la información, bajo las consideraciones que se verterán a continuación.</w:t>
      </w:r>
    </w:p>
    <w:p w14:paraId="715C173F"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74F4B78E" w14:textId="77777777" w:rsidR="00C758F7" w:rsidRPr="00C758F7" w:rsidRDefault="00C758F7" w:rsidP="00C758F7">
      <w:pPr>
        <w:spacing w:line="360" w:lineRule="auto"/>
        <w:contextualSpacing/>
        <w:jc w:val="both"/>
        <w:rPr>
          <w:rFonts w:ascii="Palatino Linotype" w:eastAsia="Calibri" w:hAnsi="Palatino Linotype" w:cs="Tahoma"/>
          <w:b/>
          <w:bCs/>
          <w:iCs/>
          <w:lang w:eastAsia="es-ES_tradnl"/>
        </w:rPr>
      </w:pPr>
      <w:r w:rsidRPr="00C758F7">
        <w:rPr>
          <w:rFonts w:ascii="Palatino Linotype" w:eastAsia="Calibri" w:hAnsi="Palatino Linotype" w:cs="Tahoma"/>
          <w:b/>
          <w:bCs/>
          <w:iCs/>
          <w:lang w:eastAsia="es-ES_tradnl"/>
        </w:rPr>
        <w:t>a) Idoneidad</w:t>
      </w:r>
      <w:r w:rsidRPr="00C758F7">
        <w:rPr>
          <w:rFonts w:ascii="Palatino Linotype" w:eastAsia="Calibri" w:hAnsi="Palatino Linotype" w:cs="Tahoma"/>
          <w:bCs/>
          <w:iCs/>
          <w:lang w:eastAsia="es-ES_tradnl"/>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6B32C389" w14:textId="77777777" w:rsidR="00C758F7" w:rsidRPr="00C758F7" w:rsidRDefault="00C758F7" w:rsidP="00C758F7">
      <w:pPr>
        <w:spacing w:line="360" w:lineRule="auto"/>
        <w:contextualSpacing/>
        <w:jc w:val="both"/>
        <w:rPr>
          <w:rFonts w:ascii="Palatino Linotype" w:eastAsia="Calibri" w:hAnsi="Palatino Linotype" w:cs="Tahoma"/>
          <w:b/>
          <w:bCs/>
          <w:iCs/>
          <w:lang w:eastAsia="es-ES_tradnl"/>
        </w:rPr>
      </w:pPr>
    </w:p>
    <w:p w14:paraId="15844FD7"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 xml:space="preserve">Sin embargo, en el presente caso, se trata de denuncias concluidas por falta de elementos en donde </w:t>
      </w:r>
      <w:r w:rsidRPr="00C758F7">
        <w:rPr>
          <w:rFonts w:ascii="Palatino Linotype" w:eastAsia="Calibri" w:hAnsi="Palatino Linotype" w:cs="Tahoma"/>
          <w:b/>
          <w:bCs/>
          <w:iCs/>
          <w:lang w:eastAsia="es-ES_tradnl"/>
        </w:rPr>
        <w:t>la conducta investigada no fue contraria en derecho</w:t>
      </w:r>
      <w:r w:rsidRPr="00C758F7">
        <w:rPr>
          <w:rFonts w:ascii="Palatino Linotype" w:eastAsia="Calibri" w:hAnsi="Palatino Linotype" w:cs="Tahoma"/>
          <w:bCs/>
          <w:iCs/>
          <w:lang w:eastAsia="es-ES_tradnl"/>
        </w:rPr>
        <w:t xml:space="preserve">; por lo que, entregar el nombre </w:t>
      </w:r>
      <w:r w:rsidRPr="00C758F7">
        <w:rPr>
          <w:rFonts w:ascii="Palatino Linotype" w:eastAsia="Calibri" w:hAnsi="Palatino Linotype" w:cs="Tahoma"/>
          <w:bCs/>
          <w:iCs/>
          <w:lang w:eastAsia="es-ES_tradnl"/>
        </w:rPr>
        <w:lastRenderedPageBreak/>
        <w:t>del servidor público, se daría a conocer que las conductas que se le atribuían, no eran ciertas, lo cual permite la rendición de cuentas de este, pues se observa, que dicho trabajador, ha cumplido con sus obligaciones.</w:t>
      </w:r>
    </w:p>
    <w:p w14:paraId="0FF7A255"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2A1B4556"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Además, proporcionar su nombre, no genera una afectación a su honor, intimidad o buena imagen, pues a través de las denuncias, es posible conocer que los motivos señalados en estas, no fueron comprobadas y que el servidor público ha ejercido su cargo, de manera correcta conforme a lo establecido en las diversas disposiciones, por lo que no implicaría una vulneración a su honor o intimidad, ya que la conclusión de las denuncias por falta de elementos dan cuenta que ha actuado dentro de lo permitido para evitar ser sancionarlo.</w:t>
      </w:r>
    </w:p>
    <w:p w14:paraId="733FBF64"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6F9E66A5"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2AD4C9F2" w14:textId="77777777" w:rsidR="00C758F7" w:rsidRPr="00C758F7" w:rsidRDefault="00C758F7" w:rsidP="00C758F7">
      <w:pPr>
        <w:spacing w:line="360" w:lineRule="auto"/>
        <w:contextualSpacing/>
        <w:jc w:val="both"/>
        <w:rPr>
          <w:rFonts w:ascii="Palatino Linotype" w:eastAsia="Calibri" w:hAnsi="Palatino Linotype" w:cs="Tahoma"/>
          <w:b/>
          <w:bCs/>
          <w:iCs/>
          <w:lang w:eastAsia="es-ES_tradnl"/>
        </w:rPr>
      </w:pPr>
    </w:p>
    <w:p w14:paraId="40540216"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71E0D02B"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589EFB14"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lastRenderedPageBreak/>
        <w:t xml:space="preserve">En ese contexto, dado que la información se relaciona con el actuar de un servidor público en específico, </w:t>
      </w:r>
      <w:r w:rsidRPr="00C758F7">
        <w:rPr>
          <w:rFonts w:ascii="Palatino Linotype" w:eastAsia="Calibri" w:hAnsi="Palatino Linotype" w:cs="Tahoma"/>
          <w:b/>
          <w:bCs/>
          <w:iCs/>
          <w:lang w:eastAsia="es-ES_tradnl"/>
        </w:rPr>
        <w:t xml:space="preserve">existe un interés público por conocer </w:t>
      </w:r>
      <w:r w:rsidRPr="00C758F7">
        <w:rPr>
          <w:rFonts w:ascii="Palatino Linotype" w:eastAsia="Calibri" w:hAnsi="Palatino Linotype" w:cs="Tahoma"/>
          <w:bCs/>
          <w:iCs/>
          <w:lang w:eastAsia="es-ES_tradnl"/>
        </w:rPr>
        <w:t xml:space="preserve">el nombre del servidor público que no fue sancionado por no encontrar una conducta contraria a derecho. </w:t>
      </w:r>
    </w:p>
    <w:p w14:paraId="66131909"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05B46842"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7510545C"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0E8149F5"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
          <w:bCs/>
          <w:iCs/>
          <w:lang w:eastAsia="es-ES_tradnl"/>
        </w:rPr>
        <w:t xml:space="preserve">b) Necesidad: </w:t>
      </w:r>
      <w:r w:rsidRPr="00C758F7">
        <w:rPr>
          <w:rFonts w:ascii="Palatino Linotype" w:eastAsia="Calibri" w:hAnsi="Palatino Linotype" w:cs="Tahoma"/>
          <w:bCs/>
          <w:iCs/>
          <w:lang w:eastAsia="es-ES_tradnl"/>
        </w:rPr>
        <w:t>Por otra parte, se observa que también se actualiza el principio de necesidad, ya que no existe un medio menos oneroso para lograr el fin válido, pues se estima necesaria la difusión, del nombre del servidor público que no fue sancionados, pues se relaciona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y que sin embargo, se determinó que no existía los elementos necesarios para sancionarlo.</w:t>
      </w:r>
    </w:p>
    <w:p w14:paraId="10FEEB49"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1E951A9A"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Además, ello permite evaluar la actuación del Sujeto Obligado, pues se podrá advertir la forma en la que ejercieron las funciones que legalmente tienen conferidas.</w:t>
      </w:r>
    </w:p>
    <w:p w14:paraId="592A3992"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43EF75A6"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lastRenderedPageBreak/>
        <w:t>En tal virtud, por la trascendencia social de la materia del requerimiento, el derecho de acceso a la información deberá prevalecer sobre el derecho a la privacidad; aunado, a que, para corroborar que el servidor público actúa dentro de lo permitido, su nombre guarda el carácter de público.</w:t>
      </w:r>
    </w:p>
    <w:p w14:paraId="54813273" w14:textId="77777777" w:rsidR="00C758F7" w:rsidRPr="00C758F7" w:rsidRDefault="00C758F7" w:rsidP="00C758F7">
      <w:pPr>
        <w:spacing w:line="360" w:lineRule="auto"/>
        <w:contextualSpacing/>
        <w:jc w:val="both"/>
        <w:rPr>
          <w:rFonts w:ascii="Palatino Linotype" w:eastAsia="Calibri" w:hAnsi="Palatino Linotype" w:cs="Tahoma"/>
          <w:b/>
          <w:bCs/>
          <w:iCs/>
          <w:lang w:eastAsia="es-ES_tradnl"/>
        </w:rPr>
      </w:pPr>
    </w:p>
    <w:p w14:paraId="7B795B1D"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
          <w:bCs/>
          <w:iCs/>
          <w:lang w:eastAsia="es-ES_tradnl"/>
        </w:rPr>
        <w:t>c) Proporcionalidad en sentido estricto:</w:t>
      </w:r>
      <w:r w:rsidRPr="00C758F7">
        <w:rPr>
          <w:rFonts w:ascii="Palatino Linotype" w:eastAsia="Calibri" w:hAnsi="Palatino Linotype" w:cs="Tahoma"/>
          <w:bCs/>
          <w:iCs/>
          <w:lang w:eastAsia="es-ES_tradnl"/>
        </w:rPr>
        <w:t xml:space="preserve"> El sacrificio de la protección del nombre del servidor público, relacionado con el desempeño de sus funciones, como medio para lograr el fin válido señalado, se justifica en razón de que se satisface el interés público en conocer el desempeño de sus funciones como trabajador gubernamental, esto es, que aunque haya existido la posibilidad que no actuara conforme a derecho, no existieron los elementos suficientes para determinar tal situación por lo que conocer su nombre da cuenta de que si realiza sus actividades de manera correcta así como, la actividad desplegada por las autoridades correspondientes, en el trámite de dichos asuntos. </w:t>
      </w:r>
    </w:p>
    <w:p w14:paraId="79A9529B"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6FD2F3E0"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0AE2C40D"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3887DAF3"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4EE766E8"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1E63A8D3"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r w:rsidRPr="00C758F7">
        <w:rPr>
          <w:rFonts w:ascii="Palatino Linotype" w:eastAsia="Calibri" w:hAnsi="Palatino Linotype" w:cs="Tahoma"/>
          <w:bCs/>
          <w:iCs/>
          <w:lang w:eastAsia="es-ES_tradnl"/>
        </w:rPr>
        <w:lastRenderedPageBreak/>
        <w:t>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w:t>
      </w:r>
    </w:p>
    <w:p w14:paraId="7050789F"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5A306106" w14:textId="77777777" w:rsidR="00C758F7" w:rsidRPr="00C758F7" w:rsidRDefault="00C758F7" w:rsidP="00C758F7">
      <w:pPr>
        <w:spacing w:line="360" w:lineRule="auto"/>
        <w:contextualSpacing/>
        <w:jc w:val="both"/>
        <w:rPr>
          <w:rFonts w:ascii="Palatino Linotype" w:eastAsia="Calibri" w:hAnsi="Palatino Linotype" w:cs="Tahoma"/>
          <w:b/>
          <w:bCs/>
          <w:iCs/>
          <w:lang w:eastAsia="es-ES_tradnl"/>
        </w:rPr>
      </w:pPr>
      <w:r w:rsidRPr="00C758F7">
        <w:rPr>
          <w:rFonts w:ascii="Palatino Linotype" w:eastAsia="Calibri" w:hAnsi="Palatino Linotype" w:cs="Tahoma"/>
          <w:bCs/>
          <w:iCs/>
          <w:lang w:eastAsia="es-ES_tradnl"/>
        </w:rPr>
        <w:t xml:space="preserve">Por tanto, se concluye que, al tenor de la ponderación realizada, se cumple con los tres elementos para darle preminencia, en el caso concreto, </w:t>
      </w:r>
      <w:r w:rsidRPr="00C758F7">
        <w:rPr>
          <w:rFonts w:ascii="Palatino Linotype" w:eastAsia="Calibri" w:hAnsi="Palatino Linotype" w:cs="Tahoma"/>
          <w:b/>
          <w:bCs/>
          <w:iCs/>
          <w:lang w:eastAsia="es-ES_tradnl"/>
        </w:rPr>
        <w:t>al derecho de acceso a la información.</w:t>
      </w:r>
    </w:p>
    <w:p w14:paraId="0D07075D" w14:textId="77777777" w:rsidR="00C758F7" w:rsidRPr="00C758F7" w:rsidRDefault="00C758F7" w:rsidP="00C758F7">
      <w:pPr>
        <w:spacing w:line="360" w:lineRule="auto"/>
        <w:contextualSpacing/>
        <w:jc w:val="both"/>
        <w:rPr>
          <w:rFonts w:ascii="Palatino Linotype" w:eastAsia="Calibri" w:hAnsi="Palatino Linotype" w:cs="Tahoma"/>
          <w:b/>
          <w:bCs/>
          <w:iCs/>
          <w:lang w:eastAsia="es-ES_tradnl"/>
        </w:rPr>
      </w:pPr>
    </w:p>
    <w:p w14:paraId="61B228A4" w14:textId="77777777" w:rsidR="00C758F7" w:rsidRPr="00C758F7" w:rsidRDefault="00C758F7" w:rsidP="00C758F7">
      <w:pPr>
        <w:spacing w:line="360" w:lineRule="auto"/>
        <w:contextualSpacing/>
        <w:jc w:val="both"/>
        <w:rPr>
          <w:rFonts w:ascii="Palatino Linotype" w:eastAsia="Calibri" w:hAnsi="Palatino Linotype" w:cs="Tahoma"/>
          <w:bCs/>
          <w:iCs/>
          <w:lang w:val="es-ES_tradnl" w:eastAsia="es-ES_tradnl"/>
        </w:rPr>
      </w:pPr>
      <w:r w:rsidRPr="00C758F7">
        <w:rPr>
          <w:rFonts w:ascii="Palatino Linotype" w:eastAsia="Calibri" w:hAnsi="Palatino Linotype" w:cs="Tahoma"/>
          <w:bCs/>
          <w:iCs/>
          <w:lang w:eastAsia="es-ES_tradnl"/>
        </w:rPr>
        <w:t xml:space="preserve">Por lo expuesto, se considera que, el nombre de servidores públicos que fueron sujetos a una investigación por alguna falta administrativa y resultaron absueltos son de naturaleza pública, en razón de que, al no ser sancionados da cuenta de su actuar conforme a derecho y que no existieron los elementos necesarios para sancionarlo </w:t>
      </w:r>
      <w:r w:rsidRPr="00C758F7">
        <w:rPr>
          <w:rFonts w:ascii="Palatino Linotype" w:eastAsia="Calibri" w:hAnsi="Palatino Linotype" w:cs="Tahoma"/>
          <w:bCs/>
          <w:iCs/>
          <w:lang w:val="es-ES_tradnl" w:eastAsia="es-ES_tradnl"/>
        </w:rPr>
        <w:t>por lo tanto no precede su clasificación en términos del artículo 143, fracción I de la Ley de la materia.</w:t>
      </w:r>
    </w:p>
    <w:p w14:paraId="0ACDFBB7" w14:textId="77777777" w:rsidR="00C758F7" w:rsidRPr="00C758F7" w:rsidRDefault="00C758F7" w:rsidP="00C758F7">
      <w:pPr>
        <w:spacing w:line="360" w:lineRule="auto"/>
        <w:contextualSpacing/>
        <w:jc w:val="both"/>
        <w:rPr>
          <w:rFonts w:ascii="Palatino Linotype" w:eastAsia="Calibri" w:hAnsi="Palatino Linotype" w:cs="Tahoma"/>
          <w:bCs/>
          <w:iCs/>
          <w:lang w:eastAsia="es-ES_tradnl"/>
        </w:rPr>
      </w:pPr>
    </w:p>
    <w:p w14:paraId="747E5D59" w14:textId="1B3E50AF" w:rsidR="00C758F7" w:rsidRDefault="00C758F7" w:rsidP="00C758F7">
      <w:pPr>
        <w:spacing w:line="360" w:lineRule="auto"/>
        <w:contextualSpacing/>
        <w:jc w:val="both"/>
        <w:rPr>
          <w:rFonts w:ascii="Palatino Linotype" w:hAnsi="Palatino Linotype" w:cs="Tahoma"/>
        </w:rPr>
      </w:pPr>
      <w:r w:rsidRPr="00C758F7">
        <w:rPr>
          <w:rFonts w:ascii="Palatino Linotype" w:eastAsia="Calibri" w:hAnsi="Palatino Linotype" w:cs="Tahoma"/>
          <w:bCs/>
          <w:iCs/>
          <w:lang w:eastAsia="es-ES_tradnl"/>
        </w:rPr>
        <w:t xml:space="preserve">Así, con base en los razonamientos expuestos, se emite el presente </w:t>
      </w:r>
      <w:r w:rsidRPr="00C758F7">
        <w:rPr>
          <w:rFonts w:ascii="Palatino Linotype" w:eastAsia="Calibri" w:hAnsi="Palatino Linotype" w:cs="Tahoma"/>
          <w:b/>
          <w:bCs/>
          <w:iCs/>
          <w:lang w:eastAsia="es-ES_tradnl"/>
        </w:rPr>
        <w:t>Voto Particular</w:t>
      </w:r>
      <w:r w:rsidRPr="00C758F7">
        <w:rPr>
          <w:rFonts w:ascii="Palatino Linotype" w:eastAsia="Calibri" w:hAnsi="Palatino Linotype" w:cs="Tahoma"/>
          <w:bCs/>
          <w:iCs/>
          <w:lang w:eastAsia="es-ES_tradnl"/>
        </w:rPr>
        <w:t>. ----------------------------------------------------------------------------------------------------------------------------------</w:t>
      </w:r>
    </w:p>
    <w:p w14:paraId="550706F6" w14:textId="77777777" w:rsidR="00C758F7" w:rsidRDefault="00C758F7" w:rsidP="00CE1DAC">
      <w:pPr>
        <w:spacing w:after="0" w:line="360" w:lineRule="auto"/>
        <w:contextualSpacing/>
        <w:jc w:val="both"/>
        <w:rPr>
          <w:rFonts w:ascii="Palatino Linotype" w:hAnsi="Palatino Linotype" w:cs="Tahoma"/>
        </w:rPr>
      </w:pPr>
    </w:p>
    <w:sectPr w:rsidR="00C758F7"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43D08" w14:textId="77777777" w:rsidR="005B4D44" w:rsidRDefault="005B4D44" w:rsidP="00EE29F6">
      <w:pPr>
        <w:spacing w:after="0" w:line="240" w:lineRule="auto"/>
      </w:pPr>
      <w:r>
        <w:separator/>
      </w:r>
    </w:p>
  </w:endnote>
  <w:endnote w:type="continuationSeparator" w:id="0">
    <w:p w14:paraId="7D945AE1" w14:textId="77777777" w:rsidR="005B4D44" w:rsidRDefault="005B4D44" w:rsidP="00EE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22E06124" w14:textId="77777777" w:rsidR="00363357" w:rsidRDefault="00363357">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85403A">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5403A">
              <w:rPr>
                <w:b/>
                <w:bCs/>
                <w:noProof/>
              </w:rPr>
              <w:t>12</w:t>
            </w:r>
            <w:r>
              <w:rPr>
                <w:b/>
                <w:bCs/>
                <w:sz w:val="24"/>
                <w:szCs w:val="24"/>
              </w:rPr>
              <w:fldChar w:fldCharType="end"/>
            </w:r>
          </w:p>
        </w:sdtContent>
      </w:sdt>
    </w:sdtContent>
  </w:sdt>
  <w:p w14:paraId="14FB6092" w14:textId="77777777" w:rsidR="00363357" w:rsidRDefault="003633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FD6C" w14:textId="77777777" w:rsidR="005B4D44" w:rsidRDefault="005B4D44" w:rsidP="00EE29F6">
      <w:pPr>
        <w:spacing w:after="0" w:line="240" w:lineRule="auto"/>
      </w:pPr>
      <w:r>
        <w:separator/>
      </w:r>
    </w:p>
  </w:footnote>
  <w:footnote w:type="continuationSeparator" w:id="0">
    <w:p w14:paraId="61AE8C5A" w14:textId="77777777" w:rsidR="005B4D44" w:rsidRDefault="005B4D44" w:rsidP="00EE2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378"/>
    </w:tblGrid>
    <w:tr w:rsidR="00363357" w:rsidRPr="001106EA" w14:paraId="2297FAF9" w14:textId="77777777" w:rsidTr="0063602B">
      <w:trPr>
        <w:trHeight w:val="1843"/>
      </w:trPr>
      <w:tc>
        <w:tcPr>
          <w:tcW w:w="2694" w:type="dxa"/>
          <w:vAlign w:val="bottom"/>
        </w:tcPr>
        <w:p w14:paraId="1917C9BB" w14:textId="77777777" w:rsidR="00363357" w:rsidRDefault="00363357" w:rsidP="0077694E">
          <w:pPr>
            <w:pStyle w:val="Encabezado"/>
            <w:tabs>
              <w:tab w:val="clear" w:pos="4252"/>
              <w:tab w:val="center" w:pos="2614"/>
            </w:tabs>
            <w:ind w:left="-255"/>
          </w:pPr>
          <w:r>
            <w:rPr>
              <w:noProof/>
              <w:sz w:val="10"/>
              <w:szCs w:val="10"/>
              <w:lang w:val="es-MX" w:eastAsia="es-MX"/>
            </w:rPr>
            <w:drawing>
              <wp:inline distT="0" distB="0" distL="0" distR="0" wp14:anchorId="2AC8E52F" wp14:editId="780CF4DE">
                <wp:extent cx="1873633" cy="1126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0616" cy="1160801"/>
                        </a:xfrm>
                        <a:prstGeom prst="rect">
                          <a:avLst/>
                        </a:prstGeom>
                      </pic:spPr>
                    </pic:pic>
                  </a:graphicData>
                </a:graphic>
              </wp:inline>
            </w:drawing>
          </w:r>
        </w:p>
        <w:p w14:paraId="40A2C29B" w14:textId="77777777" w:rsidR="00363357" w:rsidRDefault="00363357" w:rsidP="0077694E">
          <w:pPr>
            <w:pStyle w:val="Encabezado"/>
            <w:tabs>
              <w:tab w:val="clear" w:pos="4252"/>
              <w:tab w:val="center" w:pos="2614"/>
            </w:tabs>
          </w:pPr>
        </w:p>
      </w:tc>
      <w:tc>
        <w:tcPr>
          <w:tcW w:w="6378" w:type="dxa"/>
          <w:vAlign w:val="center"/>
        </w:tcPr>
        <w:p w14:paraId="3F108C93" w14:textId="77777777" w:rsidR="00E66339" w:rsidRPr="00B9745A" w:rsidRDefault="00E66339" w:rsidP="006C5D62">
          <w:pPr>
            <w:pStyle w:val="Encabezado"/>
            <w:ind w:right="32"/>
            <w:jc w:val="both"/>
            <w:rPr>
              <w:rFonts w:ascii="Palatino Linotype" w:hAnsi="Palatino Linotype" w:cs="Tahoma"/>
              <w:b/>
            </w:rPr>
          </w:pPr>
          <w:r w:rsidRPr="00B9745A">
            <w:rPr>
              <w:rFonts w:ascii="Palatino Linotype" w:hAnsi="Palatino Linotype" w:cs="Tahoma"/>
              <w:b/>
            </w:rPr>
            <w:t>Voto Particular</w:t>
          </w:r>
        </w:p>
        <w:p w14:paraId="78EDBC30" w14:textId="646E66E5" w:rsidR="00E66339" w:rsidRDefault="00E66339" w:rsidP="006C5D62">
          <w:pPr>
            <w:pStyle w:val="Encabezado"/>
            <w:ind w:right="32"/>
            <w:jc w:val="both"/>
            <w:rPr>
              <w:rFonts w:ascii="Palatino Linotype" w:hAnsi="Palatino Linotype"/>
              <w:b/>
              <w:lang w:val="es-ES_tradnl"/>
            </w:rPr>
          </w:pPr>
          <w:r w:rsidRPr="00B9745A">
            <w:rPr>
              <w:rFonts w:ascii="Palatino Linotype" w:hAnsi="Palatino Linotype" w:cs="Tahoma"/>
              <w:b/>
            </w:rPr>
            <w:t xml:space="preserve">Recurso de Revisión: </w:t>
          </w:r>
          <w:r w:rsidR="00A569AC">
            <w:rPr>
              <w:rFonts w:ascii="Palatino Linotype" w:hAnsi="Palatino Linotype"/>
              <w:lang w:val="es-ES_tradnl"/>
            </w:rPr>
            <w:t>0</w:t>
          </w:r>
          <w:r w:rsidR="00F16CF2">
            <w:rPr>
              <w:rFonts w:ascii="Palatino Linotype" w:hAnsi="Palatino Linotype"/>
              <w:lang w:val="es-ES_tradnl"/>
            </w:rPr>
            <w:t>790</w:t>
          </w:r>
          <w:r w:rsidR="00A569AC">
            <w:rPr>
              <w:rFonts w:ascii="Palatino Linotype" w:hAnsi="Palatino Linotype"/>
              <w:lang w:val="es-ES_tradnl"/>
            </w:rPr>
            <w:t>1</w:t>
          </w:r>
          <w:r w:rsidR="002605BA">
            <w:rPr>
              <w:rFonts w:ascii="Palatino Linotype" w:hAnsi="Palatino Linotype"/>
              <w:lang w:val="es-ES_tradnl"/>
            </w:rPr>
            <w:t>/INFOEM/IP/RR/202</w:t>
          </w:r>
          <w:r w:rsidR="002C0DB7">
            <w:rPr>
              <w:rFonts w:ascii="Palatino Linotype" w:hAnsi="Palatino Linotype"/>
              <w:lang w:val="es-ES_tradnl"/>
            </w:rPr>
            <w:t>3</w:t>
          </w:r>
          <w:r w:rsidR="00981468">
            <w:rPr>
              <w:rFonts w:ascii="Palatino Linotype" w:hAnsi="Palatino Linotype"/>
              <w:lang w:val="es-ES_tradnl"/>
            </w:rPr>
            <w:t xml:space="preserve"> y acumulados</w:t>
          </w:r>
        </w:p>
        <w:p w14:paraId="53598701" w14:textId="480B584E" w:rsidR="002605BA" w:rsidRDefault="006869B6" w:rsidP="006C5D62">
          <w:pPr>
            <w:pStyle w:val="Encabezado"/>
            <w:ind w:right="32"/>
            <w:jc w:val="both"/>
            <w:rPr>
              <w:rFonts w:ascii="Palatino Linotype" w:hAnsi="Palatino Linotype" w:cs="Tahoma"/>
            </w:rPr>
          </w:pPr>
          <w:r w:rsidRPr="006869B6">
            <w:rPr>
              <w:rFonts w:ascii="Palatino Linotype" w:hAnsi="Palatino Linotype" w:cs="Tahoma"/>
              <w:b/>
            </w:rPr>
            <w:t>Sujeto obligado:</w:t>
          </w:r>
          <w:r>
            <w:rPr>
              <w:rFonts w:ascii="Palatino Linotype" w:hAnsi="Palatino Linotype" w:cs="Tahoma"/>
              <w:b/>
            </w:rPr>
            <w:t xml:space="preserve"> </w:t>
          </w:r>
          <w:r w:rsidR="00F16CF2" w:rsidRPr="00F16CF2">
            <w:rPr>
              <w:rFonts w:ascii="Palatino Linotype" w:hAnsi="Palatino Linotype" w:cs="Tahoma"/>
            </w:rPr>
            <w:t>Centro de Conciliación Laboral del Estado de México</w:t>
          </w:r>
        </w:p>
        <w:p w14:paraId="2C9D1E16" w14:textId="7C0C79A5" w:rsidR="00363357" w:rsidRPr="001106EA" w:rsidRDefault="00E66339" w:rsidP="006C5D62">
          <w:pPr>
            <w:pStyle w:val="Encabezado"/>
            <w:ind w:right="32"/>
            <w:jc w:val="both"/>
            <w:rPr>
              <w:rFonts w:ascii="Tahoma" w:hAnsi="Tahoma" w:cs="Tahoma"/>
            </w:rPr>
          </w:pPr>
          <w:r w:rsidRPr="00B9745A">
            <w:rPr>
              <w:rFonts w:ascii="Palatino Linotype" w:hAnsi="Palatino Linotype" w:cs="Tahoma"/>
              <w:b/>
            </w:rPr>
            <w:t xml:space="preserve">Comisionado Ponente: </w:t>
          </w:r>
          <w:r w:rsidR="003B357E" w:rsidRPr="003B357E">
            <w:rPr>
              <w:rFonts w:ascii="Palatino Linotype" w:hAnsi="Palatino Linotype"/>
              <w:lang w:val="es-ES_tradnl"/>
            </w:rPr>
            <w:t>Luis Gustavo Parra Noriega</w:t>
          </w:r>
        </w:p>
      </w:tc>
    </w:tr>
  </w:tbl>
  <w:p w14:paraId="3B83F926" w14:textId="77777777" w:rsidR="00363357" w:rsidRPr="001106EA" w:rsidRDefault="00363357">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80A"/>
    <w:multiLevelType w:val="hybridMultilevel"/>
    <w:tmpl w:val="AB1CBE76"/>
    <w:lvl w:ilvl="0" w:tplc="90E4190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A1345"/>
    <w:multiLevelType w:val="hybridMultilevel"/>
    <w:tmpl w:val="0636BA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31484"/>
    <w:multiLevelType w:val="hybridMultilevel"/>
    <w:tmpl w:val="8B081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18438F"/>
    <w:multiLevelType w:val="hybridMultilevel"/>
    <w:tmpl w:val="977CD68A"/>
    <w:lvl w:ilvl="0" w:tplc="B0788A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1223F"/>
    <w:multiLevelType w:val="hybridMultilevel"/>
    <w:tmpl w:val="E6D4FD94"/>
    <w:lvl w:ilvl="0" w:tplc="0D2CC0C6">
      <w:start w:val="6"/>
      <w:numFmt w:val="decimal"/>
      <w:lvlText w:val="%1."/>
      <w:lvlJc w:val="left"/>
      <w:pPr>
        <w:ind w:left="720" w:hanging="360"/>
      </w:pPr>
      <w:rPr>
        <w:rFonts w:hint="default"/>
        <w:b/>
        <w:i w:val="0"/>
        <w:color w:val="000000" w:themeColor="text1"/>
        <w:sz w:val="24"/>
      </w:rPr>
    </w:lvl>
    <w:lvl w:ilvl="1" w:tplc="080A0009">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8377C"/>
    <w:multiLevelType w:val="hybridMultilevel"/>
    <w:tmpl w:val="09E4C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B76DE"/>
    <w:multiLevelType w:val="hybridMultilevel"/>
    <w:tmpl w:val="67F0C59E"/>
    <w:lvl w:ilvl="0" w:tplc="D5A2347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60D20E6"/>
    <w:multiLevelType w:val="hybridMultilevel"/>
    <w:tmpl w:val="C38A3C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F44A1"/>
    <w:multiLevelType w:val="hybridMultilevel"/>
    <w:tmpl w:val="3C68C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F833EDE"/>
    <w:multiLevelType w:val="hybridMultilevel"/>
    <w:tmpl w:val="0F627D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5768EB"/>
    <w:multiLevelType w:val="hybridMultilevel"/>
    <w:tmpl w:val="85E4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8135DD"/>
    <w:multiLevelType w:val="hybridMultilevel"/>
    <w:tmpl w:val="5CBE3C10"/>
    <w:lvl w:ilvl="0" w:tplc="B28052C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D76236"/>
    <w:multiLevelType w:val="hybridMultilevel"/>
    <w:tmpl w:val="70002C2C"/>
    <w:lvl w:ilvl="0" w:tplc="AEAA63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B74828"/>
    <w:multiLevelType w:val="hybridMultilevel"/>
    <w:tmpl w:val="D95A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0F5798"/>
    <w:multiLevelType w:val="hybridMultilevel"/>
    <w:tmpl w:val="09E4C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990414"/>
    <w:multiLevelType w:val="hybridMultilevel"/>
    <w:tmpl w:val="4FE43A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D06758"/>
    <w:multiLevelType w:val="hybridMultilevel"/>
    <w:tmpl w:val="E0BE6E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194963"/>
    <w:multiLevelType w:val="hybridMultilevel"/>
    <w:tmpl w:val="22463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0"/>
  </w:num>
  <w:num w:numId="5">
    <w:abstractNumId w:val="14"/>
  </w:num>
  <w:num w:numId="6">
    <w:abstractNumId w:val="3"/>
  </w:num>
  <w:num w:numId="7">
    <w:abstractNumId w:val="10"/>
  </w:num>
  <w:num w:numId="8">
    <w:abstractNumId w:val="18"/>
  </w:num>
  <w:num w:numId="9">
    <w:abstractNumId w:val="15"/>
  </w:num>
  <w:num w:numId="10">
    <w:abstractNumId w:val="16"/>
  </w:num>
  <w:num w:numId="11">
    <w:abstractNumId w:val="17"/>
  </w:num>
  <w:num w:numId="12">
    <w:abstractNumId w:val="1"/>
  </w:num>
  <w:num w:numId="13">
    <w:abstractNumId w:val="8"/>
  </w:num>
  <w:num w:numId="14">
    <w:abstractNumId w:val="19"/>
  </w:num>
  <w:num w:numId="15">
    <w:abstractNumId w:val="6"/>
  </w:num>
  <w:num w:numId="16">
    <w:abstractNumId w:val="7"/>
  </w:num>
  <w:num w:numId="17">
    <w:abstractNumId w:val="13"/>
  </w:num>
  <w:num w:numId="18">
    <w:abstractNumId w:val="4"/>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F6"/>
    <w:rsid w:val="00004F11"/>
    <w:rsid w:val="00006F73"/>
    <w:rsid w:val="0001600D"/>
    <w:rsid w:val="00020D08"/>
    <w:rsid w:val="00021F98"/>
    <w:rsid w:val="000237AB"/>
    <w:rsid w:val="00023B3D"/>
    <w:rsid w:val="0002483E"/>
    <w:rsid w:val="000253E5"/>
    <w:rsid w:val="0002627D"/>
    <w:rsid w:val="0002759D"/>
    <w:rsid w:val="000301C6"/>
    <w:rsid w:val="00042397"/>
    <w:rsid w:val="00042C31"/>
    <w:rsid w:val="000466A3"/>
    <w:rsid w:val="000549B5"/>
    <w:rsid w:val="00056BD3"/>
    <w:rsid w:val="00060F74"/>
    <w:rsid w:val="0006561A"/>
    <w:rsid w:val="00082AB6"/>
    <w:rsid w:val="00085241"/>
    <w:rsid w:val="0008691F"/>
    <w:rsid w:val="00087AC8"/>
    <w:rsid w:val="0009277A"/>
    <w:rsid w:val="00097988"/>
    <w:rsid w:val="00097A79"/>
    <w:rsid w:val="000B235B"/>
    <w:rsid w:val="000B61DD"/>
    <w:rsid w:val="000B7F6F"/>
    <w:rsid w:val="000C0A12"/>
    <w:rsid w:val="000C10B7"/>
    <w:rsid w:val="000C22F3"/>
    <w:rsid w:val="000C6052"/>
    <w:rsid w:val="000D186F"/>
    <w:rsid w:val="000D4A7E"/>
    <w:rsid w:val="000E64B7"/>
    <w:rsid w:val="000F1CD2"/>
    <w:rsid w:val="00104333"/>
    <w:rsid w:val="0010688C"/>
    <w:rsid w:val="001106EA"/>
    <w:rsid w:val="001159DC"/>
    <w:rsid w:val="00116E1A"/>
    <w:rsid w:val="00117B25"/>
    <w:rsid w:val="00126B40"/>
    <w:rsid w:val="001275EE"/>
    <w:rsid w:val="001309CB"/>
    <w:rsid w:val="00135847"/>
    <w:rsid w:val="00136AD8"/>
    <w:rsid w:val="0014038B"/>
    <w:rsid w:val="00140A57"/>
    <w:rsid w:val="0014736A"/>
    <w:rsid w:val="001536F8"/>
    <w:rsid w:val="00161815"/>
    <w:rsid w:val="00162325"/>
    <w:rsid w:val="00164625"/>
    <w:rsid w:val="00164BFE"/>
    <w:rsid w:val="001813CE"/>
    <w:rsid w:val="00181470"/>
    <w:rsid w:val="0018472D"/>
    <w:rsid w:val="00193AA8"/>
    <w:rsid w:val="00197A72"/>
    <w:rsid w:val="001A145C"/>
    <w:rsid w:val="001A6BD9"/>
    <w:rsid w:val="001C1C64"/>
    <w:rsid w:val="001C363A"/>
    <w:rsid w:val="001C7C6D"/>
    <w:rsid w:val="0020052A"/>
    <w:rsid w:val="00205DF8"/>
    <w:rsid w:val="00215B62"/>
    <w:rsid w:val="00220D45"/>
    <w:rsid w:val="00227283"/>
    <w:rsid w:val="00231B68"/>
    <w:rsid w:val="00234E99"/>
    <w:rsid w:val="00243A13"/>
    <w:rsid w:val="00246FAF"/>
    <w:rsid w:val="002605BA"/>
    <w:rsid w:val="00273B3C"/>
    <w:rsid w:val="0028037C"/>
    <w:rsid w:val="002816CB"/>
    <w:rsid w:val="00282687"/>
    <w:rsid w:val="0028714A"/>
    <w:rsid w:val="002931A8"/>
    <w:rsid w:val="00295BA5"/>
    <w:rsid w:val="002A138B"/>
    <w:rsid w:val="002A1727"/>
    <w:rsid w:val="002A2EE7"/>
    <w:rsid w:val="002B0502"/>
    <w:rsid w:val="002B0E4A"/>
    <w:rsid w:val="002B2877"/>
    <w:rsid w:val="002C0DB7"/>
    <w:rsid w:val="002C2405"/>
    <w:rsid w:val="002C3532"/>
    <w:rsid w:val="002C7EBD"/>
    <w:rsid w:val="002D539A"/>
    <w:rsid w:val="002E4A9A"/>
    <w:rsid w:val="002E5A1A"/>
    <w:rsid w:val="00304D27"/>
    <w:rsid w:val="003331F5"/>
    <w:rsid w:val="00333B7A"/>
    <w:rsid w:val="00344DD1"/>
    <w:rsid w:val="003512C9"/>
    <w:rsid w:val="00357193"/>
    <w:rsid w:val="0036010F"/>
    <w:rsid w:val="00361360"/>
    <w:rsid w:val="00363357"/>
    <w:rsid w:val="0038131E"/>
    <w:rsid w:val="00390188"/>
    <w:rsid w:val="003937C0"/>
    <w:rsid w:val="003973A2"/>
    <w:rsid w:val="003A33E2"/>
    <w:rsid w:val="003A6218"/>
    <w:rsid w:val="003B357E"/>
    <w:rsid w:val="003B5F3A"/>
    <w:rsid w:val="003B6547"/>
    <w:rsid w:val="003B7A5E"/>
    <w:rsid w:val="003C115B"/>
    <w:rsid w:val="003C374F"/>
    <w:rsid w:val="003C4BD1"/>
    <w:rsid w:val="003D0982"/>
    <w:rsid w:val="003F2426"/>
    <w:rsid w:val="003F48C2"/>
    <w:rsid w:val="003F6E82"/>
    <w:rsid w:val="003F7CBE"/>
    <w:rsid w:val="0040139C"/>
    <w:rsid w:val="00403B39"/>
    <w:rsid w:val="00412CB2"/>
    <w:rsid w:val="004211BB"/>
    <w:rsid w:val="00433746"/>
    <w:rsid w:val="00434B91"/>
    <w:rsid w:val="00434C88"/>
    <w:rsid w:val="00435E69"/>
    <w:rsid w:val="00440F05"/>
    <w:rsid w:val="00441EA2"/>
    <w:rsid w:val="0044391A"/>
    <w:rsid w:val="004452E2"/>
    <w:rsid w:val="00445BDF"/>
    <w:rsid w:val="00447F6F"/>
    <w:rsid w:val="00450B68"/>
    <w:rsid w:val="0045695E"/>
    <w:rsid w:val="00467ACB"/>
    <w:rsid w:val="00485822"/>
    <w:rsid w:val="00490F50"/>
    <w:rsid w:val="004A4555"/>
    <w:rsid w:val="004A4BC9"/>
    <w:rsid w:val="004A555E"/>
    <w:rsid w:val="004B08C4"/>
    <w:rsid w:val="004B541F"/>
    <w:rsid w:val="004B674B"/>
    <w:rsid w:val="004C4912"/>
    <w:rsid w:val="004C6E57"/>
    <w:rsid w:val="004D2ED4"/>
    <w:rsid w:val="004D4258"/>
    <w:rsid w:val="004E4CA3"/>
    <w:rsid w:val="004E7007"/>
    <w:rsid w:val="004E7CC9"/>
    <w:rsid w:val="004E7E21"/>
    <w:rsid w:val="004E7E73"/>
    <w:rsid w:val="004F0B86"/>
    <w:rsid w:val="004F7FD5"/>
    <w:rsid w:val="005105CC"/>
    <w:rsid w:val="00511E06"/>
    <w:rsid w:val="0052260F"/>
    <w:rsid w:val="00524DA5"/>
    <w:rsid w:val="00526DBD"/>
    <w:rsid w:val="00543DF4"/>
    <w:rsid w:val="00544812"/>
    <w:rsid w:val="00550AA5"/>
    <w:rsid w:val="00553ADE"/>
    <w:rsid w:val="0056120D"/>
    <w:rsid w:val="0056175F"/>
    <w:rsid w:val="0056524C"/>
    <w:rsid w:val="00577080"/>
    <w:rsid w:val="00582CCB"/>
    <w:rsid w:val="00584D73"/>
    <w:rsid w:val="00590D44"/>
    <w:rsid w:val="00592BE0"/>
    <w:rsid w:val="0059329D"/>
    <w:rsid w:val="00596EE6"/>
    <w:rsid w:val="005A2510"/>
    <w:rsid w:val="005A6E4D"/>
    <w:rsid w:val="005A70CE"/>
    <w:rsid w:val="005B4D44"/>
    <w:rsid w:val="005C094E"/>
    <w:rsid w:val="005C0E09"/>
    <w:rsid w:val="005C73EE"/>
    <w:rsid w:val="005D11C8"/>
    <w:rsid w:val="005E2798"/>
    <w:rsid w:val="005F0940"/>
    <w:rsid w:val="005F3F63"/>
    <w:rsid w:val="00600164"/>
    <w:rsid w:val="00600323"/>
    <w:rsid w:val="00601DF3"/>
    <w:rsid w:val="00605683"/>
    <w:rsid w:val="006248F2"/>
    <w:rsid w:val="00624DE5"/>
    <w:rsid w:val="00627F2B"/>
    <w:rsid w:val="006306C4"/>
    <w:rsid w:val="0063602B"/>
    <w:rsid w:val="00645087"/>
    <w:rsid w:val="00651B2B"/>
    <w:rsid w:val="00654ACD"/>
    <w:rsid w:val="00657396"/>
    <w:rsid w:val="00682003"/>
    <w:rsid w:val="00683596"/>
    <w:rsid w:val="00684B16"/>
    <w:rsid w:val="006869B6"/>
    <w:rsid w:val="00695F12"/>
    <w:rsid w:val="00696B47"/>
    <w:rsid w:val="006B16FE"/>
    <w:rsid w:val="006B6D1A"/>
    <w:rsid w:val="006C5D62"/>
    <w:rsid w:val="006D1775"/>
    <w:rsid w:val="006D3DF1"/>
    <w:rsid w:val="006E0125"/>
    <w:rsid w:val="006F5316"/>
    <w:rsid w:val="007071CF"/>
    <w:rsid w:val="00716B49"/>
    <w:rsid w:val="00722FE9"/>
    <w:rsid w:val="00724F08"/>
    <w:rsid w:val="00730A57"/>
    <w:rsid w:val="0073552A"/>
    <w:rsid w:val="007378E2"/>
    <w:rsid w:val="00742A15"/>
    <w:rsid w:val="00743EE0"/>
    <w:rsid w:val="00765A96"/>
    <w:rsid w:val="0077694E"/>
    <w:rsid w:val="00781082"/>
    <w:rsid w:val="00781866"/>
    <w:rsid w:val="007849A1"/>
    <w:rsid w:val="00790C87"/>
    <w:rsid w:val="00792848"/>
    <w:rsid w:val="00796CD0"/>
    <w:rsid w:val="007A1071"/>
    <w:rsid w:val="007A2D13"/>
    <w:rsid w:val="007A58C2"/>
    <w:rsid w:val="007D3257"/>
    <w:rsid w:val="007D5554"/>
    <w:rsid w:val="007E3F77"/>
    <w:rsid w:val="007F1C1D"/>
    <w:rsid w:val="007F41BF"/>
    <w:rsid w:val="007F7D80"/>
    <w:rsid w:val="00801B21"/>
    <w:rsid w:val="00802879"/>
    <w:rsid w:val="0083186E"/>
    <w:rsid w:val="008355D4"/>
    <w:rsid w:val="00836BC2"/>
    <w:rsid w:val="00846270"/>
    <w:rsid w:val="0085403A"/>
    <w:rsid w:val="00855BE7"/>
    <w:rsid w:val="008566EB"/>
    <w:rsid w:val="00861757"/>
    <w:rsid w:val="008629DC"/>
    <w:rsid w:val="008706C2"/>
    <w:rsid w:val="00871B8C"/>
    <w:rsid w:val="00874170"/>
    <w:rsid w:val="00884A10"/>
    <w:rsid w:val="00887E3C"/>
    <w:rsid w:val="00891412"/>
    <w:rsid w:val="008933AC"/>
    <w:rsid w:val="0089469D"/>
    <w:rsid w:val="008A0447"/>
    <w:rsid w:val="008A1DE1"/>
    <w:rsid w:val="008A217F"/>
    <w:rsid w:val="008A3DA9"/>
    <w:rsid w:val="008B08C9"/>
    <w:rsid w:val="008E54E2"/>
    <w:rsid w:val="009039FE"/>
    <w:rsid w:val="00905BD7"/>
    <w:rsid w:val="009062D8"/>
    <w:rsid w:val="0092103D"/>
    <w:rsid w:val="00922B2E"/>
    <w:rsid w:val="00924A73"/>
    <w:rsid w:val="00926581"/>
    <w:rsid w:val="00927138"/>
    <w:rsid w:val="00927BD1"/>
    <w:rsid w:val="009366AD"/>
    <w:rsid w:val="00941847"/>
    <w:rsid w:val="00950355"/>
    <w:rsid w:val="0095470A"/>
    <w:rsid w:val="00954BF1"/>
    <w:rsid w:val="00956B98"/>
    <w:rsid w:val="00962B86"/>
    <w:rsid w:val="00965DE9"/>
    <w:rsid w:val="00974836"/>
    <w:rsid w:val="00981468"/>
    <w:rsid w:val="0098208F"/>
    <w:rsid w:val="00993790"/>
    <w:rsid w:val="009943E1"/>
    <w:rsid w:val="009A1596"/>
    <w:rsid w:val="009B22ED"/>
    <w:rsid w:val="009B2C0B"/>
    <w:rsid w:val="009C0313"/>
    <w:rsid w:val="009D07E2"/>
    <w:rsid w:val="009D49BE"/>
    <w:rsid w:val="009E0861"/>
    <w:rsid w:val="009E41F7"/>
    <w:rsid w:val="009E6970"/>
    <w:rsid w:val="00A0224B"/>
    <w:rsid w:val="00A037C5"/>
    <w:rsid w:val="00A074E7"/>
    <w:rsid w:val="00A13E40"/>
    <w:rsid w:val="00A14343"/>
    <w:rsid w:val="00A22273"/>
    <w:rsid w:val="00A26864"/>
    <w:rsid w:val="00A30C52"/>
    <w:rsid w:val="00A364BA"/>
    <w:rsid w:val="00A462CB"/>
    <w:rsid w:val="00A5061A"/>
    <w:rsid w:val="00A54E21"/>
    <w:rsid w:val="00A569AC"/>
    <w:rsid w:val="00A57559"/>
    <w:rsid w:val="00A60DDC"/>
    <w:rsid w:val="00A67498"/>
    <w:rsid w:val="00A717FC"/>
    <w:rsid w:val="00A742D1"/>
    <w:rsid w:val="00A87924"/>
    <w:rsid w:val="00A96933"/>
    <w:rsid w:val="00A96CE5"/>
    <w:rsid w:val="00AA090B"/>
    <w:rsid w:val="00AA261E"/>
    <w:rsid w:val="00AA38A5"/>
    <w:rsid w:val="00AC139E"/>
    <w:rsid w:val="00AC333A"/>
    <w:rsid w:val="00AC36EF"/>
    <w:rsid w:val="00AC3775"/>
    <w:rsid w:val="00AC430C"/>
    <w:rsid w:val="00AD25D5"/>
    <w:rsid w:val="00AF3B6B"/>
    <w:rsid w:val="00B15570"/>
    <w:rsid w:val="00B2355E"/>
    <w:rsid w:val="00B263C5"/>
    <w:rsid w:val="00B27BBC"/>
    <w:rsid w:val="00B30925"/>
    <w:rsid w:val="00B67355"/>
    <w:rsid w:val="00B71740"/>
    <w:rsid w:val="00B73847"/>
    <w:rsid w:val="00B7393F"/>
    <w:rsid w:val="00B761B1"/>
    <w:rsid w:val="00B80C28"/>
    <w:rsid w:val="00B8633E"/>
    <w:rsid w:val="00BB6EE3"/>
    <w:rsid w:val="00BC4882"/>
    <w:rsid w:val="00BC55D2"/>
    <w:rsid w:val="00BD06FC"/>
    <w:rsid w:val="00BD1839"/>
    <w:rsid w:val="00BD4705"/>
    <w:rsid w:val="00BD518A"/>
    <w:rsid w:val="00BD5DBE"/>
    <w:rsid w:val="00BE5684"/>
    <w:rsid w:val="00BE678B"/>
    <w:rsid w:val="00BF1AC9"/>
    <w:rsid w:val="00BF527A"/>
    <w:rsid w:val="00BF602D"/>
    <w:rsid w:val="00C0033F"/>
    <w:rsid w:val="00C0131C"/>
    <w:rsid w:val="00C04AB8"/>
    <w:rsid w:val="00C153EC"/>
    <w:rsid w:val="00C155EE"/>
    <w:rsid w:val="00C30FD6"/>
    <w:rsid w:val="00C31FEE"/>
    <w:rsid w:val="00C37E4F"/>
    <w:rsid w:val="00C55FFC"/>
    <w:rsid w:val="00C758F7"/>
    <w:rsid w:val="00C75CE0"/>
    <w:rsid w:val="00C920D4"/>
    <w:rsid w:val="00CA7627"/>
    <w:rsid w:val="00CC68E1"/>
    <w:rsid w:val="00CD4339"/>
    <w:rsid w:val="00CD6D0D"/>
    <w:rsid w:val="00CD7611"/>
    <w:rsid w:val="00CE0380"/>
    <w:rsid w:val="00CE1DAC"/>
    <w:rsid w:val="00CE3CDC"/>
    <w:rsid w:val="00CE46B3"/>
    <w:rsid w:val="00CE50F9"/>
    <w:rsid w:val="00CE623C"/>
    <w:rsid w:val="00CE7F0C"/>
    <w:rsid w:val="00CF11EE"/>
    <w:rsid w:val="00CF140C"/>
    <w:rsid w:val="00CF1B14"/>
    <w:rsid w:val="00CF432B"/>
    <w:rsid w:val="00D01247"/>
    <w:rsid w:val="00D05444"/>
    <w:rsid w:val="00D05740"/>
    <w:rsid w:val="00D11C52"/>
    <w:rsid w:val="00D13875"/>
    <w:rsid w:val="00D15D07"/>
    <w:rsid w:val="00D160F2"/>
    <w:rsid w:val="00D178FC"/>
    <w:rsid w:val="00D30C32"/>
    <w:rsid w:val="00D313CB"/>
    <w:rsid w:val="00D342D7"/>
    <w:rsid w:val="00D357E1"/>
    <w:rsid w:val="00D37CDC"/>
    <w:rsid w:val="00D45BDF"/>
    <w:rsid w:val="00D51426"/>
    <w:rsid w:val="00D51C81"/>
    <w:rsid w:val="00D55429"/>
    <w:rsid w:val="00D6548F"/>
    <w:rsid w:val="00D65D0C"/>
    <w:rsid w:val="00D666D4"/>
    <w:rsid w:val="00D7239D"/>
    <w:rsid w:val="00D75FAE"/>
    <w:rsid w:val="00D76EA4"/>
    <w:rsid w:val="00D77F63"/>
    <w:rsid w:val="00D81CB3"/>
    <w:rsid w:val="00D9114A"/>
    <w:rsid w:val="00D932AD"/>
    <w:rsid w:val="00DA11C0"/>
    <w:rsid w:val="00DD0452"/>
    <w:rsid w:val="00DE4452"/>
    <w:rsid w:val="00DF2784"/>
    <w:rsid w:val="00DF6CA0"/>
    <w:rsid w:val="00E145E1"/>
    <w:rsid w:val="00E26123"/>
    <w:rsid w:val="00E34559"/>
    <w:rsid w:val="00E41481"/>
    <w:rsid w:val="00E416F8"/>
    <w:rsid w:val="00E54867"/>
    <w:rsid w:val="00E656C1"/>
    <w:rsid w:val="00E66339"/>
    <w:rsid w:val="00E70B5D"/>
    <w:rsid w:val="00E750E2"/>
    <w:rsid w:val="00E80E84"/>
    <w:rsid w:val="00E82F77"/>
    <w:rsid w:val="00E83683"/>
    <w:rsid w:val="00E910F8"/>
    <w:rsid w:val="00EA7E26"/>
    <w:rsid w:val="00EB7128"/>
    <w:rsid w:val="00EC1E4E"/>
    <w:rsid w:val="00EC5F1B"/>
    <w:rsid w:val="00EE29F6"/>
    <w:rsid w:val="00EE4548"/>
    <w:rsid w:val="00EE7634"/>
    <w:rsid w:val="00EF10FB"/>
    <w:rsid w:val="00F030F8"/>
    <w:rsid w:val="00F05A41"/>
    <w:rsid w:val="00F14384"/>
    <w:rsid w:val="00F16CF2"/>
    <w:rsid w:val="00F17C34"/>
    <w:rsid w:val="00F318EA"/>
    <w:rsid w:val="00F32FC7"/>
    <w:rsid w:val="00F359F6"/>
    <w:rsid w:val="00F42582"/>
    <w:rsid w:val="00F44957"/>
    <w:rsid w:val="00F71454"/>
    <w:rsid w:val="00F72206"/>
    <w:rsid w:val="00F72D12"/>
    <w:rsid w:val="00F73C3F"/>
    <w:rsid w:val="00F753FF"/>
    <w:rsid w:val="00F80D93"/>
    <w:rsid w:val="00F93684"/>
    <w:rsid w:val="00F95EDA"/>
    <w:rsid w:val="00FB3044"/>
    <w:rsid w:val="00FB59D6"/>
    <w:rsid w:val="00FC16A3"/>
    <w:rsid w:val="00FC1D9D"/>
    <w:rsid w:val="00FC2848"/>
    <w:rsid w:val="00FD1849"/>
    <w:rsid w:val="00FD3150"/>
    <w:rsid w:val="00FD530D"/>
    <w:rsid w:val="00FD65C5"/>
    <w:rsid w:val="00FD683E"/>
    <w:rsid w:val="00FE4A90"/>
    <w:rsid w:val="00FF22F6"/>
    <w:rsid w:val="00FF305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219E5"/>
  <w15:docId w15:val="{C7A7E73E-C5B1-46B9-8381-700F8B75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D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9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9F6"/>
  </w:style>
  <w:style w:type="paragraph" w:styleId="Piedepgina">
    <w:name w:val="footer"/>
    <w:basedOn w:val="Normal"/>
    <w:link w:val="PiedepginaCar"/>
    <w:uiPriority w:val="99"/>
    <w:unhideWhenUsed/>
    <w:rsid w:val="00EE29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9F6"/>
  </w:style>
  <w:style w:type="table" w:styleId="Tablaconcuadrcula">
    <w:name w:val="Table Grid"/>
    <w:basedOn w:val="Tablanormal"/>
    <w:uiPriority w:val="39"/>
    <w:rsid w:val="00EE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23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39D"/>
    <w:rPr>
      <w:rFonts w:ascii="Segoe UI" w:hAnsi="Segoe UI" w:cs="Segoe UI"/>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24DA5"/>
    <w:pPr>
      <w:ind w:left="720"/>
      <w:contextualSpacing/>
    </w:pPr>
  </w:style>
  <w:style w:type="paragraph" w:styleId="Textonotapie">
    <w:name w:val="footnote text"/>
    <w:basedOn w:val="Normal"/>
    <w:link w:val="TextonotapieCar"/>
    <w:uiPriority w:val="99"/>
    <w:semiHidden/>
    <w:unhideWhenUsed/>
    <w:rsid w:val="009943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43E1"/>
    <w:rPr>
      <w:sz w:val="20"/>
      <w:szCs w:val="20"/>
    </w:rPr>
  </w:style>
  <w:style w:type="character" w:styleId="Refdenotaalpie">
    <w:name w:val="footnote reference"/>
    <w:basedOn w:val="Fuentedeprrafopredeter"/>
    <w:uiPriority w:val="99"/>
    <w:semiHidden/>
    <w:unhideWhenUsed/>
    <w:rsid w:val="009943E1"/>
    <w:rPr>
      <w:vertAlign w:val="superscript"/>
    </w:rPr>
  </w:style>
  <w:style w:type="character" w:styleId="Hipervnculo">
    <w:name w:val="Hyperlink"/>
    <w:basedOn w:val="Fuentedeprrafopredeter"/>
    <w:uiPriority w:val="99"/>
    <w:unhideWhenUsed/>
    <w:rsid w:val="001159DC"/>
    <w:rPr>
      <w:color w:val="0563C1" w:themeColor="hyperlink"/>
      <w:u w:val="single"/>
    </w:rPr>
  </w:style>
  <w:style w:type="character" w:styleId="Textoennegrita">
    <w:name w:val="Strong"/>
    <w:basedOn w:val="Fuentedeprrafopredeter"/>
    <w:qFormat/>
    <w:rsid w:val="008933AC"/>
    <w:rPr>
      <w:b/>
      <w:bC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8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0456-88FA-4473-869D-C2DE195B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3307</Words>
  <Characters>18192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8</cp:revision>
  <cp:lastPrinted>2023-06-02T01:32:00Z</cp:lastPrinted>
  <dcterms:created xsi:type="dcterms:W3CDTF">2024-02-01T21:28:00Z</dcterms:created>
  <dcterms:modified xsi:type="dcterms:W3CDTF">2024-02-09T20:26:00Z</dcterms:modified>
</cp:coreProperties>
</file>