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6F" w:rsidRDefault="002D246F" w:rsidP="002D246F">
      <w:pPr>
        <w:pStyle w:val="Encabezado"/>
        <w:spacing w:line="360" w:lineRule="auto"/>
        <w:ind w:right="49"/>
        <w:jc w:val="both"/>
        <w:rPr>
          <w:rFonts w:ascii="Palatino Linotype" w:hAnsi="Palatino Linotype" w:cs="Tahoma"/>
          <w:b/>
        </w:rPr>
      </w:pPr>
      <w:r w:rsidRPr="00300422">
        <w:rPr>
          <w:rFonts w:ascii="Palatino Linotype" w:hAnsi="Palatino Linotype" w:cs="Tahoma"/>
          <w:b/>
        </w:rPr>
        <w:t>VOTO PARTICULAR QUE FORMULAN LOS COMISIONADOS MARÍA DEL ROSARIO MEJÍA AYALA Y LUIS GUSTAVO PARRA NORIEGA, CON RELACIÓN A LA RESOLUCIÓN EMITIDA POR EL PLENO DEL INSTITUTO DE TRANSPARENCIA, ACCESO A LA INFORMACIÓN PÚBLICA Y PROTECCIÓN DE DATOS PERSONALES DEL ESTADO DE MÉXICO Y MUNICIPIOS AL RECURSO DE REVISIÓN</w:t>
      </w:r>
      <w:r>
        <w:rPr>
          <w:rFonts w:ascii="Palatino Linotype" w:hAnsi="Palatino Linotype" w:cs="Tahoma"/>
          <w:b/>
        </w:rPr>
        <w:t xml:space="preserve"> </w:t>
      </w:r>
      <w:r w:rsidR="00553B85">
        <w:rPr>
          <w:rFonts w:ascii="Palatino Linotype" w:eastAsia="Palatino Linotype" w:hAnsi="Palatino Linotype" w:cs="Palatino Linotype"/>
          <w:b/>
        </w:rPr>
        <w:t>07737</w:t>
      </w:r>
      <w:r>
        <w:rPr>
          <w:rFonts w:ascii="Palatino Linotype" w:eastAsia="Palatino Linotype" w:hAnsi="Palatino Linotype" w:cs="Palatino Linotype"/>
          <w:b/>
        </w:rPr>
        <w:t>/INFOEM/IP/RR/2023</w:t>
      </w:r>
      <w:r w:rsidRPr="00300422">
        <w:rPr>
          <w:rFonts w:ascii="Palatino Linotype" w:hAnsi="Palatino Linotype" w:cs="Tahoma"/>
          <w:b/>
        </w:rPr>
        <w:t xml:space="preserve">, PROMOVIDO EN CONTRA DEL </w:t>
      </w:r>
      <w:r w:rsidR="00553B85">
        <w:rPr>
          <w:rFonts w:ascii="Palatino Linotype" w:eastAsia="Palatino Linotype" w:hAnsi="Palatino Linotype" w:cs="Palatino Linotype"/>
          <w:b/>
          <w:lang w:val="es-MX"/>
        </w:rPr>
        <w:t>AYUNTAMIENTO DE METEPEC</w:t>
      </w:r>
      <w:r>
        <w:rPr>
          <w:rFonts w:ascii="Palatino Linotype" w:hAnsi="Palatino Linotype" w:cs="Tahoma"/>
          <w:b/>
        </w:rPr>
        <w:t xml:space="preserve">. </w:t>
      </w:r>
    </w:p>
    <w:p w:rsidR="002D246F" w:rsidRDefault="002D246F" w:rsidP="002D246F">
      <w:pPr>
        <w:pStyle w:val="Encabezado"/>
        <w:spacing w:line="360" w:lineRule="auto"/>
        <w:ind w:right="49"/>
        <w:jc w:val="both"/>
        <w:rPr>
          <w:rFonts w:ascii="Palatino Linotype" w:hAnsi="Palatino Linotype" w:cs="Tahoma"/>
        </w:rPr>
      </w:pPr>
    </w:p>
    <w:p w:rsidR="002D246F" w:rsidRDefault="002D246F" w:rsidP="002D246F">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553B85">
        <w:rPr>
          <w:rFonts w:ascii="Palatino Linotype" w:eastAsia="Palatino Linotype" w:hAnsi="Palatino Linotype" w:cs="Palatino Linotype"/>
          <w:b/>
        </w:rPr>
        <w:t>07737</w:t>
      </w:r>
      <w:r>
        <w:rPr>
          <w:rFonts w:ascii="Palatino Linotype" w:eastAsia="Palatino Linotype" w:hAnsi="Palatino Linotype" w:cs="Palatino Linotype"/>
          <w:b/>
        </w:rPr>
        <w:t>/INFOEM/IP/RR/2023</w:t>
      </w:r>
      <w:r>
        <w:rPr>
          <w:rFonts w:ascii="Palatino Linotype" w:hAnsi="Palatino Linotype" w:cs="Tahoma"/>
          <w:b/>
          <w:bCs/>
        </w:rPr>
        <w:t>.</w:t>
      </w:r>
    </w:p>
    <w:p w:rsidR="002D246F" w:rsidRPr="005A391A" w:rsidRDefault="002D246F" w:rsidP="002D246F">
      <w:pPr>
        <w:spacing w:after="0" w:line="360" w:lineRule="auto"/>
        <w:jc w:val="both"/>
        <w:rPr>
          <w:rFonts w:ascii="Palatino Linotype" w:hAnsi="Palatino Linotype" w:cs="Tahoma"/>
        </w:rPr>
      </w:pPr>
    </w:p>
    <w:p w:rsidR="002D246F" w:rsidRPr="00553B85" w:rsidRDefault="002D246F" w:rsidP="002D246F">
      <w:pPr>
        <w:spacing w:before="240" w:after="240" w:line="360" w:lineRule="auto"/>
        <w:ind w:right="49"/>
        <w:jc w:val="both"/>
        <w:rPr>
          <w:rFonts w:ascii="Palatino Linotype" w:hAnsi="Palatino Linotype" w:cs="Tahoma"/>
          <w:lang w:val="es-MX"/>
        </w:rPr>
      </w:pPr>
      <w:r w:rsidRPr="00300422">
        <w:rPr>
          <w:rFonts w:ascii="Palatino Linotype" w:hAnsi="Palatino Linotype" w:cs="Tahoma"/>
        </w:rPr>
        <w:t xml:space="preserve">Como se desprende de la Resolución que nos ocupa, el Solicitante requirió </w:t>
      </w:r>
      <w:r w:rsidR="00553B85" w:rsidRPr="00553B85">
        <w:rPr>
          <w:rFonts w:ascii="Palatino Linotype" w:eastAsia="Palatino Linotype" w:hAnsi="Palatino Linotype" w:cs="Palatino Linotype"/>
          <w:i/>
          <w:lang w:val="es-MX"/>
        </w:rPr>
        <w:t xml:space="preserve">“solicito ver el recibo de nómina o </w:t>
      </w:r>
      <w:proofErr w:type="spellStart"/>
      <w:r w:rsidR="00553B85" w:rsidRPr="00553B85">
        <w:rPr>
          <w:rFonts w:ascii="Palatino Linotype" w:eastAsia="Palatino Linotype" w:hAnsi="Palatino Linotype" w:cs="Palatino Linotype"/>
          <w:i/>
          <w:lang w:val="es-MX"/>
        </w:rPr>
        <w:t>cfdi</w:t>
      </w:r>
      <w:proofErr w:type="spellEnd"/>
      <w:r w:rsidR="00553B85" w:rsidRPr="00553B85">
        <w:rPr>
          <w:rFonts w:ascii="Palatino Linotype" w:eastAsia="Palatino Linotype" w:hAnsi="Palatino Linotype" w:cs="Palatino Linotype"/>
          <w:i/>
          <w:lang w:val="es-MX"/>
        </w:rPr>
        <w:t xml:space="preserve"> donde se refleje el pago neto quincenal de ALEJANDRO GARCIA DE ALBA GOMEZ </w:t>
      </w:r>
      <w:proofErr w:type="spellStart"/>
      <w:r w:rsidR="00553B85" w:rsidRPr="00553B85">
        <w:rPr>
          <w:rFonts w:ascii="Palatino Linotype" w:eastAsia="Palatino Linotype" w:hAnsi="Palatino Linotype" w:cs="Palatino Linotype"/>
          <w:i/>
          <w:lang w:val="es-MX"/>
        </w:rPr>
        <w:t>asi</w:t>
      </w:r>
      <w:proofErr w:type="spellEnd"/>
      <w:r w:rsidR="00553B85" w:rsidRPr="00553B85">
        <w:rPr>
          <w:rFonts w:ascii="Palatino Linotype" w:eastAsia="Palatino Linotype" w:hAnsi="Palatino Linotype" w:cs="Palatino Linotype"/>
          <w:i/>
          <w:lang w:val="es-MX"/>
        </w:rPr>
        <w:t xml:space="preserve"> como su expediente completo</w:t>
      </w:r>
      <w:r w:rsidR="00553B85">
        <w:rPr>
          <w:rFonts w:ascii="Palatino Linotype" w:eastAsia="Palatino Linotype" w:hAnsi="Palatino Linotype" w:cs="Palatino Linotype"/>
          <w:i/>
        </w:rPr>
        <w:t xml:space="preserve">, </w:t>
      </w:r>
      <w:r w:rsidRPr="00300422">
        <w:rPr>
          <w:rFonts w:ascii="Palatino Linotype" w:hAnsi="Palatino Linotype" w:cs="Tahoma"/>
        </w:rPr>
        <w:t>por lo que</w:t>
      </w:r>
      <w:r>
        <w:rPr>
          <w:rFonts w:ascii="Palatino Linotype" w:hAnsi="Palatino Linotype" w:cs="Tahoma"/>
        </w:rPr>
        <w:t>,</w:t>
      </w:r>
      <w:r w:rsidRPr="00300422">
        <w:rPr>
          <w:rFonts w:ascii="Palatino Linotype" w:hAnsi="Palatino Linotype" w:cs="Tahoma"/>
        </w:rPr>
        <w:t xml:space="preserve"> se determinó ordenar la entrega </w:t>
      </w:r>
      <w:r w:rsidR="00553B85">
        <w:rPr>
          <w:rFonts w:ascii="Palatino Linotype" w:hAnsi="Palatino Linotype" w:cs="Tahoma"/>
        </w:rPr>
        <w:t xml:space="preserve">de </w:t>
      </w:r>
      <w:r w:rsidR="00553B85">
        <w:rPr>
          <w:rFonts w:ascii="Palatino Linotype" w:hAnsi="Palatino Linotype" w:cs="Arial"/>
          <w:color w:val="000000"/>
        </w:rPr>
        <w:t>l</w:t>
      </w:r>
      <w:r w:rsidR="00553B85" w:rsidRPr="00553B85">
        <w:rPr>
          <w:rFonts w:ascii="Palatino Linotype" w:hAnsi="Palatino Linotype" w:cs="Arial"/>
          <w:color w:val="000000"/>
        </w:rPr>
        <w:t>os documentos faltantes que integran el expediente de personal del servidor público referido en la solicitud</w:t>
      </w:r>
      <w:bookmarkStart w:id="0" w:name="_GoBack"/>
      <w:bookmarkEnd w:id="0"/>
      <w:r>
        <w:rPr>
          <w:rFonts w:ascii="Palatino Linotype" w:hAnsi="Palatino Linotype" w:cs="Tahoma"/>
          <w:i/>
          <w:lang w:val="es-MX"/>
        </w:rPr>
        <w:t>,</w:t>
      </w:r>
      <w:r w:rsidRPr="00300422">
        <w:rPr>
          <w:rFonts w:ascii="Palatino Linotype" w:hAnsi="Palatino Linotype" w:cs="Tahoma"/>
        </w:rPr>
        <w:t xml:space="preserve"> junto con el Acuerdo que emita el Comité de transparencia para la clasificación de información; sin embargo, también se ordenó clasificar la firma.</w:t>
      </w:r>
    </w:p>
    <w:p w:rsidR="002D246F" w:rsidRPr="00603EC4" w:rsidRDefault="002D246F" w:rsidP="002D246F">
      <w:pPr>
        <w:spacing w:after="0" w:line="360" w:lineRule="auto"/>
        <w:jc w:val="both"/>
        <w:rPr>
          <w:rFonts w:ascii="Palatino Linotype" w:hAnsi="Palatino Linotype" w:cs="Tahoma"/>
        </w:rPr>
      </w:pPr>
    </w:p>
    <w:p w:rsidR="002D246F" w:rsidRPr="00300422" w:rsidRDefault="002D246F" w:rsidP="002D246F">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rsidR="002D246F" w:rsidRDefault="002D246F" w:rsidP="002D246F">
      <w:pPr>
        <w:spacing w:after="0" w:line="360" w:lineRule="auto"/>
        <w:jc w:val="both"/>
        <w:rPr>
          <w:rFonts w:ascii="Palatino Linotype" w:hAnsi="Palatino Linotype" w:cs="Arial"/>
        </w:rPr>
      </w:pPr>
    </w:p>
    <w:p w:rsidR="002D246F" w:rsidRPr="00300422" w:rsidRDefault="002D246F" w:rsidP="002D246F">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rsidR="002D246F" w:rsidRPr="00300422" w:rsidRDefault="002D246F" w:rsidP="002D246F">
      <w:pPr>
        <w:pStyle w:val="Prrafodelista"/>
        <w:spacing w:after="0" w:line="360" w:lineRule="auto"/>
        <w:jc w:val="both"/>
        <w:rPr>
          <w:rFonts w:ascii="Palatino Linotype" w:hAnsi="Palatino Linotype" w:cs="Arial"/>
        </w:rPr>
      </w:pPr>
    </w:p>
    <w:p w:rsidR="002D246F" w:rsidRPr="00300422" w:rsidRDefault="002D246F" w:rsidP="002D246F">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rsidR="002D246F" w:rsidRPr="00300422" w:rsidRDefault="002D246F" w:rsidP="002D246F">
      <w:pPr>
        <w:pStyle w:val="Prrafodelista"/>
        <w:spacing w:after="0" w:line="360" w:lineRule="auto"/>
        <w:ind w:left="567" w:right="567"/>
        <w:jc w:val="both"/>
        <w:rPr>
          <w:rFonts w:ascii="Palatino Linotype" w:hAnsi="Palatino Linotype" w:cs="Arial"/>
          <w:i/>
          <w:iCs/>
          <w:sz w:val="20"/>
          <w:szCs w:val="20"/>
        </w:rPr>
      </w:pPr>
    </w:p>
    <w:p w:rsidR="002D246F" w:rsidRPr="00300422" w:rsidRDefault="002D246F" w:rsidP="002D246F">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rsidR="002D246F" w:rsidRPr="00300422" w:rsidRDefault="002D246F" w:rsidP="002D246F">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rsidR="002D246F" w:rsidRPr="00300422" w:rsidRDefault="002D246F" w:rsidP="002D246F">
      <w:pPr>
        <w:pStyle w:val="Prrafodelista"/>
        <w:spacing w:after="0" w:line="360" w:lineRule="auto"/>
        <w:jc w:val="both"/>
        <w:rPr>
          <w:rFonts w:ascii="Palatino Linotype" w:hAnsi="Palatino Linotype" w:cs="Arial"/>
        </w:rPr>
      </w:pPr>
    </w:p>
    <w:p w:rsidR="002D246F" w:rsidRPr="00300422" w:rsidRDefault="002D246F" w:rsidP="002D246F">
      <w:pPr>
        <w:spacing w:after="0" w:line="360" w:lineRule="auto"/>
        <w:jc w:val="both"/>
        <w:rPr>
          <w:rFonts w:ascii="Palatino Linotype" w:hAnsi="Palatino Linotype" w:cs="Arial"/>
        </w:rPr>
      </w:pPr>
      <w:r w:rsidRPr="00300422">
        <w:rPr>
          <w:rFonts w:ascii="Palatino Linotype" w:hAnsi="Palatino Linotype" w:cs="Arial"/>
        </w:rPr>
        <w:t>Así</w:t>
      </w:r>
      <w:r>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lastRenderedPageBreak/>
        <w:t>el 25 de marzo de 2022, que define la cédula profesional y el título universitario en su artículo 3°, fracciones I y IX, de la siguiente manera:</w:t>
      </w:r>
    </w:p>
    <w:p w:rsidR="002D246F" w:rsidRPr="00300422" w:rsidRDefault="002D246F" w:rsidP="002D246F">
      <w:pPr>
        <w:pStyle w:val="Prrafodelista"/>
        <w:spacing w:after="0" w:line="360" w:lineRule="auto"/>
        <w:jc w:val="both"/>
        <w:rPr>
          <w:rFonts w:ascii="Palatino Linotype" w:hAnsi="Palatino Linotype" w:cs="Arial"/>
        </w:rPr>
      </w:pPr>
    </w:p>
    <w:p w:rsidR="002D246F" w:rsidRPr="00300422" w:rsidRDefault="002D246F" w:rsidP="002D246F">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3. Para efectos de este Reglamento, se entiende por:</w:t>
      </w:r>
    </w:p>
    <w:p w:rsidR="002D246F" w:rsidRPr="00300422" w:rsidRDefault="002D246F" w:rsidP="002D246F">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rsidR="002D246F" w:rsidRPr="00300422" w:rsidRDefault="002D246F" w:rsidP="002D246F">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rsidR="002D246F" w:rsidRPr="00300422" w:rsidRDefault="002D246F" w:rsidP="002D246F">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rsidR="002D246F" w:rsidRPr="00300422" w:rsidRDefault="002D246F" w:rsidP="002D246F">
      <w:pPr>
        <w:pStyle w:val="Prrafodelista"/>
        <w:spacing w:after="0" w:line="360" w:lineRule="auto"/>
        <w:jc w:val="both"/>
        <w:rPr>
          <w:rFonts w:ascii="Palatino Linotype" w:hAnsi="Palatino Linotype" w:cs="Arial"/>
        </w:rPr>
      </w:pPr>
    </w:p>
    <w:p w:rsidR="002D246F" w:rsidRPr="00300422" w:rsidRDefault="002D246F" w:rsidP="002D246F">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rsidR="002D246F" w:rsidRPr="00300422" w:rsidRDefault="002D246F" w:rsidP="002D246F">
      <w:pPr>
        <w:pStyle w:val="Prrafodelista"/>
        <w:spacing w:after="0" w:line="360" w:lineRule="auto"/>
        <w:jc w:val="both"/>
        <w:rPr>
          <w:rFonts w:ascii="Palatino Linotype" w:hAnsi="Palatino Linotype" w:cs="Arial"/>
        </w:rPr>
      </w:pPr>
    </w:p>
    <w:p w:rsidR="002D246F" w:rsidRPr="00300422" w:rsidRDefault="002D246F" w:rsidP="002D246F">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rsidR="002D246F" w:rsidRPr="00300422" w:rsidRDefault="002D246F" w:rsidP="002D246F">
      <w:pPr>
        <w:pStyle w:val="Prrafodelista"/>
        <w:spacing w:after="0" w:line="360" w:lineRule="auto"/>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rsidR="002D246F" w:rsidRDefault="002D246F" w:rsidP="002D246F">
      <w:pPr>
        <w:pStyle w:val="Prrafodelista"/>
        <w:spacing w:after="0" w:line="360" w:lineRule="auto"/>
        <w:ind w:left="0"/>
        <w:jc w:val="both"/>
        <w:rPr>
          <w:rFonts w:ascii="Palatino Linotype" w:eastAsia="Calibri" w:hAnsi="Palatino Linotype" w:cs="Tahoma"/>
          <w:bCs/>
        </w:rPr>
      </w:pPr>
    </w:p>
    <w:p w:rsidR="002D246F" w:rsidRPr="00300422" w:rsidRDefault="002D246F" w:rsidP="002D246F">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rsidR="002D246F" w:rsidRPr="00300422" w:rsidRDefault="002D246F" w:rsidP="002D246F">
      <w:pPr>
        <w:spacing w:after="0" w:line="360" w:lineRule="auto"/>
        <w:ind w:right="49"/>
        <w:jc w:val="both"/>
        <w:rPr>
          <w:rFonts w:ascii="Palatino Linotype" w:hAnsi="Palatino Linotype" w:cs="Arial"/>
        </w:rPr>
      </w:pPr>
    </w:p>
    <w:p w:rsidR="002D246F" w:rsidRPr="00300422" w:rsidRDefault="002D246F" w:rsidP="002D246F">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rsidR="002D246F" w:rsidRPr="00300422" w:rsidRDefault="002D246F" w:rsidP="002D246F">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rsidR="002D246F" w:rsidRPr="00300422" w:rsidRDefault="002D246F" w:rsidP="002D246F">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rsidR="002D246F" w:rsidRPr="00300422" w:rsidRDefault="002D246F" w:rsidP="002D246F">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rsidR="002D246F" w:rsidRPr="00300422" w:rsidRDefault="002D246F" w:rsidP="002D246F">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rsidR="002D246F" w:rsidRPr="00300422" w:rsidRDefault="002D246F" w:rsidP="002D246F">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rsidR="002D246F" w:rsidRPr="00300422" w:rsidRDefault="002D246F" w:rsidP="002D246F">
      <w:pPr>
        <w:spacing w:after="0" w:line="360" w:lineRule="auto"/>
        <w:ind w:right="49"/>
        <w:jc w:val="both"/>
        <w:rPr>
          <w:rFonts w:ascii="Palatino Linotype" w:hAnsi="Palatino Linotype" w:cs="Arial"/>
        </w:rPr>
      </w:pPr>
    </w:p>
    <w:p w:rsidR="002D246F" w:rsidRPr="00300422" w:rsidRDefault="002D246F" w:rsidP="002D246F">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w:t>
      </w:r>
      <w:r w:rsidRPr="00300422">
        <w:rPr>
          <w:rFonts w:ascii="Palatino Linotype" w:hAnsi="Palatino Linotype" w:cs="Arial"/>
        </w:rPr>
        <w:lastRenderedPageBreak/>
        <w:t xml:space="preserve">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rsidR="002D246F" w:rsidRPr="00300422" w:rsidRDefault="002D246F" w:rsidP="002D246F">
      <w:pPr>
        <w:spacing w:after="0" w:line="360" w:lineRule="auto"/>
        <w:ind w:right="49"/>
        <w:jc w:val="both"/>
        <w:rPr>
          <w:rFonts w:ascii="Palatino Linotype" w:hAnsi="Palatino Linotype" w:cs="Arial"/>
        </w:rPr>
      </w:pPr>
    </w:p>
    <w:p w:rsidR="002D246F" w:rsidRPr="00300422" w:rsidRDefault="002D246F" w:rsidP="002D246F">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rsidR="002D246F" w:rsidRPr="00300422" w:rsidRDefault="002D246F" w:rsidP="002D246F">
      <w:pPr>
        <w:spacing w:after="0" w:line="360" w:lineRule="auto"/>
        <w:ind w:right="49"/>
        <w:jc w:val="both"/>
        <w:rPr>
          <w:rFonts w:ascii="Palatino Linotype" w:hAnsi="Palatino Linotype" w:cs="Arial"/>
        </w:rPr>
      </w:pPr>
    </w:p>
    <w:p w:rsidR="002D246F" w:rsidRDefault="002D246F" w:rsidP="002D246F">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rsidR="002D246F" w:rsidRDefault="002D246F" w:rsidP="002D246F">
      <w:pPr>
        <w:spacing w:after="0" w:line="360" w:lineRule="auto"/>
        <w:ind w:right="49"/>
        <w:jc w:val="both"/>
        <w:rPr>
          <w:rFonts w:ascii="Palatino Linotype" w:hAnsi="Palatino Linotype" w:cs="Arial"/>
        </w:rPr>
      </w:pPr>
    </w:p>
    <w:p w:rsidR="002D246F" w:rsidRPr="00300422" w:rsidRDefault="002D246F" w:rsidP="002D246F">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 xml:space="preserve">necesidad de resolver el </w:t>
      </w:r>
      <w:r w:rsidRPr="00300422">
        <w:rPr>
          <w:rFonts w:ascii="Palatino Linotype" w:hAnsi="Palatino Linotype" w:cs="Arial"/>
          <w:b/>
          <w:bCs/>
        </w:rPr>
        <w:lastRenderedPageBreak/>
        <w:t>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2D246F" w:rsidRPr="00300422" w:rsidRDefault="002D246F" w:rsidP="002D246F">
      <w:pPr>
        <w:spacing w:after="0" w:line="360" w:lineRule="auto"/>
        <w:ind w:right="49"/>
        <w:jc w:val="both"/>
        <w:rPr>
          <w:rFonts w:ascii="Palatino Linotype" w:hAnsi="Palatino Linotype" w:cs="Arial"/>
        </w:rPr>
      </w:pPr>
    </w:p>
    <w:p w:rsidR="002D246F" w:rsidRDefault="002D246F" w:rsidP="002D246F">
      <w:pPr>
        <w:spacing w:after="0" w:line="360" w:lineRule="auto"/>
        <w:ind w:right="49"/>
        <w:jc w:val="both"/>
        <w:rPr>
          <w:rFonts w:ascii="Palatino Linotype" w:hAnsi="Palatino Linotype" w:cs="Arial"/>
        </w:rPr>
      </w:pPr>
      <w:r w:rsidRPr="00300422">
        <w:rPr>
          <w:rFonts w:ascii="Palatino Linotype" w:hAnsi="Palatino Linotype" w:cs="Arial"/>
        </w:rPr>
        <w:t>En 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rsidR="002D246F" w:rsidRPr="009F218B" w:rsidRDefault="002D246F" w:rsidP="002D246F">
      <w:pPr>
        <w:spacing w:after="0" w:line="360" w:lineRule="auto"/>
        <w:ind w:right="49"/>
        <w:jc w:val="both"/>
        <w:rPr>
          <w:rFonts w:ascii="Palatino Linotype" w:eastAsia="Times New Roman" w:hAnsi="Palatino Linotype" w:cs="Tahoma"/>
          <w:bCs/>
          <w:iCs/>
          <w:lang w:val="es-MX" w:eastAsia="es-ES"/>
        </w:rPr>
      </w:pPr>
    </w:p>
    <w:p w:rsidR="002D246F" w:rsidRDefault="002D246F" w:rsidP="002D246F">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rsidR="002D246F" w:rsidRPr="009F218B" w:rsidRDefault="002D246F" w:rsidP="002D246F">
      <w:pPr>
        <w:spacing w:after="0" w:line="360" w:lineRule="auto"/>
        <w:ind w:left="426" w:right="49"/>
        <w:contextualSpacing/>
        <w:jc w:val="both"/>
        <w:rPr>
          <w:rFonts w:ascii="Palatino Linotype" w:eastAsia="Times New Roman" w:hAnsi="Palatino Linotype" w:cs="Tahoma"/>
          <w:bCs/>
          <w:iCs/>
          <w:lang w:val="es-MX" w:eastAsia="es-ES"/>
        </w:rPr>
      </w:pPr>
    </w:p>
    <w:p w:rsidR="002D246F" w:rsidRDefault="002D246F" w:rsidP="002D246F">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rsidR="002D246F" w:rsidRDefault="002D246F" w:rsidP="002D246F">
      <w:pPr>
        <w:pStyle w:val="Prrafodelista"/>
        <w:rPr>
          <w:rFonts w:ascii="Palatino Linotype" w:eastAsia="Times New Roman" w:hAnsi="Palatino Linotype" w:cs="Tahoma"/>
          <w:bCs/>
          <w:iCs/>
          <w:lang w:val="es-MX" w:eastAsia="es-ES"/>
        </w:rPr>
      </w:pPr>
    </w:p>
    <w:p w:rsidR="002D246F" w:rsidRPr="009F218B" w:rsidRDefault="002D246F" w:rsidP="002D246F">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rsidR="002D246F" w:rsidRDefault="002D246F" w:rsidP="002D246F">
      <w:pPr>
        <w:pStyle w:val="Prrafodelista"/>
        <w:spacing w:after="0" w:line="360" w:lineRule="auto"/>
        <w:ind w:left="0"/>
        <w:jc w:val="both"/>
        <w:rPr>
          <w:rFonts w:ascii="Palatino Linotype" w:hAnsi="Palatino Linotype" w:cs="Arial"/>
        </w:rPr>
      </w:pPr>
    </w:p>
    <w:p w:rsidR="002D246F" w:rsidRPr="00264223" w:rsidRDefault="002D246F" w:rsidP="002D246F">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lastRenderedPageBreak/>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rsidR="002D246F" w:rsidRDefault="002D246F" w:rsidP="002D246F">
      <w:pPr>
        <w:pStyle w:val="Prrafodelista"/>
        <w:spacing w:after="0" w:line="360" w:lineRule="auto"/>
        <w:ind w:left="0"/>
        <w:jc w:val="both"/>
        <w:rPr>
          <w:rFonts w:ascii="Palatino Linotype" w:hAnsi="Palatino Linotype" w:cs="Arial"/>
          <w:b/>
        </w:rPr>
      </w:pPr>
    </w:p>
    <w:p w:rsidR="002D246F" w:rsidRPr="009F44D4" w:rsidRDefault="002D246F" w:rsidP="002D246F">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rsidR="002D246F" w:rsidRDefault="002D246F" w:rsidP="002D246F">
      <w:pPr>
        <w:pStyle w:val="Prrafodelista"/>
        <w:spacing w:after="0" w:line="360" w:lineRule="auto"/>
        <w:ind w:left="0"/>
        <w:jc w:val="both"/>
        <w:rPr>
          <w:rFonts w:ascii="Palatino Linotype" w:hAnsi="Palatino Linotype" w:cs="Arial"/>
        </w:rPr>
      </w:pPr>
    </w:p>
    <w:p w:rsidR="002D246F" w:rsidRPr="007E15F0" w:rsidRDefault="002D246F" w:rsidP="002D246F">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rsidR="002D246F" w:rsidRPr="00442620"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De tal suerte que, la ausencia de elementos de relevancia como la firma dificulta que estos documentos cumplan con el propósito para el cual son expedidos, es decir, la finalidad </w:t>
      </w:r>
      <w:r w:rsidRPr="00300422">
        <w:rPr>
          <w:rFonts w:ascii="Palatino Linotype" w:hAnsi="Palatino Linotype" w:cs="Arial"/>
        </w:rPr>
        <w:lastRenderedPageBreak/>
        <w:t>constitucionalmente válida es que estos elementos sean medios de identificación de su titular como profesionista.</w:t>
      </w:r>
    </w:p>
    <w:p w:rsidR="002D246F" w:rsidRDefault="002D246F" w:rsidP="002D246F">
      <w:pPr>
        <w:pStyle w:val="Prrafodelista"/>
        <w:spacing w:after="0" w:line="360" w:lineRule="auto"/>
        <w:ind w:left="0"/>
        <w:jc w:val="both"/>
        <w:rPr>
          <w:rFonts w:ascii="Palatino Linotype" w:hAnsi="Palatino Linotype" w:cs="Arial"/>
        </w:rPr>
      </w:pPr>
    </w:p>
    <w:p w:rsidR="002D246F" w:rsidRPr="009F44D4" w:rsidRDefault="002D246F" w:rsidP="002D246F">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rsidR="002D246F" w:rsidRDefault="002D246F" w:rsidP="002D246F">
      <w:pPr>
        <w:pStyle w:val="Prrafodelista"/>
        <w:spacing w:after="0" w:line="360" w:lineRule="auto"/>
        <w:ind w:left="0"/>
        <w:jc w:val="both"/>
        <w:rPr>
          <w:rFonts w:ascii="Palatino Linotype" w:hAnsi="Palatino Linotype" w:cs="Arial"/>
        </w:rPr>
      </w:pPr>
    </w:p>
    <w:p w:rsidR="002D246F" w:rsidRPr="000122F9" w:rsidRDefault="002D246F" w:rsidP="002D246F">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rsidR="002D246F" w:rsidRPr="000122F9"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En esta fase, se debe establecer que la medida propuesta debe ser estrictamente proporcional y constituir la mínima afectación posible al otro derecho involucrado (derecho a la vida privada), de tal forma que el de protección de datos personales retroceda en la estricta e </w:t>
      </w:r>
      <w:r w:rsidRPr="00300422">
        <w:rPr>
          <w:rFonts w:ascii="Palatino Linotype" w:hAnsi="Palatino Linotype" w:cs="Arial"/>
        </w:rPr>
        <w:lastRenderedPageBreak/>
        <w:t>indispensable proporción para que el de acceso a la información prevalezca, sin que, desde luego, desaparezca el primero, cuando sí suponen una invasión a la vida privada.</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rsidR="002D246F" w:rsidRDefault="002D246F" w:rsidP="002D246F">
      <w:pPr>
        <w:pStyle w:val="Prrafodelista"/>
        <w:spacing w:after="0" w:line="360" w:lineRule="auto"/>
        <w:ind w:left="0"/>
        <w:jc w:val="both"/>
        <w:rPr>
          <w:rFonts w:ascii="Palatino Linotype" w:hAnsi="Palatino Linotype" w:cs="Arial"/>
        </w:rPr>
      </w:pPr>
    </w:p>
    <w:p w:rsidR="002D246F" w:rsidRPr="001D75DE" w:rsidRDefault="002D246F" w:rsidP="002D246F">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xml:space="preserve">, por lo que se trata de que cualquier </w:t>
      </w:r>
      <w:r>
        <w:rPr>
          <w:rFonts w:ascii="Palatino Linotype" w:hAnsi="Palatino Linotype" w:cs="Arial"/>
        </w:rPr>
        <w:lastRenderedPageBreak/>
        <w:t>persona interesada en conocer el nivel de preparación de un servidor público pueda conocerlo; esto implica que la información se encuentra relacionada directamente con la calidad de servidor público y no con su vida privada.</w:t>
      </w:r>
    </w:p>
    <w:p w:rsidR="002D246F" w:rsidRDefault="002D246F" w:rsidP="002D246F">
      <w:pPr>
        <w:pStyle w:val="Prrafodelista"/>
        <w:spacing w:after="0" w:line="360" w:lineRule="auto"/>
        <w:ind w:left="0"/>
        <w:jc w:val="both"/>
        <w:rPr>
          <w:rFonts w:ascii="Palatino Linotype" w:hAnsi="Palatino Linotype" w:cs="Arial"/>
        </w:rPr>
      </w:pPr>
    </w:p>
    <w:p w:rsidR="002D246F" w:rsidRDefault="002D246F" w:rsidP="002D246F">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w:t>
      </w:r>
      <w:r>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rsidR="002D246F" w:rsidRDefault="002D246F" w:rsidP="002D246F">
      <w:pPr>
        <w:spacing w:after="0" w:line="360" w:lineRule="auto"/>
        <w:jc w:val="both"/>
        <w:rPr>
          <w:rFonts w:ascii="Palatino Linotype" w:eastAsia="Calibri" w:hAnsi="Palatino Linotype" w:cs="Tahoma"/>
        </w:rPr>
      </w:pPr>
    </w:p>
    <w:p w:rsidR="002D246F" w:rsidRDefault="002D246F" w:rsidP="002D246F">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p>
    <w:p w:rsidR="002D246F" w:rsidRDefault="002D246F" w:rsidP="002D246F">
      <w:pPr>
        <w:rPr>
          <w:rFonts w:ascii="Palatino Linotype" w:eastAsia="Calibri" w:hAnsi="Palatino Linotype" w:cs="Tahoma"/>
        </w:rPr>
      </w:pPr>
      <w:r>
        <w:rPr>
          <w:rFonts w:ascii="Palatino Linotype" w:eastAsia="Calibri" w:hAnsi="Palatino Linotype" w:cs="Tahoma"/>
        </w:rPr>
        <w:br w:type="page"/>
      </w:r>
    </w:p>
    <w:p w:rsidR="002D246F" w:rsidRPr="002D04D5" w:rsidRDefault="002D246F" w:rsidP="002D246F">
      <w:pPr>
        <w:spacing w:after="0" w:line="360" w:lineRule="auto"/>
        <w:jc w:val="both"/>
        <w:rPr>
          <w:rFonts w:ascii="Palatino Linotype" w:eastAsia="Calibri" w:hAnsi="Palatino Linotype" w:cs="Tahoma"/>
        </w:rPr>
      </w:pPr>
    </w:p>
    <w:p w:rsidR="002D246F" w:rsidRDefault="002D246F" w:rsidP="002D246F"/>
    <w:p w:rsidR="002D246F" w:rsidRDefault="002D246F" w:rsidP="002D246F"/>
    <w:p w:rsidR="002D246F" w:rsidRDefault="002D246F" w:rsidP="002D246F"/>
    <w:p w:rsidR="00335307" w:rsidRDefault="00335307"/>
    <w:sectPr w:rsidR="00335307"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C0" w:rsidRDefault="00D21FC0" w:rsidP="00553B85">
      <w:pPr>
        <w:spacing w:after="0" w:line="240" w:lineRule="auto"/>
      </w:pPr>
      <w:r>
        <w:separator/>
      </w:r>
    </w:p>
  </w:endnote>
  <w:endnote w:type="continuationSeparator" w:id="0">
    <w:p w:rsidR="00D21FC0" w:rsidRDefault="00D21FC0" w:rsidP="0055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rsidR="00D3361F" w:rsidRDefault="00D21FC0"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D41E7">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D41E7">
              <w:rPr>
                <w:b/>
                <w:bCs/>
                <w:noProof/>
              </w:rPr>
              <w:t>11</w:t>
            </w:r>
            <w:r>
              <w:rPr>
                <w:b/>
                <w:bCs/>
                <w:sz w:val="24"/>
                <w:szCs w:val="24"/>
              </w:rPr>
              <w:fldChar w:fldCharType="end"/>
            </w:r>
          </w:p>
        </w:sdtContent>
      </w:sdt>
    </w:sdtContent>
  </w:sdt>
  <w:p w:rsidR="00D3361F" w:rsidRDefault="00D21FC0">
    <w:pPr>
      <w:pStyle w:val="Piedepgina"/>
    </w:pPr>
  </w:p>
  <w:p w:rsidR="00557965" w:rsidRDefault="00D21F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C0" w:rsidRDefault="00D21FC0" w:rsidP="00553B85">
      <w:pPr>
        <w:spacing w:after="0" w:line="240" w:lineRule="auto"/>
      </w:pPr>
      <w:r>
        <w:separator/>
      </w:r>
    </w:p>
  </w:footnote>
  <w:footnote w:type="continuationSeparator" w:id="0">
    <w:p w:rsidR="00D21FC0" w:rsidRDefault="00D21FC0" w:rsidP="00553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rsidTr="00603EC4">
      <w:trPr>
        <w:trHeight w:val="1702"/>
      </w:trPr>
      <w:tc>
        <w:tcPr>
          <w:tcW w:w="3549" w:type="dxa"/>
          <w:vAlign w:val="bottom"/>
        </w:tcPr>
        <w:p w:rsidR="00D3361F" w:rsidRDefault="00D21FC0" w:rsidP="0014093F">
          <w:pPr>
            <w:pStyle w:val="Encabezado"/>
            <w:tabs>
              <w:tab w:val="clear" w:pos="4252"/>
              <w:tab w:val="clear" w:pos="8504"/>
              <w:tab w:val="center" w:pos="2614"/>
              <w:tab w:val="right" w:pos="3195"/>
            </w:tabs>
            <w:ind w:left="-255"/>
          </w:pPr>
        </w:p>
        <w:p w:rsidR="00D3361F" w:rsidRDefault="00D21FC0" w:rsidP="0077694E">
          <w:pPr>
            <w:pStyle w:val="Encabezado"/>
            <w:tabs>
              <w:tab w:val="clear" w:pos="4252"/>
              <w:tab w:val="center" w:pos="2614"/>
            </w:tabs>
          </w:pPr>
          <w:r>
            <w:rPr>
              <w:noProof/>
              <w:sz w:val="10"/>
              <w:szCs w:val="10"/>
              <w:lang w:val="es-MX" w:eastAsia="es-MX"/>
            </w:rPr>
            <w:drawing>
              <wp:anchor distT="0" distB="0" distL="114300" distR="114300" simplePos="0" relativeHeight="251659264" behindDoc="0" locked="0" layoutInCell="1" allowOverlap="1" wp14:anchorId="2A685E90" wp14:editId="0100724A">
                <wp:simplePos x="0" y="0"/>
                <wp:positionH relativeFrom="column">
                  <wp:posOffset>-153035</wp:posOffset>
                </wp:positionH>
                <wp:positionV relativeFrom="paragraph">
                  <wp:posOffset>107950</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vAlign w:val="center"/>
        </w:tcPr>
        <w:p w:rsidR="00D3361F" w:rsidRDefault="00D21FC0" w:rsidP="003E7476">
          <w:pPr>
            <w:pStyle w:val="Encabezado"/>
            <w:ind w:left="34" w:right="175"/>
            <w:jc w:val="both"/>
            <w:rPr>
              <w:rFonts w:ascii="Palatino Linotype" w:hAnsi="Palatino Linotype" w:cs="Tahoma"/>
              <w:b/>
              <w:szCs w:val="20"/>
            </w:rPr>
          </w:pPr>
        </w:p>
        <w:p w:rsidR="00393CAA" w:rsidRDefault="00D21FC0" w:rsidP="00393CAA">
          <w:pPr>
            <w:pStyle w:val="Encabezado"/>
            <w:ind w:right="175"/>
            <w:jc w:val="both"/>
            <w:rPr>
              <w:rFonts w:ascii="Palatino Linotype" w:hAnsi="Palatino Linotype" w:cs="Tahoma"/>
              <w:b/>
              <w:szCs w:val="20"/>
            </w:rPr>
          </w:pPr>
        </w:p>
        <w:p w:rsidR="00D3361F" w:rsidRPr="001C75DB" w:rsidRDefault="00D21FC0"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Pr>
              <w:rFonts w:ascii="Palatino Linotype" w:hAnsi="Palatino Linotype" w:cs="Tahoma"/>
              <w:b/>
              <w:szCs w:val="20"/>
            </w:rPr>
            <w:t xml:space="preserve"> Concurrente</w:t>
          </w:r>
        </w:p>
        <w:p w:rsidR="007E10AF" w:rsidRDefault="00D21FC0" w:rsidP="00CF293E">
          <w:pPr>
            <w:pStyle w:val="Encabezado"/>
            <w:ind w:left="34" w:right="181"/>
            <w:jc w:val="both"/>
            <w:rPr>
              <w:rFonts w:ascii="Palatino Linotype" w:hAnsi="Palatino Linotype" w:cs="Tahoma"/>
              <w:bCs/>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553B85">
            <w:rPr>
              <w:rFonts w:ascii="Palatino Linotype" w:hAnsi="Palatino Linotype" w:cs="Tahoma"/>
              <w:b/>
              <w:bCs/>
              <w:szCs w:val="20"/>
            </w:rPr>
            <w:t>07737</w:t>
          </w:r>
          <w:r w:rsidRPr="00F375DC">
            <w:rPr>
              <w:rFonts w:ascii="Palatino Linotype" w:hAnsi="Palatino Linotype" w:cs="Tahoma"/>
              <w:b/>
              <w:bCs/>
              <w:szCs w:val="20"/>
            </w:rPr>
            <w:t>/INFOEM/IP/RR/2023</w:t>
          </w:r>
        </w:p>
        <w:p w:rsidR="00D3361F" w:rsidRPr="00361A93" w:rsidRDefault="00D21FC0" w:rsidP="00553B85">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553B85">
            <w:rPr>
              <w:rFonts w:ascii="Palatino Linotype" w:eastAsia="Palatino Linotype" w:hAnsi="Palatino Linotype" w:cs="Palatino Linotype"/>
              <w:b/>
              <w:lang w:val="es-MX"/>
            </w:rPr>
            <w:t>Ayuntamiento de Metepec</w:t>
          </w:r>
        </w:p>
      </w:tc>
    </w:tr>
  </w:tbl>
  <w:p w:rsidR="00D3361F" w:rsidRPr="001106EA" w:rsidRDefault="00D21FC0" w:rsidP="00DB20B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8E112C6"/>
    <w:multiLevelType w:val="hybridMultilevel"/>
    <w:tmpl w:val="A6B283EC"/>
    <w:lvl w:ilvl="0" w:tplc="23CA4F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6F"/>
    <w:rsid w:val="001D41E7"/>
    <w:rsid w:val="002D246F"/>
    <w:rsid w:val="00335307"/>
    <w:rsid w:val="00553B85"/>
    <w:rsid w:val="00D21F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37165-4620-4216-A66A-AD35E15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46F"/>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24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246F"/>
    <w:rPr>
      <w:lang w:val="es-ES"/>
    </w:rPr>
  </w:style>
  <w:style w:type="paragraph" w:styleId="Piedepgina">
    <w:name w:val="footer"/>
    <w:basedOn w:val="Normal"/>
    <w:link w:val="PiedepginaCar"/>
    <w:uiPriority w:val="99"/>
    <w:unhideWhenUsed/>
    <w:rsid w:val="002D24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246F"/>
    <w:rPr>
      <w:lang w:val="es-ES"/>
    </w:rPr>
  </w:style>
  <w:style w:type="table" w:styleId="Tablaconcuadrcula">
    <w:name w:val="Table Grid"/>
    <w:basedOn w:val="Tablanormal"/>
    <w:uiPriority w:val="59"/>
    <w:rsid w:val="002D246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D246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D246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2607</Words>
  <Characters>14339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2024-01-22T19:20:00Z</cp:lastPrinted>
  <dcterms:created xsi:type="dcterms:W3CDTF">2024-01-22T18:55:00Z</dcterms:created>
  <dcterms:modified xsi:type="dcterms:W3CDTF">2024-01-22T19:20:00Z</dcterms:modified>
</cp:coreProperties>
</file>