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360" w:lineRule="auto"/>
        <w:ind w:right="51"/>
        <w:jc w:val="both"/>
        <w:rPr>
          <w:rFonts w:ascii="Palatino Linotype" w:cs="Palatino Linotype" w:eastAsia="Palatino Linotype" w:hAnsi="Palatino Linotype"/>
          <w:b w:val="1"/>
        </w:rPr>
      </w:pPr>
      <w:bookmarkStart w:colFirst="0" w:colLast="0" w:name="_heading=h.gjdgxs" w:id="0"/>
      <w:bookmarkEnd w:id="0"/>
      <w:r w:rsidDel="00000000" w:rsidR="00000000" w:rsidRPr="00000000">
        <w:rPr>
          <w:rFonts w:ascii="Palatino Linotype" w:cs="Palatino Linotype" w:eastAsia="Palatino Linotype" w:hAnsi="Palatino Linotype"/>
          <w:b w:val="1"/>
          <w:rtl w:val="0"/>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TRIGÉSIMA OCTAVA SESIÓN ORDINARIA DEL SEIS DE NOVIEMBRE DE DOS MIL VEINTICUATRO EN EL RECURSO DE REVISIÓN 05860/INFOEM/IP/RR/2024.</w:t>
      </w:r>
    </w:p>
    <w:p w:rsidR="00000000" w:rsidDel="00000000" w:rsidP="00000000" w:rsidRDefault="00000000" w:rsidRPr="00000000" w14:paraId="00000002">
      <w:pPr>
        <w:spacing w:after="240" w:before="240" w:line="360" w:lineRule="auto"/>
        <w:ind w:right="51"/>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El Pleno del Instituto de Transparencia, Acceso a la Información Pública y Protección de Datos Personales del Estado de México resolvió por unanimidad de votos, la Resolución relativa al Recurso de Revisión </w:t>
      </w:r>
      <w:r w:rsidDel="00000000" w:rsidR="00000000" w:rsidRPr="00000000">
        <w:rPr>
          <w:rFonts w:ascii="Palatino Linotype" w:cs="Palatino Linotype" w:eastAsia="Palatino Linotype" w:hAnsi="Palatino Linotype"/>
          <w:b w:val="1"/>
          <w:rtl w:val="0"/>
        </w:rPr>
        <w:t xml:space="preserve">05860/INFOEM/IP/RR/2024, </w:t>
      </w:r>
      <w:r w:rsidDel="00000000" w:rsidR="00000000" w:rsidRPr="00000000">
        <w:rPr>
          <w:rFonts w:ascii="Palatino Linotype" w:cs="Palatino Linotype" w:eastAsia="Palatino Linotype" w:hAnsi="Palatino Linotype"/>
          <w:rtl w:val="0"/>
        </w:rPr>
        <w:t xml:space="preserve">respecto de la cual, quien suscribe, emite </w:t>
      </w:r>
      <w:r w:rsidDel="00000000" w:rsidR="00000000" w:rsidRPr="00000000">
        <w:rPr>
          <w:rFonts w:ascii="Palatino Linotype" w:cs="Palatino Linotype" w:eastAsia="Palatino Linotype" w:hAnsi="Palatino Linotype"/>
          <w:b w:val="1"/>
          <w:rtl w:val="0"/>
        </w:rPr>
        <w:t xml:space="preserve">VOTO PARTICULAR</w:t>
      </w:r>
      <w:r w:rsidDel="00000000" w:rsidR="00000000" w:rsidRPr="00000000">
        <w:rPr>
          <w:rFonts w:ascii="Palatino Linotype" w:cs="Palatino Linotype" w:eastAsia="Palatino Linotype" w:hAnsi="Palatino Linotype"/>
          <w:rtl w:val="0"/>
        </w:rPr>
        <w:t xml:space="preserve">, con fundamento en lo dispuesto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rsidR="00000000" w:rsidDel="00000000" w:rsidP="00000000" w:rsidRDefault="00000000" w:rsidRPr="00000000" w14:paraId="00000003">
      <w:pPr>
        <w:spacing w:after="240" w:before="240" w:line="360" w:lineRule="auto"/>
        <w:ind w:right="51"/>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Al respecto, resulta importante señalar que coincido con los términos generales planteados en la Resolución, no obstante, considero que en el caso de la nómina de los elementos operativos adscritos a la Dirección de Seguridad Pública y Tránsito, deben tomarse en cuenta las consideraciones que a continuación se exponen. </w:t>
      </w:r>
    </w:p>
    <w:p w:rsidR="00000000" w:rsidDel="00000000" w:rsidP="00000000" w:rsidRDefault="00000000" w:rsidRPr="00000000" w14:paraId="00000004">
      <w:pPr>
        <w:spacing w:after="240" w:before="240" w:line="360" w:lineRule="auto"/>
        <w:ind w:right="51"/>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05">
      <w:pPr>
        <w:spacing w:after="240" w:before="240" w:line="360" w:lineRule="auto"/>
        <w:ind w:right="51"/>
        <w:jc w:val="both"/>
        <w:rPr>
          <w:rFonts w:ascii="Palatino Linotype" w:cs="Palatino Linotype" w:eastAsia="Palatino Linotype" w:hAnsi="Palatino Linotype"/>
        </w:rPr>
      </w:pPr>
      <w:bookmarkStart w:colFirst="0" w:colLast="0" w:name="_heading=h.2et92p0" w:id="1"/>
      <w:bookmarkEnd w:id="1"/>
      <w:r w:rsidDel="00000000" w:rsidR="00000000" w:rsidRPr="00000000">
        <w:rPr>
          <w:rFonts w:ascii="Palatino Linotype" w:cs="Palatino Linotype" w:eastAsia="Palatino Linotype" w:hAnsi="Palatino Linotype"/>
          <w:rtl w:val="0"/>
        </w:rPr>
        <w:t xml:space="preserve"> Sobre este punto, debemos partir desde la máxima establecida en nuestro texto Constitucional Federal pues el artículo 21 en su párrafo noveno reconoce que la seguridad pública es una función del Estado a cargo de la Federación, las Entidades Federativas y </w:t>
      </w:r>
      <w:r w:rsidDel="00000000" w:rsidR="00000000" w:rsidRPr="00000000">
        <w:rPr>
          <w:rFonts w:ascii="Palatino Linotype" w:cs="Palatino Linotype" w:eastAsia="Palatino Linotype" w:hAnsi="Palatino Linotype"/>
          <w:b w:val="1"/>
          <w:rtl w:val="0"/>
        </w:rPr>
        <w:t xml:space="preserve">los Municipios</w:t>
      </w:r>
      <w:r w:rsidDel="00000000" w:rsidR="00000000" w:rsidRPr="00000000">
        <w:rPr>
          <w:rFonts w:ascii="Palatino Linotype" w:cs="Palatino Linotype" w:eastAsia="Palatino Linotype" w:hAnsi="Palatino Linotype"/>
          <w:rtl w:val="0"/>
        </w:rPr>
        <w:t xml:space="preserve">, </w:t>
      </w:r>
      <w:r w:rsidDel="00000000" w:rsidR="00000000" w:rsidRPr="00000000">
        <w:rPr>
          <w:rFonts w:ascii="Palatino Linotype" w:cs="Palatino Linotype" w:eastAsia="Palatino Linotype" w:hAnsi="Palatino Linotype"/>
          <w:b w:val="1"/>
          <w:rtl w:val="0"/>
        </w:rPr>
        <w:t xml:space="preserve">cuyos fines son salvaguardar la vida, las libertades, la integridad y el patrimonio de las personas, así como contribuir a la generación y preservación del orden público y la paz social</w:t>
      </w:r>
      <w:r w:rsidDel="00000000" w:rsidR="00000000" w:rsidRPr="00000000">
        <w:rPr>
          <w:rFonts w:ascii="Palatino Linotype" w:cs="Palatino Linotype" w:eastAsia="Palatino Linotype" w:hAnsi="Palatino Linotype"/>
          <w:rtl w:val="0"/>
        </w:rPr>
        <w:t xml:space="preserve">. </w:t>
      </w:r>
    </w:p>
    <w:p w:rsidR="00000000" w:rsidDel="00000000" w:rsidP="00000000" w:rsidRDefault="00000000" w:rsidRPr="00000000" w14:paraId="00000006">
      <w:pPr>
        <w:spacing w:after="240" w:before="240" w:line="360" w:lineRule="auto"/>
        <w:ind w:right="51"/>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Asimismo, señala que la actuación de las instituciones de seguridad pública se regirá por los principios de legalidad, objetividad, eficiencia, profesionalismo, honradez y respeto a los derechos humanos.</w:t>
      </w:r>
    </w:p>
    <w:p w:rsidR="00000000" w:rsidDel="00000000" w:rsidP="00000000" w:rsidRDefault="00000000" w:rsidRPr="00000000" w14:paraId="00000007">
      <w:pPr>
        <w:spacing w:after="240" w:before="240" w:line="360" w:lineRule="auto"/>
        <w:ind w:right="51"/>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Dicha circunstancia es replicada por la Ley de Seguridad del Estado de México en su artículo 1, fracciones II, III y V, las cuales señalan que dicho ordenamiento es de orden público, de interés social y de observancia general en todo el territorio del Estado de México y tiene por objeto establecer las bases de coordinación del Estado y los Municipios con la Federación, las Entidades Federativas, Municipios y Alcaldías de la Ciudad de México; integrar el Sistema Estatal de Seguridad Pública, que a su vez contribuirá con el Sistema Nacional de Seguridad Pública; para la construcción de las bases para una plena seguridad ciudadana.</w:t>
      </w:r>
    </w:p>
    <w:p w:rsidR="00000000" w:rsidDel="00000000" w:rsidP="00000000" w:rsidRDefault="00000000" w:rsidRPr="00000000" w14:paraId="00000008">
      <w:pPr>
        <w:spacing w:after="240" w:before="240" w:line="360" w:lineRule="auto"/>
        <w:ind w:right="51"/>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De tal suerte que con lo señalado hasta este punto se advierte que la finalidad de la función de seguridad pública indudablemente tienen como eje central a la persona humana y, por ende, contribuyen al establecimiento de la seguridad ciudadana, la cual tiene por objeto proteger a las personas; asegurar el ejercicio de su ciudadanía, sus libertades y derechos fundamentales; establecer espacios de participación social corresponsable y armónica; propiciar la solución pacífica de los conflictos interpersonales y sociales; fortalecer a las instituciones, y propiciar condiciones durables que permitan a los ciudadanos desarrollar sus capacidades, en un ambiente de paz y democracia.</w:t>
      </w:r>
    </w:p>
    <w:p w:rsidR="00000000" w:rsidDel="00000000" w:rsidP="00000000" w:rsidRDefault="00000000" w:rsidRPr="00000000" w14:paraId="00000009">
      <w:pPr>
        <w:spacing w:after="240" w:before="240" w:line="360" w:lineRule="auto"/>
        <w:ind w:right="51"/>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Una vez acreditado el objeto de la seguridad pública, así como los sujetos encargados de ejecutar las acciones para consumar esta función, podemos observar con claridad la importancia de los elementos operativos que ejecutan estas acciones encaminadas a preservar el orden dentro de la dinámica social y podemos partir de este punto para determinar el riesgo de la divulgación de esta información y por ende, la procedencia de su clasificación como información reservada. </w:t>
      </w:r>
    </w:p>
    <w:p w:rsidR="00000000" w:rsidDel="00000000" w:rsidP="00000000" w:rsidRDefault="00000000" w:rsidRPr="00000000" w14:paraId="0000000A">
      <w:pPr>
        <w:spacing w:after="240" w:before="240" w:line="360" w:lineRule="auto"/>
        <w:ind w:right="51"/>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En primer momento podemos vislumbrar que el artículo 81, fracción II de la Ley de Seguridad del Estado de México dispone de manera expresa que toda información para la seguridad pública generada o en poder de Instituciones de Seguridad Pública o de cualquier instancia del Sistema Estatal debe clasificarse, sirve de referencia la siguiente cita:</w:t>
      </w:r>
    </w:p>
    <w:p w:rsidR="00000000" w:rsidDel="00000000" w:rsidP="00000000" w:rsidRDefault="00000000" w:rsidRPr="00000000" w14:paraId="0000000B">
      <w:pPr>
        <w:spacing w:after="120" w:before="120" w:line="276" w:lineRule="auto"/>
        <w:ind w:left="567" w:right="618" w:firstLine="0"/>
        <w:jc w:val="both"/>
        <w:rPr>
          <w:rFonts w:ascii="Palatino Linotype" w:cs="Palatino Linotype" w:eastAsia="Palatino Linotype" w:hAnsi="Palatino Linotype"/>
          <w:i w:val="1"/>
          <w:sz w:val="20"/>
          <w:szCs w:val="20"/>
        </w:rPr>
      </w:pPr>
      <w:r w:rsidDel="00000000" w:rsidR="00000000" w:rsidRPr="00000000">
        <w:rPr>
          <w:rFonts w:ascii="Palatino Linotype" w:cs="Palatino Linotype" w:eastAsia="Palatino Linotype" w:hAnsi="Palatino Linotype"/>
          <w:i w:val="1"/>
          <w:sz w:val="20"/>
          <w:szCs w:val="20"/>
          <w:rtl w:val="0"/>
        </w:rPr>
        <w:t xml:space="preserve">“</w:t>
      </w:r>
      <w:r w:rsidDel="00000000" w:rsidR="00000000" w:rsidRPr="00000000">
        <w:rPr>
          <w:rFonts w:ascii="Palatino Linotype" w:cs="Palatino Linotype" w:eastAsia="Palatino Linotype" w:hAnsi="Palatino Linotype"/>
          <w:b w:val="1"/>
          <w:i w:val="1"/>
          <w:sz w:val="20"/>
          <w:szCs w:val="20"/>
          <w:rtl w:val="0"/>
        </w:rPr>
        <w:t xml:space="preserve">Artículo 81.-</w:t>
      </w:r>
      <w:r w:rsidDel="00000000" w:rsidR="00000000" w:rsidRPr="00000000">
        <w:rPr>
          <w:rFonts w:ascii="Palatino Linotype" w:cs="Palatino Linotype" w:eastAsia="Palatino Linotype" w:hAnsi="Palatino Linotype"/>
          <w:i w:val="1"/>
          <w:sz w:val="20"/>
          <w:szCs w:val="20"/>
          <w:rtl w:val="0"/>
        </w:rPr>
        <w:t xml:space="preserve"> 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 en los casos siguientes:</w:t>
      </w:r>
    </w:p>
    <w:p w:rsidR="00000000" w:rsidDel="00000000" w:rsidP="00000000" w:rsidRDefault="00000000" w:rsidRPr="00000000" w14:paraId="0000000C">
      <w:pPr>
        <w:spacing w:after="120" w:before="120" w:line="276" w:lineRule="auto"/>
        <w:ind w:left="567" w:right="618" w:firstLine="0"/>
        <w:jc w:val="both"/>
        <w:rPr>
          <w:rFonts w:ascii="Palatino Linotype" w:cs="Palatino Linotype" w:eastAsia="Palatino Linotype" w:hAnsi="Palatino Linotype"/>
          <w:i w:val="1"/>
          <w:sz w:val="20"/>
          <w:szCs w:val="20"/>
        </w:rPr>
      </w:pPr>
      <w:r w:rsidDel="00000000" w:rsidR="00000000" w:rsidRPr="00000000">
        <w:rPr>
          <w:rFonts w:ascii="Palatino Linotype" w:cs="Palatino Linotype" w:eastAsia="Palatino Linotype" w:hAnsi="Palatino Linotype"/>
          <w:i w:val="1"/>
          <w:sz w:val="20"/>
          <w:szCs w:val="20"/>
          <w:rtl w:val="0"/>
        </w:rPr>
        <w:t xml:space="preserve">…</w:t>
      </w:r>
    </w:p>
    <w:p w:rsidR="00000000" w:rsidDel="00000000" w:rsidP="00000000" w:rsidRDefault="00000000" w:rsidRPr="00000000" w14:paraId="0000000D">
      <w:pPr>
        <w:spacing w:after="120" w:before="120" w:line="276" w:lineRule="auto"/>
        <w:ind w:left="567" w:right="618" w:firstLine="0"/>
        <w:jc w:val="both"/>
        <w:rPr>
          <w:rFonts w:ascii="Palatino Linotype" w:cs="Palatino Linotype" w:eastAsia="Palatino Linotype" w:hAnsi="Palatino Linotype"/>
          <w:i w:val="1"/>
          <w:sz w:val="20"/>
          <w:szCs w:val="20"/>
        </w:rPr>
      </w:pPr>
      <w:r w:rsidDel="00000000" w:rsidR="00000000" w:rsidRPr="00000000">
        <w:rPr>
          <w:rFonts w:ascii="Palatino Linotype" w:cs="Palatino Linotype" w:eastAsia="Palatino Linotype" w:hAnsi="Palatino Linotype"/>
          <w:b w:val="1"/>
          <w:i w:val="1"/>
          <w:sz w:val="20"/>
          <w:szCs w:val="20"/>
          <w:u w:val="single"/>
          <w:rtl w:val="0"/>
        </w:rPr>
        <w:t xml:space="preserve">II. Aquella cuya revelación pueda ser utilizada para actualizar o potenciar una amenaza a la seguridad pública o a las instituciones del Estado de México;</w:t>
      </w:r>
      <w:r w:rsidDel="00000000" w:rsidR="00000000" w:rsidRPr="00000000">
        <w:rPr>
          <w:rFonts w:ascii="Palatino Linotype" w:cs="Palatino Linotype" w:eastAsia="Palatino Linotype" w:hAnsi="Palatino Linotype"/>
          <w:b w:val="1"/>
          <w:i w:val="1"/>
          <w:sz w:val="20"/>
          <w:szCs w:val="20"/>
          <w:rtl w:val="0"/>
        </w:rPr>
        <w:t xml:space="preserve">” </w:t>
      </w:r>
      <w:r w:rsidDel="00000000" w:rsidR="00000000" w:rsidRPr="00000000">
        <w:rPr>
          <w:rtl w:val="0"/>
        </w:rPr>
      </w:r>
    </w:p>
    <w:p w:rsidR="00000000" w:rsidDel="00000000" w:rsidP="00000000" w:rsidRDefault="00000000" w:rsidRPr="00000000" w14:paraId="0000000E">
      <w:pPr>
        <w:spacing w:after="240" w:before="240" w:line="360" w:lineRule="auto"/>
        <w:ind w:right="49"/>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En armonía con esta disposición normativa, la Ley General de Transparencia y Acceso a la Información Pública, en su artículo 113, fracción I señala que deberá reservarse la información que con su publicación se comprometa a la seguridad pública y cuente con un efecto demostrable, posteriormente el artículo 140 fracción I de la Ley de Transparencia Local replica esta circunstancia de reserva, que señalan: </w:t>
      </w:r>
    </w:p>
    <w:p w:rsidR="00000000" w:rsidDel="00000000" w:rsidP="00000000" w:rsidRDefault="00000000" w:rsidRPr="00000000" w14:paraId="0000000F">
      <w:pPr>
        <w:spacing w:after="120" w:before="120" w:line="276" w:lineRule="auto"/>
        <w:ind w:left="567" w:right="618" w:firstLine="0"/>
        <w:jc w:val="both"/>
        <w:rPr>
          <w:rFonts w:ascii="Palatino Linotype" w:cs="Palatino Linotype" w:eastAsia="Palatino Linotype" w:hAnsi="Palatino Linotype"/>
          <w:b w:val="1"/>
          <w:sz w:val="20"/>
          <w:szCs w:val="20"/>
        </w:rPr>
      </w:pPr>
      <w:r w:rsidDel="00000000" w:rsidR="00000000" w:rsidRPr="00000000">
        <w:rPr>
          <w:rFonts w:ascii="Palatino Linotype" w:cs="Palatino Linotype" w:eastAsia="Palatino Linotype" w:hAnsi="Palatino Linotype"/>
          <w:b w:val="1"/>
          <w:sz w:val="20"/>
          <w:szCs w:val="20"/>
          <w:rtl w:val="0"/>
        </w:rPr>
        <w:t xml:space="preserve">“Ley General de Transparencia y Acceso a la Información Pública:</w:t>
      </w:r>
    </w:p>
    <w:p w:rsidR="00000000" w:rsidDel="00000000" w:rsidP="00000000" w:rsidRDefault="00000000" w:rsidRPr="00000000" w14:paraId="00000010">
      <w:pPr>
        <w:spacing w:after="120" w:before="120" w:line="276" w:lineRule="auto"/>
        <w:ind w:left="567" w:right="618" w:firstLine="0"/>
        <w:jc w:val="both"/>
        <w:rPr>
          <w:rFonts w:ascii="Palatino Linotype" w:cs="Palatino Linotype" w:eastAsia="Palatino Linotype" w:hAnsi="Palatino Linotype"/>
          <w:i w:val="1"/>
          <w:sz w:val="20"/>
          <w:szCs w:val="20"/>
        </w:rPr>
      </w:pPr>
      <w:r w:rsidDel="00000000" w:rsidR="00000000" w:rsidRPr="00000000">
        <w:rPr>
          <w:rFonts w:ascii="Palatino Linotype" w:cs="Palatino Linotype" w:eastAsia="Palatino Linotype" w:hAnsi="Palatino Linotype"/>
          <w:b w:val="1"/>
          <w:i w:val="1"/>
          <w:sz w:val="20"/>
          <w:szCs w:val="20"/>
          <w:rtl w:val="0"/>
        </w:rPr>
        <w:t xml:space="preserve">Artículo 113</w:t>
      </w:r>
      <w:r w:rsidDel="00000000" w:rsidR="00000000" w:rsidRPr="00000000">
        <w:rPr>
          <w:rFonts w:ascii="Palatino Linotype" w:cs="Palatino Linotype" w:eastAsia="Palatino Linotype" w:hAnsi="Palatino Linotype"/>
          <w:i w:val="1"/>
          <w:sz w:val="20"/>
          <w:szCs w:val="20"/>
          <w:rtl w:val="0"/>
        </w:rPr>
        <w:t xml:space="preserve">. Como información reservada podrá clasificarse aquella cuya publicación:</w:t>
      </w:r>
    </w:p>
    <w:p w:rsidR="00000000" w:rsidDel="00000000" w:rsidP="00000000" w:rsidRDefault="00000000" w:rsidRPr="00000000" w14:paraId="00000011">
      <w:pPr>
        <w:spacing w:after="120" w:before="120" w:line="276" w:lineRule="auto"/>
        <w:ind w:left="567" w:right="618" w:firstLine="0"/>
        <w:jc w:val="both"/>
        <w:rPr>
          <w:rFonts w:ascii="Palatino Linotype" w:cs="Palatino Linotype" w:eastAsia="Palatino Linotype" w:hAnsi="Palatino Linotype"/>
          <w:i w:val="1"/>
          <w:sz w:val="20"/>
          <w:szCs w:val="20"/>
        </w:rPr>
      </w:pPr>
      <w:r w:rsidDel="00000000" w:rsidR="00000000" w:rsidRPr="00000000">
        <w:rPr>
          <w:rFonts w:ascii="Palatino Linotype" w:cs="Palatino Linotype" w:eastAsia="Palatino Linotype" w:hAnsi="Palatino Linotype"/>
          <w:b w:val="1"/>
          <w:i w:val="1"/>
          <w:sz w:val="20"/>
          <w:szCs w:val="20"/>
          <w:rtl w:val="0"/>
        </w:rPr>
        <w:t xml:space="preserve">I. Comprometa la seguridad nacional, la seguridad pública o la defensa nacional y cuente con un propósito genuino y un efecto demostrable</w:t>
      </w:r>
      <w:r w:rsidDel="00000000" w:rsidR="00000000" w:rsidRPr="00000000">
        <w:rPr>
          <w:rFonts w:ascii="Palatino Linotype" w:cs="Palatino Linotype" w:eastAsia="Palatino Linotype" w:hAnsi="Palatino Linotype"/>
          <w:i w:val="1"/>
          <w:sz w:val="20"/>
          <w:szCs w:val="20"/>
          <w:rtl w:val="0"/>
        </w:rPr>
        <w:t xml:space="preserve">;”</w:t>
      </w:r>
    </w:p>
    <w:p w:rsidR="00000000" w:rsidDel="00000000" w:rsidP="00000000" w:rsidRDefault="00000000" w:rsidRPr="00000000" w14:paraId="00000012">
      <w:pPr>
        <w:spacing w:after="120" w:before="120" w:line="276" w:lineRule="auto"/>
        <w:ind w:left="567" w:right="618" w:firstLine="0"/>
        <w:jc w:val="both"/>
        <w:rPr>
          <w:rFonts w:ascii="Palatino Linotype" w:cs="Palatino Linotype" w:eastAsia="Palatino Linotype" w:hAnsi="Palatino Linotype"/>
          <w:b w:val="1"/>
          <w:sz w:val="20"/>
          <w:szCs w:val="20"/>
        </w:rPr>
      </w:pPr>
      <w:r w:rsidDel="00000000" w:rsidR="00000000" w:rsidRPr="00000000">
        <w:rPr>
          <w:rFonts w:ascii="Palatino Linotype" w:cs="Palatino Linotype" w:eastAsia="Palatino Linotype" w:hAnsi="Palatino Linotype"/>
          <w:b w:val="1"/>
          <w:sz w:val="20"/>
          <w:szCs w:val="20"/>
          <w:rtl w:val="0"/>
        </w:rPr>
        <w:t xml:space="preserve">“Ley de Transparencia y Acceso a la Información Pública del Estado de México y Municipios: </w:t>
      </w:r>
    </w:p>
    <w:p w:rsidR="00000000" w:rsidDel="00000000" w:rsidP="00000000" w:rsidRDefault="00000000" w:rsidRPr="00000000" w14:paraId="00000013">
      <w:pPr>
        <w:spacing w:after="120" w:before="120" w:line="276" w:lineRule="auto"/>
        <w:ind w:left="567" w:right="618" w:firstLine="0"/>
        <w:jc w:val="both"/>
        <w:rPr>
          <w:rFonts w:ascii="Palatino Linotype" w:cs="Palatino Linotype" w:eastAsia="Palatino Linotype" w:hAnsi="Palatino Linotype"/>
          <w:i w:val="1"/>
          <w:sz w:val="20"/>
          <w:szCs w:val="20"/>
        </w:rPr>
      </w:pPr>
      <w:r w:rsidDel="00000000" w:rsidR="00000000" w:rsidRPr="00000000">
        <w:rPr>
          <w:rFonts w:ascii="Palatino Linotype" w:cs="Palatino Linotype" w:eastAsia="Palatino Linotype" w:hAnsi="Palatino Linotype"/>
          <w:b w:val="1"/>
          <w:i w:val="1"/>
          <w:sz w:val="20"/>
          <w:szCs w:val="20"/>
          <w:rtl w:val="0"/>
        </w:rPr>
        <w:t xml:space="preserve">Artículo 140</w:t>
      </w:r>
      <w:r w:rsidDel="00000000" w:rsidR="00000000" w:rsidRPr="00000000">
        <w:rPr>
          <w:rFonts w:ascii="Palatino Linotype" w:cs="Palatino Linotype" w:eastAsia="Palatino Linotype" w:hAnsi="Palatino Linotype"/>
          <w:i w:val="1"/>
          <w:sz w:val="20"/>
          <w:szCs w:val="20"/>
          <w:rtl w:val="0"/>
        </w:rPr>
        <w:t xml:space="preserve">. El acceso a la información pública será restringido excepcionalmente, cuando por razones de interés público, ésta sea clasificada como reservada, conforme a los criterios siguientes:</w:t>
      </w:r>
    </w:p>
    <w:p w:rsidR="00000000" w:rsidDel="00000000" w:rsidP="00000000" w:rsidRDefault="00000000" w:rsidRPr="00000000" w14:paraId="00000014">
      <w:pPr>
        <w:spacing w:after="120" w:before="120" w:line="276" w:lineRule="auto"/>
        <w:ind w:left="567" w:right="618" w:firstLine="0"/>
        <w:jc w:val="both"/>
        <w:rPr>
          <w:rFonts w:ascii="Palatino Linotype" w:cs="Palatino Linotype" w:eastAsia="Palatino Linotype" w:hAnsi="Palatino Linotype"/>
          <w:i w:val="1"/>
          <w:sz w:val="20"/>
          <w:szCs w:val="20"/>
        </w:rPr>
      </w:pPr>
      <w:r w:rsidDel="00000000" w:rsidR="00000000" w:rsidRPr="00000000">
        <w:rPr>
          <w:rFonts w:ascii="Palatino Linotype" w:cs="Palatino Linotype" w:eastAsia="Palatino Linotype" w:hAnsi="Palatino Linotype"/>
          <w:b w:val="1"/>
          <w:i w:val="1"/>
          <w:sz w:val="20"/>
          <w:szCs w:val="20"/>
          <w:rtl w:val="0"/>
        </w:rPr>
        <w:t xml:space="preserve">I. Comprometa la seguridad pública y cuente con un propósito genuino y un efecto demostrable</w:t>
      </w:r>
      <w:r w:rsidDel="00000000" w:rsidR="00000000" w:rsidRPr="00000000">
        <w:rPr>
          <w:rFonts w:ascii="Palatino Linotype" w:cs="Palatino Linotype" w:eastAsia="Palatino Linotype" w:hAnsi="Palatino Linotype"/>
          <w:i w:val="1"/>
          <w:sz w:val="20"/>
          <w:szCs w:val="20"/>
          <w:rtl w:val="0"/>
        </w:rPr>
        <w:t xml:space="preserve">…”</w:t>
      </w:r>
    </w:p>
    <w:p w:rsidR="00000000" w:rsidDel="00000000" w:rsidP="00000000" w:rsidRDefault="00000000" w:rsidRPr="00000000" w14:paraId="00000015">
      <w:pPr>
        <w:spacing w:after="240" w:before="240" w:line="360" w:lineRule="auto"/>
        <w:ind w:right="49"/>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Correlativo a lo anterior, Lineamientos Generales en Materia de Clasificación y Desclasificación de la Información, así como para la Elaboración de Versiones Públicas, publicados el 16 de abril de 2016 y reformados el 18 de noviembre de 2022 señalan en su numeral décimo octavo que podrá considerarse como información reservada, aquella que comprometa la seguridad pública, al poner en peligro las funciones a cargo de la Federación, la Ciudad de México, los Estados y los Municipios, tendientes a preservar y resguardar la vida, la salud, la integridad y el ejercicio de los derechos de las personas, así como para el mantenimiento del orden público.</w:t>
      </w:r>
    </w:p>
    <w:p w:rsidR="00000000" w:rsidDel="00000000" w:rsidP="00000000" w:rsidRDefault="00000000" w:rsidRPr="00000000" w14:paraId="00000016">
      <w:pPr>
        <w:spacing w:after="240" w:before="240" w:line="360" w:lineRule="auto"/>
        <w:ind w:right="49"/>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Es crucial señalar que estos Lineamientos señalan </w:t>
      </w:r>
      <w:r w:rsidDel="00000000" w:rsidR="00000000" w:rsidRPr="00000000">
        <w:rPr>
          <w:rFonts w:ascii="Palatino Linotype" w:cs="Palatino Linotype" w:eastAsia="Palatino Linotype" w:hAnsi="Palatino Linotype"/>
          <w:b w:val="1"/>
          <w:u w:val="single"/>
          <w:rtl w:val="0"/>
        </w:rPr>
        <w:t xml:space="preserve">que es susceptible de considerarse como reservada aquella que revele datos que pudieran ser aprovechados para conocer la capacidad de reacción de las instituciones encargadas de la seguridad pública</w:t>
      </w:r>
      <w:r w:rsidDel="00000000" w:rsidR="00000000" w:rsidRPr="00000000">
        <w:rPr>
          <w:rFonts w:ascii="Palatino Linotype" w:cs="Palatino Linotype" w:eastAsia="Palatino Linotype" w:hAnsi="Palatino Linotype"/>
          <w:rtl w:val="0"/>
        </w:rPr>
        <w:t xml:space="preserve">, sus planes, estrategias, tecnología, información, sistemas de comunicaciones.</w:t>
      </w:r>
    </w:p>
    <w:p w:rsidR="00000000" w:rsidDel="00000000" w:rsidP="00000000" w:rsidRDefault="00000000" w:rsidRPr="00000000" w14:paraId="00000017">
      <w:pPr>
        <w:spacing w:after="240" w:before="240" w:line="360" w:lineRule="auto"/>
        <w:ind w:right="49"/>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Hasta este punto tenemos que los instrumentos normativos que debemos observar en estricto sentido disponen puntualmente la reserva de información para los casos en los que se revele información que pueda ser empleada para conocer la capacidad de reacción, es decir, todo lo relativo a servidores públicos operativos que integran las instituciones de seguridad pública, ya que su divulgación podría ser utilizada para actualizar o potenciar una amenaza para la seguridad pública de la sociedad; teniendo esto en cuenta y trasladando estas premisas al caso particular se estima que con la entrega de información de los servidores públicos con funciones operativas adscritos a instituciones de seguridad pública, revela información actualizada sobre el número de policías operativos en activo a la fecha de la solicitud de información y en consecuencia su estado de fuerza vigente, lo cual no sólo contraviene lo dispuesto expresamente por las disposiciones previamente insertadas, sino que, además, pone en riesgo los valores jurídicos y los principios bajo los cuales de las instituciones de seguridad pública se debe regir como son la legalidad, objetividad, eficiencia, profesionalismo, honradez y respeto a los derechos humanos reconocidos en la Constitución General.</w:t>
      </w:r>
    </w:p>
    <w:p w:rsidR="00000000" w:rsidDel="00000000" w:rsidP="00000000" w:rsidRDefault="00000000" w:rsidRPr="00000000" w14:paraId="00000018">
      <w:pPr>
        <w:spacing w:after="240" w:before="240" w:line="360" w:lineRule="auto"/>
        <w:ind w:right="49"/>
        <w:jc w:val="both"/>
        <w:rPr>
          <w:rFonts w:ascii="Palatino Linotype" w:cs="Palatino Linotype" w:eastAsia="Palatino Linotype" w:hAnsi="Palatino Linotype"/>
        </w:rPr>
      </w:pPr>
      <w:bookmarkStart w:colFirst="0" w:colLast="0" w:name="_heading=h.3znysh7" w:id="2"/>
      <w:bookmarkEnd w:id="2"/>
      <w:r w:rsidDel="00000000" w:rsidR="00000000" w:rsidRPr="00000000">
        <w:rPr>
          <w:rFonts w:ascii="Palatino Linotype" w:cs="Palatino Linotype" w:eastAsia="Palatino Linotype" w:hAnsi="Palatino Linotype"/>
          <w:rtl w:val="0"/>
        </w:rPr>
        <w:t xml:space="preserve">En conclusión, la reserva del personal operativo procede por dos circunstancias:</w:t>
      </w:r>
    </w:p>
    <w:p w:rsidR="00000000" w:rsidDel="00000000" w:rsidP="00000000" w:rsidRDefault="00000000" w:rsidRPr="00000000" w14:paraId="00000019">
      <w:pPr>
        <w:spacing w:after="240" w:before="240" w:line="360" w:lineRule="auto"/>
        <w:ind w:left="284" w:right="49" w:firstLine="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1. Se identifica en términos concretos cómo es que la información requerida podría comprometer el ejercicio de sus facultades constitucionales y, con ello, la seguridad pública, en virtud de que: </w:t>
      </w:r>
    </w:p>
    <w:p w:rsidR="00000000" w:rsidDel="00000000" w:rsidP="00000000" w:rsidRDefault="00000000" w:rsidRPr="00000000" w14:paraId="0000001A">
      <w:pPr>
        <w:spacing w:after="240" w:before="240" w:line="360" w:lineRule="auto"/>
        <w:ind w:left="567" w:right="49" w:firstLine="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 La información podría ser aprovechada por los grupos criminales para conocer la capacidad de reacción </w:t>
      </w:r>
    </w:p>
    <w:p w:rsidR="00000000" w:rsidDel="00000000" w:rsidP="00000000" w:rsidRDefault="00000000" w:rsidRPr="00000000" w14:paraId="0000001B">
      <w:pPr>
        <w:spacing w:after="240" w:before="240" w:line="360" w:lineRule="auto"/>
        <w:ind w:left="567" w:right="49" w:firstLine="0"/>
        <w:jc w:val="both"/>
        <w:rPr>
          <w:rFonts w:ascii="Palatino Linotype" w:cs="Palatino Linotype" w:eastAsia="Palatino Linotype" w:hAnsi="Palatino Linotype"/>
        </w:rPr>
      </w:pPr>
      <w:bookmarkStart w:colFirst="0" w:colLast="0" w:name="_heading=h.1fob9te" w:id="3"/>
      <w:bookmarkEnd w:id="3"/>
      <w:r w:rsidDel="00000000" w:rsidR="00000000" w:rsidRPr="00000000">
        <w:rPr>
          <w:rFonts w:ascii="Palatino Linotype" w:cs="Palatino Linotype" w:eastAsia="Palatino Linotype" w:hAnsi="Palatino Linotype"/>
          <w:rtl w:val="0"/>
        </w:rPr>
        <w:t xml:space="preserve">b) Con dicha información se revelarían a detalle las características funcionales del personal y con ello, su organización para el cumplimiento de sus funciones; y </w:t>
      </w:r>
    </w:p>
    <w:p w:rsidR="00000000" w:rsidDel="00000000" w:rsidP="00000000" w:rsidRDefault="00000000" w:rsidRPr="00000000" w14:paraId="0000001C">
      <w:pPr>
        <w:spacing w:after="240" w:before="240" w:line="360" w:lineRule="auto"/>
        <w:ind w:left="284" w:right="49" w:firstLine="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2. Existe una relación causal general entre la entrega de la información y la afectación a la seguridad pública, pues los grupos criminales estarían en posibilidad de obstaculizar o bloquear actividades encaminadas a preservar el orden dentro de la dinámica social. </w:t>
      </w:r>
    </w:p>
    <w:p w:rsidR="00000000" w:rsidDel="00000000" w:rsidP="00000000" w:rsidRDefault="00000000" w:rsidRPr="00000000" w14:paraId="0000001D">
      <w:pPr>
        <w:spacing w:after="240" w:before="240" w:line="360" w:lineRule="auto"/>
        <w:ind w:right="49"/>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Por lo tanto, entre mayor información se dé a conocer respecto del </w:t>
      </w:r>
      <w:r w:rsidDel="00000000" w:rsidR="00000000" w:rsidRPr="00000000">
        <w:rPr>
          <w:rFonts w:ascii="Palatino Linotype" w:cs="Palatino Linotype" w:eastAsia="Palatino Linotype" w:hAnsi="Palatino Linotype"/>
          <w:b w:val="1"/>
          <w:i w:val="1"/>
          <w:rtl w:val="0"/>
        </w:rPr>
        <w:t xml:space="preserve">estado de fuerza </w:t>
      </w:r>
      <w:r w:rsidDel="00000000" w:rsidR="00000000" w:rsidRPr="00000000">
        <w:rPr>
          <w:rFonts w:ascii="Palatino Linotype" w:cs="Palatino Linotype" w:eastAsia="Palatino Linotype" w:hAnsi="Palatino Linotype"/>
          <w:rtl w:val="0"/>
        </w:rPr>
        <w:t xml:space="preserve">con que cuentan el Estado y Municipios, mayor es la probabilidad de que la información pueda implementarse como medio para actualizar o potenciar una amenaza en contra de la seguridad pública de los mismos.</w:t>
      </w:r>
    </w:p>
    <w:p w:rsidR="00000000" w:rsidDel="00000000" w:rsidP="00000000" w:rsidRDefault="00000000" w:rsidRPr="00000000" w14:paraId="0000001E">
      <w:pPr>
        <w:spacing w:after="240" w:before="240" w:line="360" w:lineRule="auto"/>
        <w:ind w:right="49"/>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No pasa inadvertido para la suscrita que en los casos en los que se publiciten diversas notas o documentos en los que se dé a conocer información estadística sobre el número de elementos de policía con los que cuentan los ayuntamientos, esta información no se encuentra actualizada, aunado a que no se hace una distinción entre el número de personal operativo y administrativo.</w:t>
      </w:r>
    </w:p>
    <w:p w:rsidR="00000000" w:rsidDel="00000000" w:rsidP="00000000" w:rsidRDefault="00000000" w:rsidRPr="00000000" w14:paraId="0000001F">
      <w:pPr>
        <w:spacing w:after="240" w:before="240" w:line="360" w:lineRule="auto"/>
        <w:ind w:right="49"/>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En consecuencia, la información de los elementos operativos adscritos a instituciones de seguridad pública,  deben recibir un tratamiento de carácter excepcional, y esto es en razón de que,  son los responsables de procurar el orden, la estabilidad y la defensa de la sociedad a la que pertenecen, por lo que, se estima que al proporcionar documentales en las que se aprecie dicha información se revela el número de servidores públicos operativos con funciones de seguridad pública activos en el Sujeto obligado; información con la que se da a conocer el estado de fuerza y la capacidad de reacción del órgano público.</w:t>
      </w:r>
    </w:p>
    <w:p w:rsidR="00000000" w:rsidDel="00000000" w:rsidP="00000000" w:rsidRDefault="00000000" w:rsidRPr="00000000" w14:paraId="00000020">
      <w:pPr>
        <w:spacing w:after="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Ahora bien, la suscrita considera que es de vital importancia señalar que para los casos en los que los particulares deseen conocer las percepciones de los elementos operativos de las instituciones de seguridad pública, estas se pueden otorgar mediante el tabulador de sueldos, pues en este soporte se asientan los puestos funcionales y las remuneraciones, como se observa a continuación:</w:t>
      </w:r>
    </w:p>
    <w:p w:rsidR="00000000" w:rsidDel="00000000" w:rsidP="00000000" w:rsidRDefault="00000000" w:rsidRPr="00000000" w14:paraId="00000021">
      <w:pPr>
        <w:spacing w:after="0"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22">
      <w:pPr>
        <w:spacing w:after="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Pr>
        <w:drawing>
          <wp:inline distB="0" distT="0" distL="0" distR="0">
            <wp:extent cx="5612130" cy="4968875"/>
            <wp:effectExtent b="0" l="0" r="0" t="0"/>
            <wp:docPr id="19"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612130" cy="4968875"/>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spacing w:after="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Pr>
        <w:drawing>
          <wp:inline distB="0" distT="0" distL="0" distR="0">
            <wp:extent cx="5612130" cy="4557395"/>
            <wp:effectExtent b="0" l="0" r="0" t="0"/>
            <wp:docPr id="20"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612130" cy="4557395"/>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spacing w:after="0" w:line="360" w:lineRule="auto"/>
        <w:ind w:right="139"/>
        <w:jc w:val="both"/>
        <w:rPr>
          <w:rFonts w:ascii="Palatino Linotype" w:cs="Palatino Linotype" w:eastAsia="Palatino Linotype" w:hAnsi="Palatino Linotype"/>
        </w:rPr>
      </w:pPr>
      <w:bookmarkStart w:colFirst="0" w:colLast="0" w:name="_heading=h.tyjcwt" w:id="4"/>
      <w:bookmarkEnd w:id="4"/>
      <w:r w:rsidDel="00000000" w:rsidR="00000000" w:rsidRPr="00000000">
        <w:rPr>
          <w:rFonts w:ascii="Palatino Linotype" w:cs="Palatino Linotype" w:eastAsia="Palatino Linotype" w:hAnsi="Palatino Linotype"/>
          <w:rtl w:val="0"/>
        </w:rPr>
        <w:t xml:space="preserve">De manera que con la consulta de este documento podrá visualizarse con claridad el cargo y las percepciones, sin conocer el estado de fuerza de las entidades públicas y así no se restringe el derecho de acceso a la información de los particulares. </w:t>
      </w:r>
    </w:p>
    <w:p w:rsidR="00000000" w:rsidDel="00000000" w:rsidP="00000000" w:rsidRDefault="00000000" w:rsidRPr="00000000" w14:paraId="00000025">
      <w:pPr>
        <w:tabs>
          <w:tab w:val="left" w:leader="none" w:pos="851"/>
        </w:tabs>
        <w:spacing w:after="240" w:before="240" w:line="360" w:lineRule="auto"/>
        <w:ind w:right="49"/>
        <w:jc w:val="both"/>
        <w:rPr>
          <w:rFonts w:ascii="Palatino Linotype" w:cs="Palatino Linotype" w:eastAsia="Palatino Linotype" w:hAnsi="Palatino Linotype"/>
          <w:i w:val="1"/>
        </w:rPr>
      </w:pPr>
      <w:bookmarkStart w:colFirst="0" w:colLast="0" w:name="_heading=h.jkaxn8mgxy7q" w:id="5"/>
      <w:bookmarkEnd w:id="5"/>
      <w:r w:rsidDel="00000000" w:rsidR="00000000" w:rsidRPr="00000000">
        <w:rPr>
          <w:rFonts w:ascii="Palatino Linotype" w:cs="Palatino Linotype" w:eastAsia="Palatino Linotype" w:hAnsi="Palatino Linotype"/>
          <w:rtl w:val="0"/>
        </w:rPr>
        <w:t xml:space="preserve">Es por todo lo anteriormente expuesto que considero que en las líneas argumentativas que anteceden, se acreditó de manera fehaciente que esta información debe ser reservada pues su entrega revela datos que pudieran ser aprovechados para conocer la capacidad de reacción de las instituciones encargadas de la seguridad pública y </w:t>
      </w:r>
      <w:r w:rsidDel="00000000" w:rsidR="00000000" w:rsidRPr="00000000">
        <w:rPr>
          <w:rFonts w:ascii="Palatino Linotype" w:cs="Palatino Linotype" w:eastAsia="Palatino Linotype" w:hAnsi="Palatino Linotype"/>
          <w:b w:val="1"/>
          <w:u w:val="single"/>
          <w:rtl w:val="0"/>
        </w:rPr>
        <w:t xml:space="preserve">facilitaría a las células delictivas el neutralizar las acciones implementadas o por implementar para la preservación de la paz pública, afectando así su estado de fuerza, o bien les permita </w:t>
      </w:r>
      <w:r w:rsidDel="00000000" w:rsidR="00000000" w:rsidRPr="00000000">
        <w:rPr>
          <w:rFonts w:ascii="Palatino Linotype" w:cs="Palatino Linotype" w:eastAsia="Palatino Linotype" w:hAnsi="Palatino Linotype"/>
          <w:rtl w:val="0"/>
        </w:rPr>
        <w:t xml:space="preserve">realizar actos para amenazar, inhibir, extorsionar o corromper las funciones del personal operativo, lo que causaría una vulneración a la Seguridad Municipal, por lo tanto la suscrita no comparte las consideraciones vertidas en la resolución respecto del tratamiento que se le da a la información relativa a elementos operativos de instituciones de seguridad pública, y  por ende formula el presente </w:t>
      </w:r>
      <w:r w:rsidDel="00000000" w:rsidR="00000000" w:rsidRPr="00000000">
        <w:rPr>
          <w:rFonts w:ascii="Palatino Linotype" w:cs="Palatino Linotype" w:eastAsia="Palatino Linotype" w:hAnsi="Palatino Linotype"/>
          <w:b w:val="1"/>
          <w:rtl w:val="0"/>
        </w:rPr>
        <w:t xml:space="preserve">VOTO PARTICULAR.</w:t>
      </w:r>
      <w:r w:rsidDel="00000000" w:rsidR="00000000" w:rsidRPr="00000000">
        <w:rPr>
          <w:rtl w:val="0"/>
        </w:rPr>
      </w:r>
    </w:p>
    <w:p w:rsidR="00000000" w:rsidDel="00000000" w:rsidP="00000000" w:rsidRDefault="00000000" w:rsidRPr="00000000" w14:paraId="00000026">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27">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28">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29">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2A">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2B">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2C">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2D">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2E">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2F">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30">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31">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32">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33">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34">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35">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36">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37">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38">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39">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3A">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3B">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3C">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3D">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3E">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3F">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40">
      <w:pPr>
        <w:tabs>
          <w:tab w:val="left" w:leader="none" w:pos="851"/>
        </w:tabs>
        <w:spacing w:after="0" w:line="240" w:lineRule="auto"/>
        <w:ind w:right="902"/>
        <w:jc w:val="both"/>
        <w:rPr>
          <w:rFonts w:ascii="Palatino Linotype" w:cs="Palatino Linotype" w:eastAsia="Palatino Linotype" w:hAnsi="Palatino Linotype"/>
          <w:i w:val="1"/>
        </w:rPr>
      </w:pPr>
      <w:bookmarkStart w:colFirst="0" w:colLast="0" w:name="_heading=h.30j0zll" w:id="6"/>
      <w:bookmarkEnd w:id="6"/>
      <w:r w:rsidDel="00000000" w:rsidR="00000000" w:rsidRPr="00000000">
        <w:rPr>
          <w:rtl w:val="0"/>
        </w:rPr>
      </w:r>
    </w:p>
    <w:p w:rsidR="00000000" w:rsidDel="00000000" w:rsidP="00000000" w:rsidRDefault="00000000" w:rsidRPr="00000000" w14:paraId="00000041">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42">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43">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44">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45">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46">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47">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48">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49">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4A">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4B">
      <w:pPr>
        <w:spacing w:after="0" w:line="360" w:lineRule="auto"/>
        <w:ind w:right="423"/>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4C">
      <w:pPr>
        <w:tabs>
          <w:tab w:val="left" w:leader="none" w:pos="709"/>
        </w:tabs>
        <w:spacing w:after="0" w:line="360" w:lineRule="auto"/>
        <w:jc w:val="both"/>
        <w:rPr>
          <w:rFonts w:ascii="Palatino Linotype" w:cs="Palatino Linotype" w:eastAsia="Palatino Linotype" w:hAnsi="Palatino Linotype"/>
          <w:b w:val="1"/>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2552" w:top="1985" w:left="1701" w:right="1701" w:header="709" w:footer="58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after="0" w:line="276" w:lineRule="auto"/>
      <w:rPr>
        <w:rFonts w:ascii="Palatino Linotype" w:cs="Palatino Linotype" w:eastAsia="Palatino Linotype" w:hAnsi="Palatino Linotype"/>
        <w:b w:val="1"/>
      </w:rPr>
    </w:pPr>
    <w:r w:rsidDel="00000000" w:rsidR="00000000" w:rsidRPr="00000000">
      <w:rPr>
        <w:rtl w:val="0"/>
      </w:rPr>
    </w:r>
  </w:p>
  <w:tbl>
    <w:tblPr>
      <w:tblStyle w:val="Table1"/>
      <w:tblW w:w="5807.0" w:type="dxa"/>
      <w:jc w:val="left"/>
      <w:tblInd w:w="297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10"/>
      <w:gridCol w:w="3397"/>
      <w:tblGridChange w:id="0">
        <w:tblGrid>
          <w:gridCol w:w="2410"/>
          <w:gridCol w:w="3397"/>
        </w:tblGrid>
      </w:tblGridChange>
    </w:tblGrid>
    <w:tr>
      <w:trPr>
        <w:cantSplit w:val="0"/>
        <w:tblHeader w:val="0"/>
      </w:trPr>
      <w:tc>
        <w:tcPr>
          <w:vAlign w:val="center"/>
        </w:tcPr>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419"/>
              <w:tab w:val="right" w:leader="none" w:pos="8838"/>
            </w:tabs>
            <w:rPr>
              <w:rFonts w:ascii="Palatino Linotype" w:cs="Palatino Linotype" w:eastAsia="Palatino Linotype" w:hAnsi="Palatino Linotype"/>
              <w:b w:val="1"/>
              <w:color w:val="000000"/>
              <w:sz w:val="20"/>
              <w:szCs w:val="20"/>
            </w:rPr>
          </w:pPr>
          <w:r w:rsidDel="00000000" w:rsidR="00000000" w:rsidRPr="00000000">
            <w:rPr>
              <w:rtl w:val="0"/>
            </w:rPr>
          </w:r>
        </w:p>
      </w:tc>
      <w:tc>
        <w:tcPr>
          <w:vAlign w:val="center"/>
        </w:tcPr>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leader="none" w:pos="4419"/>
              <w:tab w:val="right" w:leader="none" w:pos="8838"/>
            </w:tabs>
            <w:rPr>
              <w:rFonts w:ascii="Palatino Linotype" w:cs="Palatino Linotype" w:eastAsia="Palatino Linotype" w:hAnsi="Palatino Linotype"/>
              <w:b w:val="1"/>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VOTO PARTICULAR</w:t>
          </w:r>
        </w:p>
      </w:tc>
    </w:tr>
    <w:tr>
      <w:trPr>
        <w:cantSplit w:val="0"/>
        <w:tblHeader w:val="0"/>
      </w:trPr>
      <w:tc>
        <w:tcPr>
          <w:vAlign w:val="center"/>
        </w:tcPr>
        <w:p w:rsidR="00000000" w:rsidDel="00000000" w:rsidP="00000000" w:rsidRDefault="00000000" w:rsidRPr="00000000" w14:paraId="00000051">
          <w:pPr>
            <w:tabs>
              <w:tab w:val="center" w:leader="none" w:pos="4419"/>
              <w:tab w:val="right" w:leader="none" w:pos="8838"/>
            </w:tabs>
            <w:jc w:val="both"/>
            <w:rPr>
              <w:rFonts w:ascii="Palatino Linotype" w:cs="Palatino Linotype" w:eastAsia="Palatino Linotype" w:hAnsi="Palatino Linotype"/>
              <w:b w:val="1"/>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Recurso de Revisión:</w:t>
          </w:r>
        </w:p>
      </w:tc>
      <w:tc>
        <w:tcPr/>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leader="none" w:pos="4419"/>
              <w:tab w:val="right" w:leader="none" w:pos="8838"/>
            </w:tabs>
            <w:jc w:val="both"/>
            <w:rPr>
              <w:rFonts w:ascii="Palatino Linotype" w:cs="Palatino Linotype" w:eastAsia="Palatino Linotype" w:hAnsi="Palatino Linotype"/>
              <w:b w:val="1"/>
              <w:color w:val="000000"/>
              <w:sz w:val="20"/>
              <w:szCs w:val="20"/>
            </w:rPr>
          </w:pPr>
          <w:bookmarkStart w:colFirst="0" w:colLast="0" w:name="_heading=h.3dy6vkm" w:id="7"/>
          <w:bookmarkEnd w:id="7"/>
          <w:r w:rsidDel="00000000" w:rsidR="00000000" w:rsidRPr="00000000">
            <w:rPr>
              <w:rFonts w:ascii="Palatino Linotype" w:cs="Palatino Linotype" w:eastAsia="Palatino Linotype" w:hAnsi="Palatino Linotype"/>
              <w:b w:val="1"/>
              <w:color w:val="000000"/>
              <w:sz w:val="20"/>
              <w:szCs w:val="20"/>
              <w:rtl w:val="0"/>
            </w:rPr>
            <w:t xml:space="preserve">05860/INFOEM/IP/RR/2024 </w:t>
          </w:r>
        </w:p>
      </w:tc>
    </w:tr>
    <w:tr>
      <w:trPr>
        <w:cantSplit w:val="0"/>
        <w:tblHeader w:val="0"/>
      </w:trPr>
      <w:tc>
        <w:tcPr/>
        <w:p w:rsidR="00000000" w:rsidDel="00000000" w:rsidP="00000000" w:rsidRDefault="00000000" w:rsidRPr="00000000" w14:paraId="00000053">
          <w:pPr>
            <w:tabs>
              <w:tab w:val="center" w:leader="none" w:pos="4419"/>
              <w:tab w:val="right" w:leader="none" w:pos="8838"/>
            </w:tabs>
            <w:jc w:val="both"/>
            <w:rPr>
              <w:rFonts w:ascii="Palatino Linotype" w:cs="Palatino Linotype" w:eastAsia="Palatino Linotype" w:hAnsi="Palatino Linotype"/>
              <w:b w:val="1"/>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Sujeto Obligado:</w:t>
          </w:r>
        </w:p>
      </w:tc>
      <w:tc>
        <w:tcPr/>
        <w:p w:rsidR="00000000" w:rsidDel="00000000" w:rsidP="00000000" w:rsidRDefault="00000000" w:rsidRPr="00000000" w14:paraId="00000054">
          <w:pPr>
            <w:tabs>
              <w:tab w:val="center" w:leader="none" w:pos="4419"/>
              <w:tab w:val="right" w:leader="none" w:pos="8838"/>
            </w:tabs>
            <w:jc w:val="both"/>
            <w:rPr>
              <w:rFonts w:ascii="Palatino Linotype" w:cs="Palatino Linotype" w:eastAsia="Palatino Linotype" w:hAnsi="Palatino Linotype"/>
              <w:b w:val="1"/>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Ayuntamiento de </w:t>
          </w:r>
          <w:r w:rsidDel="00000000" w:rsidR="00000000" w:rsidRPr="00000000">
            <w:rPr>
              <w:rFonts w:ascii="Palatino Linotype" w:cs="Palatino Linotype" w:eastAsia="Palatino Linotype" w:hAnsi="Palatino Linotype"/>
              <w:b w:val="1"/>
              <w:sz w:val="20"/>
              <w:szCs w:val="20"/>
              <w:rtl w:val="0"/>
            </w:rPr>
            <w:t xml:space="preserve">Nextlalpan</w:t>
          </w:r>
          <w:r w:rsidDel="00000000" w:rsidR="00000000" w:rsidRPr="00000000">
            <w:rPr>
              <w:rtl w:val="0"/>
            </w:rPr>
          </w:r>
        </w:p>
      </w:tc>
    </w:tr>
    <w:tr>
      <w:trPr>
        <w:cantSplit w:val="0"/>
        <w:trHeight w:val="299.82421875" w:hRule="atLeast"/>
        <w:tblHeader w:val="0"/>
      </w:trPr>
      <w:tc>
        <w:tcPr/>
        <w:p w:rsidR="00000000" w:rsidDel="00000000" w:rsidP="00000000" w:rsidRDefault="00000000" w:rsidRPr="00000000" w14:paraId="00000055">
          <w:pPr>
            <w:tabs>
              <w:tab w:val="center" w:leader="none" w:pos="4419"/>
              <w:tab w:val="right" w:leader="none" w:pos="8838"/>
            </w:tabs>
            <w:jc w:val="both"/>
            <w:rPr>
              <w:rFonts w:ascii="Palatino Linotype" w:cs="Palatino Linotype" w:eastAsia="Palatino Linotype" w:hAnsi="Palatino Linotype"/>
              <w:b w:val="1"/>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Comisionada Ponente:</w:t>
          </w:r>
        </w:p>
      </w:tc>
      <w:tc>
        <w:tcPr/>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center" w:leader="none" w:pos="4419"/>
              <w:tab w:val="right" w:leader="none" w:pos="8838"/>
            </w:tabs>
            <w:jc w:val="both"/>
            <w:rPr>
              <w:rFonts w:ascii="Palatino Linotype" w:cs="Palatino Linotype" w:eastAsia="Palatino Linotype" w:hAnsi="Palatino Linotype"/>
              <w:b w:val="1"/>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José Martínez Vilchis</w:t>
          </w:r>
        </w:p>
      </w:tc>
    </w:tr>
  </w:tbl>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rFonts w:ascii="Palatino Linotype" w:cs="Palatino Linotype" w:eastAsia="Palatino Linotype" w:hAnsi="Palatino Linotype"/>
        <w:b w:val="1"/>
        <w:color w:val="000000"/>
        <w:sz w:val="20"/>
        <w:szCs w:val="2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-707525</wp:posOffset>
          </wp:positionH>
          <wp:positionV relativeFrom="paragraph">
            <wp:posOffset>-1205672</wp:posOffset>
          </wp:positionV>
          <wp:extent cx="7521053" cy="9897494"/>
          <wp:effectExtent b="0" l="0" r="0" t="0"/>
          <wp:wrapNone/>
          <wp:docPr id="2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21053" cy="9897494"/>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607BA"/>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Puest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table" w:styleId="TableNormal8" w:customStyle="1">
    <w:name w:val="Table Normal"/>
    <w:tblPr>
      <w:tblCellMar>
        <w:top w:w="0.0" w:type="dxa"/>
        <w:left w:w="0.0" w:type="dxa"/>
        <w:bottom w:w="0.0" w:type="dxa"/>
        <w:right w:w="0.0" w:type="dxa"/>
      </w:tblCellMar>
    </w:tblPr>
  </w:style>
  <w:style w:type="table" w:styleId="TableNormal9" w:customStyle="1">
    <w:name w:val="Table Normal"/>
    <w:tblPr>
      <w:tblCellMar>
        <w:top w:w="0.0" w:type="dxa"/>
        <w:left w:w="0.0" w:type="dxa"/>
        <w:bottom w:w="0.0" w:type="dxa"/>
        <w:right w:w="0.0" w:type="dxa"/>
      </w:tblCellMar>
    </w:tblPr>
  </w:style>
  <w:style w:type="table" w:styleId="TableNormala" w:customStyle="1">
    <w:name w:val="Table Normal"/>
    <w:tblPr>
      <w:tblCellMar>
        <w:top w:w="0.0" w:type="dxa"/>
        <w:left w:w="0.0" w:type="dxa"/>
        <w:bottom w:w="0.0" w:type="dxa"/>
        <w:right w:w="0.0" w:type="dxa"/>
      </w:tblCellMar>
    </w:tblPr>
  </w:style>
  <w:style w:type="table" w:styleId="TableNormalb" w:customStyle="1">
    <w:name w:val="Table Normal"/>
    <w:tblPr>
      <w:tblCellMar>
        <w:top w:w="0.0" w:type="dxa"/>
        <w:left w:w="0.0" w:type="dxa"/>
        <w:bottom w:w="0.0" w:type="dxa"/>
        <w:right w:w="0.0" w:type="dxa"/>
      </w:tblCellMar>
    </w:tblPr>
  </w:style>
  <w:style w:type="table" w:styleId="TableNormalc" w:customStyle="1">
    <w:name w:val="Table Normal"/>
    <w:tblPr>
      <w:tblCellMar>
        <w:top w:w="0.0" w:type="dxa"/>
        <w:left w:w="0.0" w:type="dxa"/>
        <w:bottom w:w="0.0" w:type="dxa"/>
        <w:right w:w="0.0" w:type="dxa"/>
      </w:tblCellMar>
    </w:tblPr>
  </w:style>
  <w:style w:type="table" w:styleId="TableNormald" w:customStyle="1">
    <w:name w:val="Table Normal"/>
    <w:tblPr>
      <w:tblCellMar>
        <w:top w:w="0.0" w:type="dxa"/>
        <w:left w:w="0.0" w:type="dxa"/>
        <w:bottom w:w="0.0" w:type="dxa"/>
        <w:right w:w="0.0" w:type="dxa"/>
      </w:tblCellMar>
    </w:tblPr>
  </w:style>
  <w:style w:type="table" w:styleId="TableNormale" w:customStyle="1">
    <w:name w:val="Table Normal"/>
    <w:tblPr>
      <w:tblCellMar>
        <w:top w:w="0.0" w:type="dxa"/>
        <w:left w:w="0.0" w:type="dxa"/>
        <w:bottom w:w="0.0" w:type="dxa"/>
        <w:right w:w="0.0" w:type="dxa"/>
      </w:tblCellMar>
    </w:tblPr>
  </w:style>
  <w:style w:type="paragraph" w:styleId="Encabezado">
    <w:name w:val="header"/>
    <w:basedOn w:val="Normal"/>
    <w:link w:val="EncabezadoCar"/>
    <w:uiPriority w:val="99"/>
    <w:unhideWhenUsed w:val="1"/>
    <w:rsid w:val="000607BA"/>
    <w:pPr>
      <w:tabs>
        <w:tab w:val="center" w:pos="4419"/>
        <w:tab w:val="right" w:pos="8838"/>
      </w:tabs>
      <w:spacing w:after="0" w:line="240" w:lineRule="auto"/>
    </w:pPr>
    <w:rPr>
      <w:rFonts w:ascii="Times New Roman" w:cs="Times New Roman" w:eastAsia="Times New Roman" w:hAnsi="Times New Roman"/>
      <w:sz w:val="24"/>
      <w:szCs w:val="24"/>
      <w:lang w:eastAsia="es-ES"/>
    </w:rPr>
  </w:style>
  <w:style w:type="character" w:styleId="EncabezadoCar" w:customStyle="1">
    <w:name w:val="Encabezado Car"/>
    <w:basedOn w:val="Fuentedeprrafopredeter"/>
    <w:link w:val="Encabezado"/>
    <w:uiPriority w:val="99"/>
    <w:rsid w:val="000607BA"/>
    <w:rPr>
      <w:rFonts w:ascii="Times New Roman" w:cs="Times New Roman" w:eastAsia="Times New Roman" w:hAnsi="Times New Roman"/>
      <w:sz w:val="24"/>
      <w:szCs w:val="24"/>
      <w:lang w:eastAsia="es-ES" w:val="es-ES"/>
    </w:rPr>
  </w:style>
  <w:style w:type="paragraph" w:styleId="Piedepgina">
    <w:name w:val="footer"/>
    <w:basedOn w:val="Normal"/>
    <w:link w:val="PiedepginaCar"/>
    <w:uiPriority w:val="99"/>
    <w:unhideWhenUsed w:val="1"/>
    <w:rsid w:val="000607BA"/>
    <w:pPr>
      <w:tabs>
        <w:tab w:val="center" w:pos="4419"/>
        <w:tab w:val="right" w:pos="8838"/>
      </w:tabs>
      <w:spacing w:after="0" w:line="240" w:lineRule="auto"/>
    </w:pPr>
    <w:rPr>
      <w:rFonts w:ascii="Times New Roman" w:cs="Times New Roman" w:eastAsia="Times New Roman" w:hAnsi="Times New Roman"/>
      <w:sz w:val="24"/>
      <w:szCs w:val="24"/>
      <w:lang w:eastAsia="es-ES"/>
    </w:rPr>
  </w:style>
  <w:style w:type="character" w:styleId="PiedepginaCar" w:customStyle="1">
    <w:name w:val="Pie de página Car"/>
    <w:basedOn w:val="Fuentedeprrafopredeter"/>
    <w:link w:val="Piedepgina"/>
    <w:uiPriority w:val="99"/>
    <w:rsid w:val="000607BA"/>
    <w:rPr>
      <w:rFonts w:ascii="Times New Roman" w:cs="Times New Roman" w:eastAsia="Times New Roman" w:hAnsi="Times New Roman"/>
      <w:sz w:val="24"/>
      <w:szCs w:val="24"/>
      <w:lang w:eastAsia="es-ES" w:val="es-ES"/>
    </w:rPr>
  </w:style>
  <w:style w:type="paragraph" w:styleId="NormalWeb">
    <w:name w:val="Normal (Web)"/>
    <w:basedOn w:val="Normal"/>
    <w:uiPriority w:val="99"/>
    <w:rsid w:val="000607BA"/>
    <w:pPr>
      <w:spacing w:after="100" w:afterAutospacing="1" w:before="100" w:beforeAutospacing="1" w:line="240" w:lineRule="auto"/>
    </w:pPr>
    <w:rPr>
      <w:rFonts w:ascii="Times New Roman" w:cs="Times New Roman" w:eastAsia="Times New Roman" w:hAnsi="Times New Roman"/>
      <w:sz w:val="24"/>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val="1"/>
    <w:rsid w:val="000607BA"/>
    <w:pPr>
      <w:spacing w:after="0" w:line="240" w:lineRule="auto"/>
      <w:ind w:left="720"/>
      <w:contextualSpacing w:val="1"/>
    </w:pPr>
    <w:rPr>
      <w:rFonts w:ascii="Times New Roman" w:cs="Times New Roman" w:hAnsi="Times New Roman"/>
      <w:sz w:val="24"/>
      <w:szCs w:val="24"/>
      <w:lang w:eastAsia="es-ES"/>
    </w:rPr>
  </w:style>
  <w:style w:type="character" w:styleId="PrrafodelistaCar" w:customStyle="1">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val="1"/>
    <w:locked w:val="1"/>
    <w:rsid w:val="000607BA"/>
    <w:rPr>
      <w:rFonts w:ascii="Times New Roman" w:cs="Times New Roman" w:eastAsia="Calibri" w:hAnsi="Times New Roman"/>
      <w:sz w:val="24"/>
      <w:szCs w:val="24"/>
      <w:lang w:eastAsia="es-ES" w:val="es-ES"/>
    </w:rPr>
  </w:style>
  <w:style w:type="paragraph" w:styleId="Textodeglobo">
    <w:name w:val="Balloon Text"/>
    <w:basedOn w:val="Normal"/>
    <w:link w:val="TextodegloboCar"/>
    <w:uiPriority w:val="99"/>
    <w:semiHidden w:val="1"/>
    <w:unhideWhenUsed w:val="1"/>
    <w:rsid w:val="00456467"/>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456467"/>
    <w:rPr>
      <w:rFonts w:ascii="Segoe UI" w:cs="Segoe UI" w:hAnsi="Segoe UI"/>
      <w:sz w:val="18"/>
      <w:szCs w:val="18"/>
    </w:rPr>
  </w:style>
  <w:style w:type="character" w:styleId="apple-converted-space" w:customStyle="1">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val="1"/>
    <w:qFormat w:val="1"/>
    <w:rsid w:val="00921613"/>
    <w:pPr>
      <w:spacing w:after="0" w:line="240" w:lineRule="auto"/>
    </w:pPr>
    <w:rPr>
      <w:sz w:val="20"/>
      <w:szCs w:val="20"/>
    </w:rPr>
  </w:style>
  <w:style w:type="character" w:styleId="TextonotapieCar" w:customStyle="1">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val="1"/>
    <w:qFormat w:val="1"/>
    <w:rsid w:val="00921613"/>
    <w:rPr>
      <w:vertAlign w:val="superscript"/>
    </w:rPr>
  </w:style>
  <w:style w:type="character" w:styleId="Hipervnculo">
    <w:name w:val="Hyperlink"/>
    <w:basedOn w:val="Fuentedeprrafopredeter"/>
    <w:uiPriority w:val="99"/>
    <w:unhideWhenUsed w:val="1"/>
    <w:rsid w:val="00696A57"/>
    <w:rPr>
      <w:color w:val="0000ff"/>
      <w:u w:val="single"/>
    </w:rPr>
  </w:style>
  <w:style w:type="paragraph" w:styleId="paragraph" w:customStyle="1">
    <w:name w:val="paragraph"/>
    <w:basedOn w:val="Normal"/>
    <w:rsid w:val="00C964CC"/>
    <w:pPr>
      <w:spacing w:after="100" w:afterAutospacing="1" w:before="100" w:beforeAutospacing="1" w:line="240" w:lineRule="auto"/>
    </w:pPr>
    <w:rPr>
      <w:rFonts w:ascii="Times New Roman" w:cs="Times New Roman" w:eastAsia="Times New Roman" w:hAnsi="Times New Roman"/>
      <w:sz w:val="24"/>
      <w:szCs w:val="24"/>
      <w:lang w:val="en-US"/>
    </w:rPr>
  </w:style>
  <w:style w:type="table" w:styleId="Tablaconcuadrcula1" w:customStyle="1">
    <w:name w:val="Tabla con cuadrícula1"/>
    <w:basedOn w:val="Tablanormal"/>
    <w:next w:val="Tablaconcuadrcula"/>
    <w:uiPriority w:val="59"/>
    <w:rsid w:val="00C964CC"/>
    <w:pPr>
      <w:spacing w:after="0" w:line="240" w:lineRule="auto"/>
    </w:pPr>
    <w:rPr>
      <w:rFonts w:cs="Times New Roman"/>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table" w:styleId="Tablaconcuadrcula">
    <w:name w:val="Table Grid"/>
    <w:basedOn w:val="Tablanormal"/>
    <w:uiPriority w:val="59"/>
    <w:rsid w:val="00C964C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Fundamentos" w:customStyle="1">
    <w:name w:val="Fundamentos"/>
    <w:basedOn w:val="Normal"/>
    <w:qFormat w:val="1"/>
    <w:rsid w:val="00DB4997"/>
    <w:pPr>
      <w:pBdr>
        <w:top w:space="0" w:sz="0" w:val="nil"/>
        <w:left w:space="0" w:sz="0" w:val="nil"/>
        <w:bottom w:space="0" w:sz="0" w:val="nil"/>
        <w:right w:space="0" w:sz="0" w:val="nil"/>
        <w:between w:space="0" w:sz="0" w:val="nil"/>
      </w:pBdr>
      <w:spacing w:after="0" w:line="240" w:lineRule="auto"/>
      <w:ind w:left="567" w:right="567"/>
      <w:contextualSpacing w:val="1"/>
      <w:jc w:val="both"/>
    </w:pPr>
    <w:rPr>
      <w:rFonts w:ascii="Palatino Linotype" w:cs="Palatino Linotype" w:eastAsia="Palatino Linotype" w:hAnsi="Palatino Linotype"/>
      <w:i w:val="1"/>
      <w:color w:val="000000"/>
      <w:szCs w:val="24"/>
      <w:lang w:val="es-ES_tradnl"/>
    </w:rPr>
  </w:style>
  <w:style w:type="paragraph" w:styleId="Sinespaciado">
    <w:name w:val="No Spacing"/>
    <w:aliases w:val="Francesa,INAI"/>
    <w:link w:val="SinespaciadoCar"/>
    <w:uiPriority w:val="1"/>
    <w:qFormat w:val="1"/>
    <w:rsid w:val="00515C3E"/>
    <w:pPr>
      <w:spacing w:after="0" w:line="240" w:lineRule="auto"/>
      <w:ind w:left="567" w:right="567"/>
      <w:jc w:val="both"/>
    </w:pPr>
    <w:rPr>
      <w:rFonts w:ascii="Arial" w:cs="Times New Roman" w:eastAsia="Batang" w:hAnsi="Arial"/>
      <w:sz w:val="20"/>
      <w:szCs w:val="24"/>
      <w:lang w:eastAsia="es-ES" w:val="es-MX"/>
    </w:rPr>
  </w:style>
  <w:style w:type="character" w:styleId="SinespaciadoCar" w:customStyle="1">
    <w:name w:val="Sin espaciado Car"/>
    <w:aliases w:val="Francesa Car,INAI Car"/>
    <w:basedOn w:val="Fuentedeprrafopredeter"/>
    <w:link w:val="Sinespaciado"/>
    <w:uiPriority w:val="1"/>
    <w:qFormat w:val="1"/>
    <w:rsid w:val="00515C3E"/>
    <w:rPr>
      <w:rFonts w:ascii="Arial" w:cs="Times New Roman" w:eastAsia="Batang" w:hAnsi="Arial"/>
      <w:sz w:val="20"/>
      <w:szCs w:val="24"/>
      <w:lang w:eastAsia="es-ES" w:val="es-MX"/>
    </w:rPr>
  </w:style>
  <w:style w:type="paragraph" w:styleId="Citas" w:customStyle="1">
    <w:name w:val="Citas"/>
    <w:basedOn w:val="Normal"/>
    <w:qFormat w:val="1"/>
    <w:rsid w:val="00537CBA"/>
    <w:pPr>
      <w:spacing w:before="240" w:line="360" w:lineRule="auto"/>
      <w:ind w:left="851" w:right="851"/>
      <w:jc w:val="both"/>
    </w:pPr>
    <w:rPr>
      <w:rFonts w:ascii="Palatino Linotype" w:cs="Arial" w:hAnsi="Palatino Linotype" w:eastAsiaTheme="minorHAnsi"/>
      <w:i w:val="1"/>
      <w:lang w:eastAsia="en-US" w:val="es-MX"/>
    </w:rPr>
  </w:style>
  <w:style w:type="character" w:styleId="Refdecomentario">
    <w:name w:val="annotation reference"/>
    <w:basedOn w:val="Fuentedeprrafopredeter"/>
    <w:uiPriority w:val="99"/>
    <w:semiHidden w:val="1"/>
    <w:unhideWhenUsed w:val="1"/>
    <w:rsid w:val="00537CBA"/>
    <w:rPr>
      <w:sz w:val="16"/>
      <w:szCs w:val="16"/>
    </w:rPr>
  </w:style>
  <w:style w:type="table" w:styleId="a" w:customStyle="1">
    <w:basedOn w:val="TableNormal1"/>
    <w:pPr>
      <w:spacing w:after="0" w:line="240" w:lineRule="auto"/>
    </w:pPr>
    <w:tblPr>
      <w:tblStyleRowBandSize w:val="1"/>
      <w:tblStyleColBandSize w:val="1"/>
      <w:tblCellMar>
        <w:left w:w="108.0" w:type="dxa"/>
        <w:right w:w="108.0" w:type="dxa"/>
      </w:tblCellMar>
    </w:tblPr>
  </w:style>
  <w:style w:type="table" w:styleId="a0" w:customStyle="1">
    <w:basedOn w:val="TableNormal0"/>
    <w:pPr>
      <w:spacing w:after="0" w:line="240" w:lineRule="auto"/>
    </w:pPr>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l+CBkvmXWAFCbPnQzXuH0OA/IA==">CgMxLjAyCGguZ2pkZ3hzMgloLjJldDkycDAyCWguM3pueXNoNzIJaC4xZm9iOXRlMghoLnR5amN3dDIOaC5qa2F4bjhtZ3h5N3EyCWguMzBqMHpsbDIJaC4zZHk2dmttOAByITFsZEVwQTBBZllkemlCNDFwaHkzcnlyWGJ4eW0wWVZ3MQ==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2024-11-07T22:59:00Z</dcterms:created>
  <dc:creator>USUARIO</dc:creator>
</cp:coreProperties>
</file>