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612D" w14:textId="6334D7DE" w:rsidR="00D01931" w:rsidRDefault="00D01931" w:rsidP="00D01931">
      <w:pPr>
        <w:tabs>
          <w:tab w:val="left" w:pos="1843"/>
        </w:tabs>
        <w:spacing w:after="0" w:line="360" w:lineRule="auto"/>
        <w:jc w:val="both"/>
        <w:rPr>
          <w:rFonts w:ascii="Palatino Linotype" w:hAnsi="Palatino Linotype" w:cs="Tahoma"/>
          <w:b/>
        </w:rPr>
      </w:pPr>
      <w:r w:rsidRPr="00274A5F">
        <w:rPr>
          <w:rFonts w:ascii="Palatino Linotype" w:hAnsi="Palatino Linotype" w:cs="Tahoma"/>
          <w:b/>
        </w:rPr>
        <w:t xml:space="preserve">VOTO PARTICULAR QUE FORMULA EL COMISIONADO LUIS GUSTAVO PARRA NORIEGA, A LA RESOLUCIÓN DEL RECURSO DE REVISIÓN </w:t>
      </w:r>
      <w:r>
        <w:rPr>
          <w:rFonts w:ascii="Palatino Linotype" w:eastAsia="Palatino Linotype" w:hAnsi="Palatino Linotype" w:cs="Palatino Linotype"/>
          <w:b/>
        </w:rPr>
        <w:t>04509</w:t>
      </w:r>
      <w:r w:rsidRPr="00274A5F">
        <w:rPr>
          <w:rFonts w:ascii="Palatino Linotype" w:eastAsia="Palatino Linotype" w:hAnsi="Palatino Linotype" w:cs="Palatino Linotype"/>
          <w:b/>
        </w:rPr>
        <w:t>/INFOEM/IP/RR/202</w:t>
      </w:r>
      <w:r>
        <w:rPr>
          <w:rFonts w:ascii="Palatino Linotype" w:eastAsia="Palatino Linotype" w:hAnsi="Palatino Linotype" w:cs="Palatino Linotype"/>
          <w:b/>
        </w:rPr>
        <w:t>3</w:t>
      </w:r>
      <w:r w:rsidRPr="00274A5F">
        <w:rPr>
          <w:rFonts w:ascii="Palatino Linotype" w:hAnsi="Palatino Linotype"/>
          <w:b/>
          <w:lang w:val="es-MX"/>
        </w:rPr>
        <w:t>,</w:t>
      </w:r>
      <w:r w:rsidRPr="00274A5F">
        <w:rPr>
          <w:rFonts w:ascii="Palatino Linotype" w:hAnsi="Palatino Linotype" w:cs="Tahoma"/>
          <w:b/>
        </w:rPr>
        <w:t xml:space="preserve"> PROMOVIDO EN CONTRA DEL </w:t>
      </w:r>
      <w:r>
        <w:rPr>
          <w:rFonts w:ascii="Palatino Linotype" w:hAnsi="Palatino Linotype" w:cs="Tahoma"/>
          <w:b/>
        </w:rPr>
        <w:t>AYUNTAMIENTO DE ZINACANTEPEC.</w:t>
      </w:r>
    </w:p>
    <w:p w14:paraId="03F3B499" w14:textId="77777777" w:rsidR="00D01931" w:rsidRPr="00274A5F" w:rsidRDefault="00D01931" w:rsidP="00D01931">
      <w:pPr>
        <w:tabs>
          <w:tab w:val="left" w:pos="1843"/>
        </w:tabs>
        <w:spacing w:after="0" w:line="360" w:lineRule="auto"/>
        <w:jc w:val="both"/>
        <w:rPr>
          <w:rFonts w:ascii="Palatino Linotype" w:hAnsi="Palatino Linotype" w:cs="Arial"/>
          <w:b/>
          <w:sz w:val="24"/>
          <w:szCs w:val="24"/>
        </w:rPr>
      </w:pPr>
    </w:p>
    <w:p w14:paraId="6D15259E" w14:textId="25582D64" w:rsidR="005359CF" w:rsidRPr="005359CF" w:rsidRDefault="00D01931" w:rsidP="00D01931">
      <w:pPr>
        <w:spacing w:after="0" w:line="360" w:lineRule="auto"/>
        <w:jc w:val="both"/>
        <w:rPr>
          <w:rFonts w:ascii="Palatino Linotype" w:hAnsi="Palatino Linotype" w:cs="Tahoma"/>
        </w:rPr>
      </w:pPr>
      <w:r w:rsidRPr="00274A5F">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274A5F">
        <w:rPr>
          <w:rFonts w:ascii="Palatino Linotype" w:hAnsi="Palatino Linotype" w:cs="Tahoma"/>
          <w:b/>
        </w:rPr>
        <w:t>Voto Particular</w:t>
      </w:r>
      <w:r w:rsidRPr="00274A5F">
        <w:rPr>
          <w:rFonts w:ascii="Palatino Linotype" w:hAnsi="Palatino Linotype" w:cs="Tahoma"/>
        </w:rPr>
        <w:t xml:space="preserve"> por no compartir en su totalidad las consideraciones que sustentan la Resolución del Recurso de Revisión </w:t>
      </w:r>
      <w:r>
        <w:rPr>
          <w:rFonts w:ascii="Palatino Linotype" w:eastAsia="Palatino Linotype" w:hAnsi="Palatino Linotype" w:cs="Palatino Linotype"/>
          <w:b/>
        </w:rPr>
        <w:t>04509</w:t>
      </w:r>
      <w:r w:rsidRPr="00274A5F">
        <w:rPr>
          <w:rFonts w:ascii="Palatino Linotype" w:eastAsia="Palatino Linotype" w:hAnsi="Palatino Linotype" w:cs="Palatino Linotype"/>
          <w:b/>
        </w:rPr>
        <w:t>/INFOEM/IP/RR/</w:t>
      </w:r>
      <w:r>
        <w:rPr>
          <w:rFonts w:ascii="Palatino Linotype" w:eastAsia="Palatino Linotype" w:hAnsi="Palatino Linotype" w:cs="Palatino Linotype"/>
          <w:b/>
        </w:rPr>
        <w:t>2023</w:t>
      </w:r>
      <w:r w:rsidRPr="00274A5F">
        <w:rPr>
          <w:rFonts w:ascii="Palatino Linotype" w:hAnsi="Palatino Linotype"/>
          <w:b/>
          <w:lang w:val="es-MX"/>
        </w:rPr>
        <w:t>.</w:t>
      </w:r>
    </w:p>
    <w:p w14:paraId="5F51008E" w14:textId="77777777" w:rsidR="005359CF" w:rsidRPr="005359CF" w:rsidRDefault="005359CF" w:rsidP="00141383">
      <w:pPr>
        <w:spacing w:after="0" w:line="360" w:lineRule="auto"/>
        <w:jc w:val="both"/>
        <w:rPr>
          <w:rFonts w:ascii="Palatino Linotype" w:hAnsi="Palatino Linotype" w:cs="Tahoma"/>
        </w:rPr>
      </w:pPr>
    </w:p>
    <w:p w14:paraId="1B453C4A" w14:textId="77777777" w:rsidR="003634AE" w:rsidRDefault="005359CF" w:rsidP="00141383">
      <w:pPr>
        <w:spacing w:after="0" w:line="360" w:lineRule="auto"/>
        <w:jc w:val="both"/>
        <w:rPr>
          <w:rFonts w:ascii="Palatino Linotype" w:hAnsi="Palatino Linotype" w:cs="Tahoma"/>
          <w:lang w:val="es-MX"/>
        </w:rPr>
      </w:pPr>
      <w:r w:rsidRPr="005359CF">
        <w:rPr>
          <w:rFonts w:ascii="Palatino Linotype" w:hAnsi="Palatino Linotype" w:cs="Tahoma"/>
        </w:rPr>
        <w:t xml:space="preserve">Como se desprende de la Resolución que nos ocupa, el solicitante requirió </w:t>
      </w:r>
      <w:r w:rsidR="003634AE">
        <w:rPr>
          <w:rFonts w:ascii="Palatino Linotype" w:hAnsi="Palatino Linotype" w:cs="Tahoma"/>
          <w:i/>
          <w:lang w:val="es-MX"/>
        </w:rPr>
        <w:t>“…</w:t>
      </w:r>
      <w:r w:rsidR="00D01931" w:rsidRPr="00D01931">
        <w:rPr>
          <w:rFonts w:ascii="Palatino Linotype" w:hAnsi="Palatino Linotype" w:cs="Tahoma"/>
          <w:i/>
          <w:lang w:val="es-MX"/>
        </w:rPr>
        <w:t xml:space="preserve"> SABER CON QUE RANCHOS, SALONES DW FIESTAS, MANSIONES, CUENTAN LOS EX PRESIDENTES DE ZINACANTEPEC COMO LO MENCIONA EL PRESIDENTE ACTUAL</w:t>
      </w:r>
      <w:r w:rsidR="003634AE">
        <w:rPr>
          <w:rFonts w:ascii="Palatino Linotype" w:hAnsi="Palatino Linotype" w:cs="Tahoma"/>
          <w:i/>
          <w:lang w:val="es-MX"/>
        </w:rPr>
        <w:t>” (Sic)</w:t>
      </w:r>
      <w:r w:rsidR="00A60FDD">
        <w:rPr>
          <w:rFonts w:ascii="Palatino Linotype" w:hAnsi="Palatino Linotype" w:cs="Tahoma"/>
        </w:rPr>
        <w:t>;</w:t>
      </w:r>
      <w:r w:rsidR="0071155A">
        <w:rPr>
          <w:rFonts w:ascii="Palatino Linotype" w:hAnsi="Palatino Linotype" w:cs="Tahoma"/>
        </w:rPr>
        <w:t xml:space="preserve"> en respuesta</w:t>
      </w:r>
      <w:r w:rsidR="003634AE">
        <w:rPr>
          <w:rFonts w:ascii="Palatino Linotype" w:hAnsi="Palatino Linotype" w:cs="Tahoma"/>
        </w:rPr>
        <w:t>,</w:t>
      </w:r>
      <w:r w:rsidR="0071155A">
        <w:rPr>
          <w:rFonts w:ascii="Palatino Linotype" w:hAnsi="Palatino Linotype" w:cs="Tahoma"/>
        </w:rPr>
        <w:t xml:space="preserve"> el Ayuntamiento manifestó</w:t>
      </w:r>
      <w:r w:rsidR="00A60FDD" w:rsidRPr="00A60FDD">
        <w:rPr>
          <w:rFonts w:ascii="Palatino Linotype" w:hAnsi="Palatino Linotype"/>
          <w:sz w:val="20"/>
          <w:lang w:val="es-MX" w:eastAsia="es-MX"/>
        </w:rPr>
        <w:t xml:space="preserve"> </w:t>
      </w:r>
      <w:r w:rsidR="00A60FDD">
        <w:rPr>
          <w:rFonts w:ascii="Palatino Linotype" w:hAnsi="Palatino Linotype" w:cs="Tahoma"/>
          <w:lang w:val="es-MX"/>
        </w:rPr>
        <w:t>que</w:t>
      </w:r>
      <w:r w:rsidR="00A60FDD" w:rsidRPr="00A60FDD">
        <w:rPr>
          <w:rFonts w:ascii="Palatino Linotype" w:hAnsi="Palatino Linotype" w:cs="Tahoma"/>
          <w:lang w:val="es-MX"/>
        </w:rPr>
        <w:t xml:space="preserve"> </w:t>
      </w:r>
      <w:r w:rsidR="00D01931" w:rsidRPr="00D01931">
        <w:rPr>
          <w:rFonts w:ascii="Palatino Linotype" w:hAnsi="Palatino Linotype" w:cs="Tahoma"/>
          <w:lang w:val="es-MX"/>
        </w:rPr>
        <w:t>lo solicitado transgrede la vida privada y/o la información concerniente a una persona identificada o identificable según lo dispuesto por la Ley de Protección de Datos Personales del Estado de México</w:t>
      </w:r>
      <w:r w:rsidR="003634AE">
        <w:rPr>
          <w:rFonts w:ascii="Palatino Linotype" w:hAnsi="Palatino Linotype" w:cs="Tahoma"/>
          <w:lang w:val="es-MX"/>
        </w:rPr>
        <w:t>.</w:t>
      </w:r>
    </w:p>
    <w:p w14:paraId="4746035E" w14:textId="77777777" w:rsidR="003634AE" w:rsidRDefault="003634AE" w:rsidP="00141383">
      <w:pPr>
        <w:spacing w:after="0" w:line="360" w:lineRule="auto"/>
        <w:jc w:val="both"/>
        <w:rPr>
          <w:rFonts w:ascii="Palatino Linotype" w:hAnsi="Palatino Linotype" w:cs="Tahoma"/>
          <w:lang w:val="es-MX"/>
        </w:rPr>
      </w:pPr>
    </w:p>
    <w:p w14:paraId="0E443CFB" w14:textId="5264C311" w:rsidR="0071155A" w:rsidRDefault="003634AE" w:rsidP="00141383">
      <w:pPr>
        <w:spacing w:after="0" w:line="360" w:lineRule="auto"/>
        <w:jc w:val="both"/>
        <w:rPr>
          <w:rFonts w:ascii="Palatino Linotype" w:hAnsi="Palatino Linotype" w:cs="Arial"/>
        </w:rPr>
      </w:pPr>
      <w:r>
        <w:rPr>
          <w:rFonts w:ascii="Palatino Linotype" w:hAnsi="Palatino Linotype" w:cs="Tahoma"/>
          <w:lang w:val="es-MX"/>
        </w:rPr>
        <w:t>A</w:t>
      </w:r>
      <w:r w:rsidR="00D01931" w:rsidRPr="00D01931">
        <w:rPr>
          <w:rFonts w:ascii="Palatino Linotype" w:hAnsi="Palatino Linotype" w:cs="Tahoma"/>
          <w:lang w:val="es-MX"/>
        </w:rPr>
        <w:t xml:space="preserve">simismo, que el requerimiento de información no constituye un derecho de acceso a la información pública y, por lo tanto, no es atendible mediante una solicitud de información, al tratarse de manifestaciones subjetivas vertidas por la persona solicitante, dado que el Derecho a la información constituye una prerrogativa a acceder a documentación en poder </w:t>
      </w:r>
      <w:r w:rsidR="00D01931" w:rsidRPr="00D01931">
        <w:rPr>
          <w:rFonts w:ascii="Palatino Linotype" w:hAnsi="Palatino Linotype" w:cs="Tahoma"/>
          <w:lang w:val="es-MX"/>
        </w:rPr>
        <w:lastRenderedPageBreak/>
        <w:t>de los Sujetos Obligados, no así a realizar cuestionamientos o manifestaciones subjetivas</w:t>
      </w:r>
      <w:r w:rsidR="0071155A">
        <w:rPr>
          <w:rFonts w:ascii="Palatino Linotype" w:hAnsi="Palatino Linotype" w:cs="Tahoma"/>
        </w:rPr>
        <w:t xml:space="preserve">. </w:t>
      </w:r>
      <w:r>
        <w:rPr>
          <w:rFonts w:ascii="Palatino Linotype" w:hAnsi="Palatino Linotype" w:cs="Tahoma"/>
        </w:rPr>
        <w:t xml:space="preserve"> </w:t>
      </w:r>
      <w:r w:rsidR="0071155A">
        <w:rPr>
          <w:rFonts w:ascii="Palatino Linotype" w:hAnsi="Palatino Linotype" w:cs="Tahoma"/>
        </w:rPr>
        <w:t>Inconforme con la respuesta otorgada por el Sujeto Obligado</w:t>
      </w:r>
      <w:r w:rsidR="00141383">
        <w:rPr>
          <w:rFonts w:ascii="Palatino Linotype" w:hAnsi="Palatino Linotype" w:cs="Tahoma"/>
        </w:rPr>
        <w:t>,</w:t>
      </w:r>
      <w:r w:rsidR="0071155A">
        <w:rPr>
          <w:rFonts w:ascii="Palatino Linotype" w:hAnsi="Palatino Linotype" w:cs="Tahoma"/>
        </w:rPr>
        <w:t xml:space="preserve"> a la </w:t>
      </w:r>
      <w:r w:rsidR="0071155A" w:rsidRPr="00B311D1">
        <w:rPr>
          <w:rFonts w:ascii="Palatino Linotype" w:hAnsi="Palatino Linotype" w:cs="Arial"/>
        </w:rPr>
        <w:t>solicitud de acceso a la información</w:t>
      </w:r>
      <w:r w:rsidR="00141383">
        <w:rPr>
          <w:rFonts w:ascii="Palatino Linotype" w:hAnsi="Palatino Linotype" w:cs="Arial"/>
        </w:rPr>
        <w:t>,</w:t>
      </w:r>
      <w:r w:rsidR="0071155A">
        <w:rPr>
          <w:rFonts w:ascii="Palatino Linotype" w:hAnsi="Palatino Linotype" w:cs="Arial"/>
        </w:rPr>
        <w:t xml:space="preserve"> el Recurrente interpuso Recurso de Revisión </w:t>
      </w:r>
      <w:r w:rsidR="00141383">
        <w:rPr>
          <w:rFonts w:ascii="Palatino Linotype" w:hAnsi="Palatino Linotype" w:cs="Arial"/>
        </w:rPr>
        <w:t>en el que se inconformó de</w:t>
      </w:r>
      <w:r w:rsidR="00033A62">
        <w:rPr>
          <w:rFonts w:ascii="Palatino Linotype" w:hAnsi="Palatino Linotype" w:cs="Arial"/>
        </w:rPr>
        <w:t xml:space="preserve"> que </w:t>
      </w:r>
      <w:r w:rsidR="00D01931">
        <w:rPr>
          <w:rFonts w:ascii="Palatino Linotype" w:hAnsi="Palatino Linotype" w:cs="Arial"/>
        </w:rPr>
        <w:t>no se le entregó información</w:t>
      </w:r>
      <w:r w:rsidR="00033A62">
        <w:rPr>
          <w:rFonts w:ascii="Palatino Linotype" w:hAnsi="Palatino Linotype" w:cs="Arial"/>
        </w:rPr>
        <w:t>.</w:t>
      </w:r>
      <w:r w:rsidR="00A66EF2">
        <w:rPr>
          <w:rFonts w:ascii="Palatino Linotype" w:hAnsi="Palatino Linotype" w:cs="Arial"/>
        </w:rPr>
        <w:t xml:space="preserve"> </w:t>
      </w:r>
    </w:p>
    <w:p w14:paraId="7E112D96" w14:textId="5405F21B" w:rsidR="00A66EF2" w:rsidRDefault="00A66EF2" w:rsidP="00141383">
      <w:pPr>
        <w:spacing w:after="0" w:line="360" w:lineRule="auto"/>
        <w:jc w:val="both"/>
        <w:rPr>
          <w:rFonts w:ascii="Palatino Linotype" w:hAnsi="Palatino Linotype" w:cs="Arial"/>
        </w:rPr>
      </w:pPr>
    </w:p>
    <w:p w14:paraId="5AA65711" w14:textId="6517F273" w:rsidR="006264D7" w:rsidRDefault="00033A62" w:rsidP="00D01931">
      <w:pPr>
        <w:spacing w:after="0" w:line="360" w:lineRule="auto"/>
        <w:jc w:val="both"/>
        <w:rPr>
          <w:rFonts w:ascii="Palatino Linotype" w:eastAsia="Calibri" w:hAnsi="Palatino Linotype" w:cs="Tahoma"/>
          <w:lang w:val="es-MX"/>
        </w:rPr>
      </w:pPr>
      <w:r w:rsidRPr="00033A62">
        <w:rPr>
          <w:rFonts w:ascii="Palatino Linotype" w:eastAsia="Calibri" w:hAnsi="Palatino Linotype" w:cs="Tahoma"/>
        </w:rPr>
        <w:t xml:space="preserve">Como se desprende de la Resolución que nos ocupa, la mayoría del Pleno de este </w:t>
      </w:r>
      <w:r w:rsidR="0003753E" w:rsidRPr="00033A62">
        <w:rPr>
          <w:rFonts w:ascii="Palatino Linotype" w:eastAsia="Calibri" w:hAnsi="Palatino Linotype" w:cs="Tahoma"/>
        </w:rPr>
        <w:t>Instituto</w:t>
      </w:r>
      <w:r w:rsidRPr="00033A62">
        <w:rPr>
          <w:rFonts w:ascii="Palatino Linotype" w:eastAsia="Calibri" w:hAnsi="Palatino Linotype" w:cs="Tahoma"/>
        </w:rPr>
        <w:t xml:space="preserve"> consideró procedente </w:t>
      </w:r>
      <w:r w:rsidR="00D01931">
        <w:rPr>
          <w:rFonts w:ascii="Palatino Linotype" w:eastAsia="Calibri" w:hAnsi="Palatino Linotype" w:cs="Tahoma"/>
          <w:b/>
          <w:bCs/>
        </w:rPr>
        <w:t>REVO</w:t>
      </w:r>
      <w:r>
        <w:rPr>
          <w:rFonts w:ascii="Palatino Linotype" w:eastAsia="Calibri" w:hAnsi="Palatino Linotype" w:cs="Tahoma"/>
          <w:b/>
          <w:bCs/>
        </w:rPr>
        <w:t>C</w:t>
      </w:r>
      <w:r w:rsidRPr="00033A62">
        <w:rPr>
          <w:rFonts w:ascii="Palatino Linotype" w:eastAsia="Calibri" w:hAnsi="Palatino Linotype" w:cs="Tahoma"/>
          <w:b/>
          <w:bCs/>
        </w:rPr>
        <w:t xml:space="preserve">AR </w:t>
      </w:r>
      <w:r w:rsidRPr="00033A62">
        <w:rPr>
          <w:rFonts w:ascii="Palatino Linotype" w:eastAsia="Calibri" w:hAnsi="Palatino Linotype" w:cs="Tahoma"/>
        </w:rPr>
        <w:t xml:space="preserve">la respuesta entregada por el </w:t>
      </w:r>
      <w:r>
        <w:rPr>
          <w:rFonts w:ascii="Palatino Linotype" w:eastAsia="Calibri" w:hAnsi="Palatino Linotype" w:cs="Tahoma"/>
        </w:rPr>
        <w:t xml:space="preserve">Ayuntamiento de </w:t>
      </w:r>
      <w:r w:rsidR="00D01931">
        <w:rPr>
          <w:rFonts w:ascii="Palatino Linotype" w:eastAsia="Calibri" w:hAnsi="Palatino Linotype" w:cs="Tahoma"/>
        </w:rPr>
        <w:t>Zinacantepec</w:t>
      </w:r>
      <w:r w:rsidR="006264D7">
        <w:rPr>
          <w:rFonts w:ascii="Palatino Linotype" w:eastAsia="Calibri" w:hAnsi="Palatino Linotype" w:cs="Tahoma"/>
        </w:rPr>
        <w:t xml:space="preserve"> y ordenar la entrega del </w:t>
      </w:r>
      <w:r w:rsidR="006264D7" w:rsidRPr="00D01931">
        <w:rPr>
          <w:rFonts w:ascii="Palatino Linotype" w:eastAsia="Calibri" w:hAnsi="Palatino Linotype" w:cs="Tahoma"/>
        </w:rPr>
        <w:t>Acuerdo que emita el Comité de Transparencia mediante el que confirme la declaratoria de incompetencia</w:t>
      </w:r>
      <w:r w:rsidR="006264D7">
        <w:rPr>
          <w:rFonts w:ascii="Palatino Linotype" w:eastAsia="Calibri" w:hAnsi="Palatino Linotype" w:cs="Tahoma"/>
        </w:rPr>
        <w:t xml:space="preserve"> respecto a la</w:t>
      </w:r>
      <w:r w:rsidR="006264D7" w:rsidRPr="00D01931">
        <w:rPr>
          <w:rFonts w:ascii="Palatino Linotype" w:eastAsia="Times New Roman" w:hAnsi="Palatino Linotype" w:cs="Arial"/>
          <w:sz w:val="24"/>
          <w:szCs w:val="24"/>
          <w:lang w:val="es-MX" w:eastAsia="es-MX"/>
        </w:rPr>
        <w:t xml:space="preserve"> </w:t>
      </w:r>
      <w:r w:rsidR="006264D7" w:rsidRPr="00D01931">
        <w:rPr>
          <w:rFonts w:ascii="Palatino Linotype" w:eastAsia="Calibri" w:hAnsi="Palatino Linotype" w:cs="Tahoma"/>
          <w:lang w:val="es-MX"/>
        </w:rPr>
        <w:t>Declaración de Situación Patrimonial</w:t>
      </w:r>
      <w:r w:rsidR="006264D7">
        <w:rPr>
          <w:rFonts w:ascii="Palatino Linotype" w:eastAsia="Calibri" w:hAnsi="Palatino Linotype" w:cs="Tahoma"/>
          <w:lang w:val="es-MX"/>
        </w:rPr>
        <w:t>.</w:t>
      </w:r>
    </w:p>
    <w:p w14:paraId="1D25E20D" w14:textId="77777777" w:rsidR="006264D7" w:rsidRDefault="006264D7" w:rsidP="00D01931">
      <w:pPr>
        <w:spacing w:after="0" w:line="360" w:lineRule="auto"/>
        <w:jc w:val="both"/>
        <w:rPr>
          <w:rFonts w:ascii="Palatino Linotype" w:eastAsia="Calibri" w:hAnsi="Palatino Linotype" w:cs="Tahoma"/>
          <w:lang w:val="es-MX"/>
        </w:rPr>
      </w:pPr>
    </w:p>
    <w:p w14:paraId="571D2023" w14:textId="12F51E50" w:rsidR="00D01931" w:rsidRPr="00D01931" w:rsidRDefault="006264D7" w:rsidP="00D01931">
      <w:pPr>
        <w:spacing w:after="0" w:line="360" w:lineRule="auto"/>
        <w:jc w:val="both"/>
        <w:rPr>
          <w:rFonts w:ascii="Palatino Linotype" w:eastAsia="Calibri" w:hAnsi="Palatino Linotype" w:cs="Tahoma"/>
          <w:bCs/>
          <w:color w:val="000000"/>
        </w:rPr>
      </w:pPr>
      <w:r>
        <w:rPr>
          <w:rFonts w:ascii="Palatino Linotype" w:eastAsia="Calibri" w:hAnsi="Palatino Linotype" w:cs="Tahoma"/>
        </w:rPr>
        <w:t>S</w:t>
      </w:r>
      <w:r w:rsidR="00033A62" w:rsidRPr="00033A62">
        <w:rPr>
          <w:rFonts w:ascii="Palatino Linotype" w:eastAsia="Calibri" w:hAnsi="Palatino Linotype" w:cs="Tahoma"/>
        </w:rPr>
        <w:t xml:space="preserve">in embargo, difiero con la determinación tomada, pues considero que </w:t>
      </w:r>
      <w:r w:rsidR="00394370">
        <w:rPr>
          <w:rFonts w:ascii="Palatino Linotype" w:eastAsia="Calibri" w:hAnsi="Palatino Linotype" w:cs="Tahoma"/>
        </w:rPr>
        <w:t>la respuesta d</w:t>
      </w:r>
      <w:r w:rsidR="00033A62" w:rsidRPr="00033A62">
        <w:rPr>
          <w:rFonts w:ascii="Palatino Linotype" w:eastAsia="Calibri" w:hAnsi="Palatino Linotype" w:cs="Tahoma"/>
        </w:rPr>
        <w:t>el Ente Recurrido</w:t>
      </w:r>
      <w:r w:rsidR="00394370">
        <w:rPr>
          <w:rFonts w:ascii="Palatino Linotype" w:eastAsia="Calibri" w:hAnsi="Palatino Linotype" w:cs="Tahoma"/>
        </w:rPr>
        <w:t xml:space="preserve"> satisfizo el derecho de acceso a la información, en virtud de que</w:t>
      </w:r>
      <w:r w:rsidR="00033A62" w:rsidRPr="00033A62">
        <w:rPr>
          <w:rFonts w:ascii="Palatino Linotype" w:eastAsia="Calibri" w:hAnsi="Palatino Linotype" w:cs="Tahoma"/>
        </w:rPr>
        <w:t xml:space="preserve"> </w:t>
      </w:r>
      <w:r w:rsidR="00D01931" w:rsidRPr="00D01931">
        <w:rPr>
          <w:rFonts w:ascii="Palatino Linotype" w:eastAsia="Calibri" w:hAnsi="Palatino Linotype" w:cs="Tahoma"/>
          <w:bCs/>
          <w:color w:val="000000"/>
        </w:rPr>
        <w:t>se consideran manifestaciones subjetivas ya que las mismas no se pueden colmar con la entrega de un documento, sino más bien, se pretende hacer que el Sujeto Obligado realice la entrega de una razón o razonamiento, lo cual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1366C78B" w14:textId="77777777" w:rsidR="00D01931" w:rsidRPr="00D01931" w:rsidRDefault="00D01931" w:rsidP="00D01931">
      <w:pPr>
        <w:spacing w:after="0" w:line="360" w:lineRule="auto"/>
        <w:jc w:val="both"/>
        <w:rPr>
          <w:rFonts w:ascii="Palatino Linotype" w:eastAsia="Calibri" w:hAnsi="Palatino Linotype" w:cs="Tahoma"/>
          <w:bCs/>
          <w:color w:val="000000"/>
        </w:rPr>
      </w:pPr>
    </w:p>
    <w:p w14:paraId="6901D764" w14:textId="77777777" w:rsidR="00D01931" w:rsidRPr="00D01931" w:rsidRDefault="00D01931" w:rsidP="00D01931">
      <w:pPr>
        <w:spacing w:after="0" w:line="360" w:lineRule="auto"/>
        <w:jc w:val="both"/>
        <w:rPr>
          <w:rFonts w:ascii="Palatino Linotype" w:eastAsia="Calibri" w:hAnsi="Palatino Linotype" w:cs="Arial"/>
          <w:bCs/>
          <w:color w:val="000000"/>
          <w:lang w:val="es-MX"/>
        </w:rPr>
      </w:pPr>
      <w:r w:rsidRPr="00D01931">
        <w:rPr>
          <w:rFonts w:ascii="Palatino Linotype" w:eastAsia="Calibri" w:hAnsi="Palatino Linotype" w:cs="Arial"/>
          <w:bCs/>
          <w:color w:val="000000"/>
        </w:rPr>
        <w:t xml:space="preserve">Lo anterior, toma sustento </w:t>
      </w:r>
      <w:r w:rsidRPr="00D01931">
        <w:rPr>
          <w:rFonts w:ascii="Palatino Linotype" w:eastAsia="Calibri" w:hAnsi="Palatino Linotype" w:cs="Arial"/>
          <w:bCs/>
          <w:color w:val="000000"/>
          <w:lang w:val="es-MX"/>
        </w:rPr>
        <w:t xml:space="preserve">la Jurisprudencia XXI.1o.P.A. J/27, de los Tribunales Colegiados de Circuito, localizada en la página 1406, del Semanario Judicial de la Federación y su Gaceta, Tomo </w:t>
      </w:r>
      <w:r w:rsidRPr="00D01931">
        <w:rPr>
          <w:rFonts w:ascii="Calibri" w:eastAsia="Calibri" w:hAnsi="Calibri" w:cs="Calibri"/>
          <w:color w:val="000000"/>
          <w:sz w:val="26"/>
          <w:szCs w:val="26"/>
        </w:rPr>
        <w:t>XXXIII</w:t>
      </w:r>
      <w:r w:rsidRPr="00D01931">
        <w:rPr>
          <w:rFonts w:ascii="Palatino Linotype" w:eastAsia="Calibri" w:hAnsi="Palatino Linotype" w:cs="Arial"/>
          <w:bCs/>
          <w:color w:val="000000"/>
          <w:lang w:val="es-MX"/>
        </w:rPr>
        <w:t>, marzo 2011, Novena Época, que establece lo siguiente:</w:t>
      </w:r>
    </w:p>
    <w:p w14:paraId="06B10481" w14:textId="77777777" w:rsidR="00D01931" w:rsidRPr="00D01931" w:rsidRDefault="00D01931" w:rsidP="00D01931">
      <w:pPr>
        <w:spacing w:after="0" w:line="360" w:lineRule="auto"/>
        <w:jc w:val="both"/>
        <w:rPr>
          <w:rFonts w:ascii="Palatino Linotype" w:eastAsia="Calibri" w:hAnsi="Palatino Linotype" w:cs="Arial"/>
          <w:bCs/>
          <w:color w:val="000000"/>
          <w:lang w:val="es-MX"/>
        </w:rPr>
      </w:pPr>
    </w:p>
    <w:p w14:paraId="50066EED" w14:textId="77777777" w:rsidR="00D01931" w:rsidRPr="00D01931" w:rsidRDefault="00D01931" w:rsidP="00D01931">
      <w:pPr>
        <w:spacing w:after="0" w:line="360" w:lineRule="auto"/>
        <w:ind w:left="567" w:right="567"/>
        <w:jc w:val="both"/>
        <w:rPr>
          <w:rFonts w:ascii="Palatino Linotype" w:eastAsia="Calibri" w:hAnsi="Palatino Linotype" w:cs="Arial"/>
          <w:bCs/>
          <w:i/>
          <w:color w:val="000000"/>
          <w:sz w:val="20"/>
          <w:szCs w:val="20"/>
        </w:rPr>
      </w:pPr>
      <w:r w:rsidRPr="00D01931">
        <w:rPr>
          <w:rFonts w:ascii="Palatino Linotype" w:eastAsia="Calibri" w:hAnsi="Palatino Linotype" w:cs="Arial"/>
          <w:b/>
          <w:bCs/>
          <w:i/>
          <w:color w:val="000000"/>
          <w:sz w:val="20"/>
          <w:szCs w:val="20"/>
        </w:rPr>
        <w:t xml:space="preserve">“DERECHO DE PETICIÓN. SUS ELEMENTOS. </w:t>
      </w:r>
      <w:r w:rsidRPr="00D01931">
        <w:rPr>
          <w:rFonts w:ascii="Palatino Linotype" w:eastAsia="Calibri" w:hAnsi="Palatino Linotype" w:cs="Arial"/>
          <w:bCs/>
          <w:i/>
          <w:color w:val="000000"/>
          <w:sz w:val="20"/>
          <w:szCs w:val="20"/>
        </w:rPr>
        <w:t xml:space="preserve">El denominado "derecho de petición", acorde con los criterios de los tribunales del Poder Judicial de la Federación, es la garantía </w:t>
      </w:r>
      <w:r w:rsidRPr="00D01931">
        <w:rPr>
          <w:rFonts w:ascii="Palatino Linotype" w:eastAsia="Calibri" w:hAnsi="Palatino Linotype" w:cs="Arial"/>
          <w:bCs/>
          <w:i/>
          <w:color w:val="000000"/>
          <w:sz w:val="20"/>
          <w:szCs w:val="20"/>
        </w:rPr>
        <w:lastRenderedPageBreak/>
        <w:t>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21DA5E6E" w14:textId="77777777" w:rsidR="00D01931" w:rsidRPr="00D01931" w:rsidRDefault="00D01931" w:rsidP="00D01931">
      <w:pPr>
        <w:spacing w:after="0" w:line="360" w:lineRule="auto"/>
        <w:jc w:val="both"/>
        <w:rPr>
          <w:rFonts w:ascii="Palatino Linotype" w:eastAsia="Calibri" w:hAnsi="Palatino Linotype" w:cs="Arial"/>
          <w:bCs/>
          <w:color w:val="000000"/>
        </w:rPr>
      </w:pPr>
    </w:p>
    <w:p w14:paraId="51655DC1" w14:textId="77777777" w:rsidR="00D01931" w:rsidRPr="00D01931" w:rsidRDefault="00D01931" w:rsidP="00D01931">
      <w:pPr>
        <w:spacing w:after="0" w:line="360" w:lineRule="auto"/>
        <w:jc w:val="both"/>
        <w:rPr>
          <w:rFonts w:ascii="Palatino Linotype" w:eastAsia="Calibri" w:hAnsi="Palatino Linotype" w:cs="Arial"/>
          <w:bCs/>
          <w:color w:val="000000"/>
        </w:rPr>
      </w:pPr>
      <w:r w:rsidRPr="00D01931">
        <w:rPr>
          <w:rFonts w:ascii="Palatino Linotype" w:eastAsia="Calibri" w:hAnsi="Palatino Linotype" w:cs="Arial"/>
          <w:bCs/>
          <w:color w:val="000000"/>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38CA8D01" w14:textId="77777777" w:rsidR="00D01931" w:rsidRPr="00D01931" w:rsidRDefault="00D01931" w:rsidP="00D01931">
      <w:pPr>
        <w:spacing w:after="0" w:line="360" w:lineRule="auto"/>
        <w:jc w:val="both"/>
        <w:rPr>
          <w:rFonts w:ascii="Palatino Linotype" w:eastAsia="Times New Roman" w:hAnsi="Palatino Linotype" w:cs="Tahoma"/>
          <w:shd w:val="clear" w:color="auto" w:fill="FFFFFF"/>
          <w:lang w:val="es-MX" w:eastAsia="es-ES"/>
        </w:rPr>
      </w:pPr>
    </w:p>
    <w:p w14:paraId="4D903BAD" w14:textId="77777777" w:rsidR="00D01931" w:rsidRPr="00D01931" w:rsidRDefault="00D01931" w:rsidP="00D01931">
      <w:pPr>
        <w:spacing w:after="0" w:line="360" w:lineRule="auto"/>
        <w:jc w:val="both"/>
        <w:rPr>
          <w:rFonts w:ascii="Palatino Linotype" w:eastAsia="Calibri" w:hAnsi="Palatino Linotype" w:cs="Tahoma"/>
          <w:bCs/>
          <w:color w:val="000000"/>
        </w:rPr>
      </w:pPr>
      <w:r w:rsidRPr="00D01931">
        <w:rPr>
          <w:rFonts w:ascii="Palatino Linotype" w:eastAsia="Times New Roman" w:hAnsi="Palatino Linotype" w:cs="Tahoma"/>
          <w:color w:val="000000"/>
          <w:lang w:eastAsia="es-ES"/>
        </w:rPr>
        <w:t xml:space="preserve">En ese orden de ideas, según Trujillo, Humberto (2019), en el “Diccionario de Transparencia y Acceso a la Información Pública” (p. 122), el derecho de petición, es una prerrogativa constitucional que tienen las personas para solicitar o reclamar a las autoridades públicas, de forma individual o a través de un grupo de personas; la cual dichas entidades están </w:t>
      </w:r>
      <w:r w:rsidRPr="00D01931">
        <w:rPr>
          <w:rFonts w:ascii="Palatino Linotype" w:eastAsia="Times New Roman" w:hAnsi="Palatino Linotype" w:cs="Tahoma"/>
          <w:color w:val="000000"/>
          <w:lang w:eastAsia="es-ES"/>
        </w:rPr>
        <w:lastRenderedPageBreak/>
        <w:t xml:space="preserve">obligadas a recibirlas, proponer un acuerdo escrito que especifiqué los tiempos y la forma en que será contestada la consulta y reclamación y así ofrecer una respuesta. </w:t>
      </w:r>
      <w:r w:rsidRPr="00D01931">
        <w:rPr>
          <w:rFonts w:ascii="Palatino Linotype" w:eastAsia="Calibri" w:hAnsi="Palatino Linotype" w:cs="Arial"/>
          <w:b/>
          <w:bCs/>
          <w:color w:val="000000"/>
        </w:rPr>
        <w:t>De tal circunstancia, se puede colegir que respecto al requerimiento realizado, se trata de un derecho de petición y, por lo tanto, no puede ser atendido vía del derecho de acceso a la información pública.</w:t>
      </w:r>
    </w:p>
    <w:p w14:paraId="76966A6C" w14:textId="77777777" w:rsidR="009F130F" w:rsidRDefault="009F130F" w:rsidP="00033A62">
      <w:pPr>
        <w:spacing w:after="0" w:line="360" w:lineRule="auto"/>
        <w:jc w:val="both"/>
        <w:rPr>
          <w:rFonts w:ascii="Palatino Linotype" w:eastAsia="Calibri" w:hAnsi="Palatino Linotype" w:cs="Tahoma"/>
          <w:bCs/>
        </w:rPr>
      </w:pPr>
    </w:p>
    <w:p w14:paraId="068DE559" w14:textId="5CF947CF" w:rsidR="00033A62" w:rsidRDefault="009F130F" w:rsidP="00033A62">
      <w:pPr>
        <w:spacing w:after="0" w:line="360" w:lineRule="auto"/>
        <w:jc w:val="both"/>
        <w:rPr>
          <w:rFonts w:ascii="Palatino Linotype" w:eastAsia="Calibri" w:hAnsi="Palatino Linotype" w:cs="Tahoma"/>
          <w:lang w:val="es-MX"/>
        </w:rPr>
      </w:pPr>
      <w:r>
        <w:rPr>
          <w:rFonts w:ascii="Palatino Linotype" w:eastAsia="Calibri" w:hAnsi="Palatino Linotype" w:cs="Tahoma"/>
          <w:bCs/>
        </w:rPr>
        <w:t>En este sentido</w:t>
      </w:r>
      <w:r w:rsidR="008E28BE" w:rsidRPr="008E28BE">
        <w:rPr>
          <w:rFonts w:ascii="Palatino Linotype" w:eastAsia="Calibri" w:hAnsi="Palatino Linotype" w:cs="Tahoma"/>
          <w:bCs/>
        </w:rPr>
        <w:t xml:space="preserve">, al haber contestado que </w:t>
      </w:r>
      <w:r w:rsidR="006264D7">
        <w:rPr>
          <w:rFonts w:ascii="Palatino Linotype" w:eastAsia="Calibri" w:hAnsi="Palatino Linotype" w:cs="Tahoma"/>
          <w:bCs/>
        </w:rPr>
        <w:t>lo solicitado se trata de un derecho de petición y no al ejercicio del derecho de acceso a la información pública</w:t>
      </w:r>
      <w:r>
        <w:rPr>
          <w:rFonts w:ascii="Palatino Linotype" w:eastAsia="Calibri" w:hAnsi="Palatino Linotype" w:cs="Tahoma"/>
          <w:bCs/>
        </w:rPr>
        <w:t>,</w:t>
      </w:r>
      <w:r w:rsidR="00B53403">
        <w:rPr>
          <w:rFonts w:ascii="Palatino Linotype" w:eastAsia="Calibri" w:hAnsi="Palatino Linotype" w:cs="Tahoma"/>
          <w:bCs/>
        </w:rPr>
        <w:t xml:space="preserve"> </w:t>
      </w:r>
      <w:r w:rsidR="008E28BE" w:rsidRPr="008E28BE">
        <w:rPr>
          <w:rFonts w:ascii="Palatino Linotype" w:eastAsia="Calibri" w:hAnsi="Palatino Linotype" w:cs="Tahoma"/>
          <w:bCs/>
        </w:rPr>
        <w:t>la solicitud deb</w:t>
      </w:r>
      <w:r w:rsidR="008E28BE">
        <w:rPr>
          <w:rFonts w:ascii="Palatino Linotype" w:eastAsia="Calibri" w:hAnsi="Palatino Linotype" w:cs="Tahoma"/>
          <w:bCs/>
        </w:rPr>
        <w:t xml:space="preserve">ió de tenerse por atendida; </w:t>
      </w:r>
      <w:r w:rsidR="00033A62" w:rsidRPr="00033A62">
        <w:rPr>
          <w:rFonts w:ascii="Palatino Linotype" w:eastAsia="Calibri" w:hAnsi="Palatino Linotype" w:cs="Tahoma"/>
        </w:rPr>
        <w:t xml:space="preserve">dicha situación, toma sustento </w:t>
      </w:r>
      <w:r w:rsidR="00033A62" w:rsidRPr="00033A62">
        <w:rPr>
          <w:rFonts w:ascii="Palatino Linotype" w:eastAsia="Calibri" w:hAnsi="Palatino Linotype" w:cs="Tahoma"/>
          <w:bCs/>
          <w:lang w:val="es-MX"/>
        </w:rPr>
        <w:t>en el</w:t>
      </w:r>
      <w:r w:rsidR="00033A62" w:rsidRPr="00033A62">
        <w:rPr>
          <w:rFonts w:ascii="Palatino Linotype" w:eastAsia="Calibri" w:hAnsi="Palatino Linotype" w:cs="Tahoma"/>
          <w:lang w:val="es-MX"/>
        </w:rPr>
        <w:t xml:space="preserve"> artículo 12 de la Ley de Transparencia y Acceso a la Información Pública del Estado de México y Municipios, que establece que los sujetos obligados sólo están constreñidos a proporcionar la información pública que obre en sus archivos.</w:t>
      </w:r>
    </w:p>
    <w:p w14:paraId="7436B2DC" w14:textId="77777777" w:rsidR="003345E1" w:rsidRDefault="003345E1" w:rsidP="00033A62">
      <w:pPr>
        <w:spacing w:after="0" w:line="360" w:lineRule="auto"/>
        <w:jc w:val="both"/>
        <w:rPr>
          <w:rFonts w:ascii="Palatino Linotype" w:eastAsia="Calibri" w:hAnsi="Palatino Linotype" w:cs="Tahoma"/>
          <w:lang w:val="es-MX"/>
        </w:rPr>
      </w:pPr>
    </w:p>
    <w:p w14:paraId="3A6C68C2" w14:textId="320AFA5F" w:rsidR="003345E1" w:rsidRPr="009F130F" w:rsidRDefault="003345E1" w:rsidP="00033A62">
      <w:pPr>
        <w:spacing w:after="0" w:line="360" w:lineRule="auto"/>
        <w:jc w:val="both"/>
        <w:rPr>
          <w:rFonts w:ascii="Palatino Linotype" w:eastAsia="Calibri" w:hAnsi="Palatino Linotype" w:cs="Tahoma"/>
          <w:bCs/>
        </w:rPr>
      </w:pPr>
      <w:r>
        <w:rPr>
          <w:rFonts w:ascii="Palatino Linotype" w:eastAsia="Calibri" w:hAnsi="Palatino Linotype" w:cs="Tahoma"/>
          <w:lang w:val="es-MX"/>
        </w:rPr>
        <w:t>Aún más, si bien es cierto que los servidores públicos están obligados a presentar Declaración Patrimonial, lo cierto es que, al ser lo requerido manifestaciones subjetivas</w:t>
      </w:r>
      <w:r w:rsidR="00487B30">
        <w:rPr>
          <w:rFonts w:ascii="Palatino Linotype" w:eastAsia="Calibri" w:hAnsi="Palatino Linotype" w:cs="Tahoma"/>
          <w:lang w:val="es-MX"/>
        </w:rPr>
        <w:t xml:space="preserve"> y que la información se solicita respecto de ex presidentes municipales, </w:t>
      </w:r>
      <w:r>
        <w:rPr>
          <w:rFonts w:ascii="Palatino Linotype" w:eastAsia="Calibri" w:hAnsi="Palatino Linotype" w:cs="Tahoma"/>
          <w:lang w:val="es-MX"/>
        </w:rPr>
        <w:t>nada</w:t>
      </w:r>
      <w:r w:rsidR="00487B30">
        <w:rPr>
          <w:rFonts w:ascii="Palatino Linotype" w:eastAsia="Calibri" w:hAnsi="Palatino Linotype" w:cs="Tahoma"/>
          <w:lang w:val="es-MX"/>
        </w:rPr>
        <w:t xml:space="preserve"> </w:t>
      </w:r>
      <w:r>
        <w:rPr>
          <w:rFonts w:ascii="Palatino Linotype" w:eastAsia="Calibri" w:hAnsi="Palatino Linotype" w:cs="Tahoma"/>
          <w:lang w:val="es-MX"/>
        </w:rPr>
        <w:t>garantiza</w:t>
      </w:r>
      <w:r w:rsidR="00487B30">
        <w:rPr>
          <w:rFonts w:ascii="Palatino Linotype" w:eastAsia="Calibri" w:hAnsi="Palatino Linotype" w:cs="Tahoma"/>
          <w:lang w:val="es-MX"/>
        </w:rPr>
        <w:t xml:space="preserve"> que la información solicitada obre en las declaraciones patrimoniales, además de que, no existirán declaraciones patrimoniales de expresidentes municipales, por no ser servidores públicos posterior a la </w:t>
      </w:r>
      <w:r w:rsidR="004F343D">
        <w:rPr>
          <w:rFonts w:ascii="Palatino Linotype" w:eastAsia="Calibri" w:hAnsi="Palatino Linotype" w:cs="Tahoma"/>
          <w:lang w:val="es-MX"/>
        </w:rPr>
        <w:t>conclusión de su mandato constitucional, de tal suerte que ordenar un acuerdo de incompetencia no atiende la solicitud de información</w:t>
      </w:r>
      <w:r w:rsidR="00F50447">
        <w:rPr>
          <w:rFonts w:ascii="Palatino Linotype" w:eastAsia="Calibri" w:hAnsi="Palatino Linotype" w:cs="Tahoma"/>
          <w:lang w:val="es-MX"/>
        </w:rPr>
        <w:t xml:space="preserve"> y por el contrario extiende y dilata el ejercicio de derecho de acceso a la información</w:t>
      </w:r>
      <w:r w:rsidR="004F343D">
        <w:rPr>
          <w:rFonts w:ascii="Palatino Linotype" w:eastAsia="Calibri" w:hAnsi="Palatino Linotype" w:cs="Tahoma"/>
          <w:lang w:val="es-MX"/>
        </w:rPr>
        <w:t>.</w:t>
      </w:r>
    </w:p>
    <w:p w14:paraId="1FFC5434" w14:textId="77777777" w:rsidR="009B6D4C" w:rsidRPr="009B6D4C" w:rsidRDefault="009B6D4C" w:rsidP="009B6D4C">
      <w:pPr>
        <w:spacing w:after="0" w:line="360" w:lineRule="auto"/>
        <w:jc w:val="both"/>
        <w:rPr>
          <w:rFonts w:ascii="Palatino Linotype" w:eastAsia="Palatino Linotype" w:hAnsi="Palatino Linotype" w:cs="Palatino Linotype"/>
          <w:lang w:eastAsia="es-MX"/>
        </w:rPr>
      </w:pPr>
    </w:p>
    <w:p w14:paraId="78F9A547" w14:textId="50EEFCE6" w:rsidR="0046391A" w:rsidRPr="005359CF" w:rsidRDefault="009B6D4C" w:rsidP="0046391A">
      <w:pPr>
        <w:spacing w:after="0" w:line="360" w:lineRule="auto"/>
        <w:jc w:val="both"/>
        <w:rPr>
          <w:rFonts w:ascii="Palatino Linotype" w:hAnsi="Palatino Linotype"/>
        </w:rPr>
      </w:pPr>
      <w:r w:rsidRPr="009B6D4C">
        <w:rPr>
          <w:rFonts w:ascii="Palatino Linotype" w:eastAsia="Palatino Linotype" w:hAnsi="Palatino Linotype" w:cs="Palatino Linotype"/>
          <w:lang w:eastAsia="es-MX"/>
        </w:rPr>
        <w:t xml:space="preserve">Así, con base en los razonamientos expuestos, se emite el Presente </w:t>
      </w:r>
      <w:r w:rsidRPr="009B6D4C">
        <w:rPr>
          <w:rFonts w:ascii="Palatino Linotype" w:eastAsia="Palatino Linotype" w:hAnsi="Palatino Linotype" w:cs="Palatino Linotype"/>
          <w:b/>
          <w:lang w:eastAsia="es-MX"/>
        </w:rPr>
        <w:t xml:space="preserve">Voto </w:t>
      </w:r>
      <w:r w:rsidR="006264D7">
        <w:rPr>
          <w:rFonts w:ascii="Palatino Linotype" w:eastAsia="Palatino Linotype" w:hAnsi="Palatino Linotype" w:cs="Palatino Linotype"/>
          <w:b/>
          <w:lang w:eastAsia="es-MX"/>
        </w:rPr>
        <w:t>particular</w:t>
      </w:r>
      <w:r w:rsidRPr="009B6D4C">
        <w:rPr>
          <w:rFonts w:ascii="Palatino Linotype" w:eastAsia="Palatino Linotype" w:hAnsi="Palatino Linotype" w:cs="Palatino Linotype"/>
          <w:b/>
          <w:lang w:eastAsia="es-MX"/>
        </w:rPr>
        <w:t>.</w:t>
      </w:r>
      <w:r w:rsidRPr="009B6D4C">
        <w:rPr>
          <w:rFonts w:ascii="Palatino Linotype" w:eastAsia="Palatino Linotype" w:hAnsi="Palatino Linotype" w:cs="Palatino Linotype"/>
          <w:lang w:eastAsia="es-MX"/>
        </w:rPr>
        <w:t xml:space="preserve"> --------</w:t>
      </w:r>
      <w:r w:rsidR="004F343D">
        <w:rPr>
          <w:rFonts w:ascii="Palatino Linotype" w:eastAsia="Palatino Linotype" w:hAnsi="Palatino Linotype" w:cs="Palatino Linotype"/>
          <w:lang w:eastAsia="es-MX"/>
        </w:rPr>
        <w:t>------------------------------------------------------------------------------------------------------------------------</w:t>
      </w:r>
      <w:r w:rsidRPr="009B6D4C">
        <w:rPr>
          <w:rFonts w:ascii="Palatino Linotype" w:eastAsia="Palatino Linotype" w:hAnsi="Palatino Linotype" w:cs="Palatino Linotype"/>
          <w:lang w:eastAsia="es-MX"/>
        </w:rPr>
        <w:t>--</w:t>
      </w:r>
    </w:p>
    <w:p w14:paraId="2F0EEF9B" w14:textId="2CAAA701" w:rsidR="00EF0C62" w:rsidRDefault="00EF0C62">
      <w:pPr>
        <w:rPr>
          <w:rFonts w:ascii="Palatino Linotype" w:hAnsi="Palatino Linotype"/>
        </w:rPr>
      </w:pPr>
      <w:r>
        <w:rPr>
          <w:rFonts w:ascii="Palatino Linotype" w:hAnsi="Palatino Linotype"/>
        </w:rPr>
        <w:br w:type="page"/>
      </w:r>
    </w:p>
    <w:p w14:paraId="29D593E7" w14:textId="77777777" w:rsidR="00215325" w:rsidRPr="005359CF" w:rsidRDefault="00215325" w:rsidP="00141383">
      <w:pPr>
        <w:spacing w:after="0"/>
        <w:rPr>
          <w:rFonts w:ascii="Palatino Linotype" w:hAnsi="Palatino Linotype"/>
        </w:rPr>
      </w:pPr>
    </w:p>
    <w:sectPr w:rsidR="00215325" w:rsidRPr="005359CF" w:rsidSect="00CD7EA3">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D38D8" w14:textId="77777777" w:rsidR="00CD7EA3" w:rsidRDefault="00CD7EA3" w:rsidP="00AA3FDF">
      <w:pPr>
        <w:spacing w:after="0" w:line="240" w:lineRule="auto"/>
      </w:pPr>
      <w:r>
        <w:separator/>
      </w:r>
    </w:p>
  </w:endnote>
  <w:endnote w:type="continuationSeparator" w:id="0">
    <w:p w14:paraId="78741C86" w14:textId="77777777" w:rsidR="00CD7EA3" w:rsidRDefault="00CD7EA3" w:rsidP="00AA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503C1F82" w14:textId="77777777" w:rsidR="00000000" w:rsidRDefault="009F282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264D7">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264D7">
              <w:rPr>
                <w:b/>
                <w:bCs/>
                <w:noProof/>
              </w:rPr>
              <w:t>5</w:t>
            </w:r>
            <w:r>
              <w:rPr>
                <w:b/>
                <w:bCs/>
                <w:sz w:val="24"/>
                <w:szCs w:val="24"/>
              </w:rPr>
              <w:fldChar w:fldCharType="end"/>
            </w:r>
          </w:p>
        </w:sdtContent>
      </w:sdt>
    </w:sdtContent>
  </w:sdt>
  <w:p w14:paraId="2D91B032"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5DE9" w14:textId="77777777" w:rsidR="00CD7EA3" w:rsidRDefault="00CD7EA3" w:rsidP="00AA3FDF">
      <w:pPr>
        <w:spacing w:after="0" w:line="240" w:lineRule="auto"/>
      </w:pPr>
      <w:r>
        <w:separator/>
      </w:r>
    </w:p>
  </w:footnote>
  <w:footnote w:type="continuationSeparator" w:id="0">
    <w:p w14:paraId="31A85868" w14:textId="77777777" w:rsidR="00CD7EA3" w:rsidRDefault="00CD7EA3" w:rsidP="00AA3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378"/>
    </w:tblGrid>
    <w:tr w:rsidR="0077694E" w:rsidRPr="001106EA" w14:paraId="42B7A3D0" w14:textId="77777777" w:rsidTr="0071155A">
      <w:trPr>
        <w:trHeight w:val="1843"/>
      </w:trPr>
      <w:tc>
        <w:tcPr>
          <w:tcW w:w="3544" w:type="dxa"/>
          <w:vAlign w:val="bottom"/>
        </w:tcPr>
        <w:p w14:paraId="13F4D928" w14:textId="77777777" w:rsidR="00000000" w:rsidRDefault="009F282D" w:rsidP="0077694E">
          <w:pPr>
            <w:pStyle w:val="Encabezado"/>
            <w:tabs>
              <w:tab w:val="clear" w:pos="4252"/>
              <w:tab w:val="center" w:pos="2614"/>
            </w:tabs>
            <w:ind w:left="-255"/>
          </w:pPr>
          <w:r>
            <w:rPr>
              <w:noProof/>
              <w:sz w:val="10"/>
              <w:szCs w:val="10"/>
              <w:lang w:val="es-MX" w:eastAsia="es-MX"/>
            </w:rPr>
            <w:drawing>
              <wp:inline distT="0" distB="0" distL="0" distR="0" wp14:anchorId="18A9B005" wp14:editId="40D25D39">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333B9A7E" w14:textId="77777777" w:rsidR="00000000" w:rsidRDefault="00000000" w:rsidP="0077694E">
          <w:pPr>
            <w:pStyle w:val="Encabezado"/>
            <w:tabs>
              <w:tab w:val="clear" w:pos="4252"/>
              <w:tab w:val="center" w:pos="2614"/>
            </w:tabs>
          </w:pPr>
        </w:p>
      </w:tc>
      <w:tc>
        <w:tcPr>
          <w:tcW w:w="6378" w:type="dxa"/>
          <w:vAlign w:val="center"/>
        </w:tcPr>
        <w:p w14:paraId="10A29EC8" w14:textId="3F31A188" w:rsidR="00000000" w:rsidRPr="00B9745A" w:rsidRDefault="009F282D" w:rsidP="0071155A">
          <w:pPr>
            <w:pStyle w:val="Encabezado"/>
            <w:ind w:left="456" w:right="-250"/>
            <w:jc w:val="both"/>
            <w:rPr>
              <w:rFonts w:ascii="Palatino Linotype" w:hAnsi="Palatino Linotype" w:cs="Tahoma"/>
              <w:b/>
            </w:rPr>
          </w:pPr>
          <w:r w:rsidRPr="00B9745A">
            <w:rPr>
              <w:rFonts w:ascii="Palatino Linotype" w:hAnsi="Palatino Linotype" w:cs="Tahoma"/>
              <w:b/>
            </w:rPr>
            <w:t xml:space="preserve">Voto </w:t>
          </w:r>
          <w:r w:rsidR="00D01931">
            <w:rPr>
              <w:rFonts w:ascii="Palatino Linotype" w:hAnsi="Palatino Linotype" w:cs="Tahoma"/>
              <w:b/>
            </w:rPr>
            <w:t>Particular</w:t>
          </w:r>
        </w:p>
        <w:p w14:paraId="49B20B50" w14:textId="453800A3" w:rsidR="00000000" w:rsidRDefault="009F282D" w:rsidP="0071155A">
          <w:pPr>
            <w:pStyle w:val="Encabezado"/>
            <w:ind w:left="456" w:right="-250"/>
            <w:jc w:val="both"/>
            <w:rPr>
              <w:rFonts w:ascii="Palatino Linotype" w:hAnsi="Palatino Linotype"/>
              <w:b/>
              <w:lang w:val="es-ES_tradnl"/>
            </w:rPr>
          </w:pPr>
          <w:r w:rsidRPr="00B9745A">
            <w:rPr>
              <w:rFonts w:ascii="Palatino Linotype" w:hAnsi="Palatino Linotype" w:cs="Tahoma"/>
              <w:b/>
            </w:rPr>
            <w:t xml:space="preserve">Recurso de Revisión: </w:t>
          </w:r>
          <w:r w:rsidR="0096594D">
            <w:rPr>
              <w:rFonts w:ascii="Palatino Linotype" w:hAnsi="Palatino Linotype"/>
              <w:b/>
              <w:lang w:val="es-ES_tradnl"/>
            </w:rPr>
            <w:t>0</w:t>
          </w:r>
          <w:r w:rsidR="00D01931">
            <w:rPr>
              <w:rFonts w:ascii="Palatino Linotype" w:hAnsi="Palatino Linotype"/>
              <w:b/>
              <w:lang w:val="es-ES_tradnl"/>
            </w:rPr>
            <w:t>4509</w:t>
          </w:r>
          <w:r w:rsidR="005867BE" w:rsidRPr="005867BE">
            <w:rPr>
              <w:rFonts w:ascii="Palatino Linotype" w:hAnsi="Palatino Linotype"/>
              <w:b/>
              <w:lang w:val="es-ES_tradnl"/>
            </w:rPr>
            <w:t>/INFOEM/IP/RR/202</w:t>
          </w:r>
          <w:r w:rsidR="0096594D">
            <w:rPr>
              <w:rFonts w:ascii="Palatino Linotype" w:hAnsi="Palatino Linotype"/>
              <w:b/>
              <w:lang w:val="es-ES_tradnl"/>
            </w:rPr>
            <w:t>3</w:t>
          </w:r>
        </w:p>
        <w:p w14:paraId="4E68DFCB" w14:textId="2C98F2AE" w:rsidR="00000000" w:rsidRDefault="009F282D" w:rsidP="0071155A">
          <w:pPr>
            <w:pStyle w:val="Encabezado"/>
            <w:ind w:left="456" w:right="-250"/>
            <w:jc w:val="both"/>
            <w:rPr>
              <w:rFonts w:ascii="Palatino Linotype" w:hAnsi="Palatino Linotype"/>
              <w:b/>
              <w:lang w:val="es-ES_tradnl"/>
            </w:rPr>
          </w:pPr>
          <w:r>
            <w:rPr>
              <w:rFonts w:ascii="Palatino Linotype" w:hAnsi="Palatino Linotype" w:cs="Tahoma"/>
              <w:b/>
            </w:rPr>
            <w:t>Sujeto Obligado:</w:t>
          </w:r>
          <w:r>
            <w:rPr>
              <w:rFonts w:ascii="Palatino Linotype" w:hAnsi="Palatino Linotype"/>
              <w:b/>
              <w:lang w:val="es-ES_tradnl"/>
            </w:rPr>
            <w:t xml:space="preserve"> </w:t>
          </w:r>
          <w:r w:rsidR="005867BE" w:rsidRPr="005867BE">
            <w:rPr>
              <w:rFonts w:ascii="Palatino Linotype" w:hAnsi="Palatino Linotype"/>
              <w:b/>
              <w:lang w:val="es-ES_tradnl"/>
            </w:rPr>
            <w:t xml:space="preserve">Ayuntamiento de </w:t>
          </w:r>
          <w:r w:rsidR="00D01931">
            <w:rPr>
              <w:rFonts w:ascii="Palatino Linotype" w:hAnsi="Palatino Linotype"/>
              <w:b/>
              <w:lang w:val="es-ES_tradnl"/>
            </w:rPr>
            <w:t>Zinacantepec</w:t>
          </w:r>
        </w:p>
        <w:p w14:paraId="285E3F85" w14:textId="3FAD0AFA" w:rsidR="00000000" w:rsidRPr="001106EA" w:rsidRDefault="009F282D" w:rsidP="00D01931">
          <w:pPr>
            <w:pStyle w:val="Encabezado"/>
            <w:ind w:left="456" w:right="-250"/>
            <w:jc w:val="both"/>
            <w:rPr>
              <w:rFonts w:ascii="Tahoma" w:hAnsi="Tahoma" w:cs="Tahoma"/>
            </w:rPr>
          </w:pPr>
          <w:r w:rsidRPr="00B9745A">
            <w:rPr>
              <w:rFonts w:ascii="Palatino Linotype" w:hAnsi="Palatino Linotype" w:cs="Tahoma"/>
              <w:b/>
            </w:rPr>
            <w:t xml:space="preserve">Comisionado Ponente: </w:t>
          </w:r>
          <w:r w:rsidR="00D01931">
            <w:rPr>
              <w:rFonts w:ascii="Palatino Linotype" w:hAnsi="Palatino Linotype"/>
              <w:b/>
              <w:lang w:val="es-ES_tradnl"/>
            </w:rPr>
            <w:t>Guadalupe Ramírez Peña</w:t>
          </w:r>
        </w:p>
      </w:tc>
    </w:tr>
  </w:tbl>
  <w:p w14:paraId="1A143BE1" w14:textId="77777777" w:rsidR="00000000" w:rsidRPr="001106EA" w:rsidRDefault="00000000">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1DC8"/>
    <w:multiLevelType w:val="hybridMultilevel"/>
    <w:tmpl w:val="D304D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472366"/>
    <w:multiLevelType w:val="hybridMultilevel"/>
    <w:tmpl w:val="6BA06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4"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95314964">
    <w:abstractNumId w:val="0"/>
  </w:num>
  <w:num w:numId="2" w16cid:durableId="572205843">
    <w:abstractNumId w:val="1"/>
  </w:num>
  <w:num w:numId="3" w16cid:durableId="1508708361">
    <w:abstractNumId w:val="4"/>
  </w:num>
  <w:num w:numId="4" w16cid:durableId="1422139368">
    <w:abstractNumId w:val="2"/>
  </w:num>
  <w:num w:numId="5" w16cid:durableId="1771509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CF"/>
    <w:rsid w:val="0002089F"/>
    <w:rsid w:val="0002329F"/>
    <w:rsid w:val="00031B11"/>
    <w:rsid w:val="00033A62"/>
    <w:rsid w:val="0003753E"/>
    <w:rsid w:val="000741F0"/>
    <w:rsid w:val="00084F61"/>
    <w:rsid w:val="00096426"/>
    <w:rsid w:val="000C2C5F"/>
    <w:rsid w:val="00103829"/>
    <w:rsid w:val="001113A1"/>
    <w:rsid w:val="0011590D"/>
    <w:rsid w:val="001204C9"/>
    <w:rsid w:val="00141383"/>
    <w:rsid w:val="0014605D"/>
    <w:rsid w:val="00151D8D"/>
    <w:rsid w:val="00153F14"/>
    <w:rsid w:val="001C1491"/>
    <w:rsid w:val="001C571B"/>
    <w:rsid w:val="001D3110"/>
    <w:rsid w:val="00215325"/>
    <w:rsid w:val="00220B7B"/>
    <w:rsid w:val="002217F3"/>
    <w:rsid w:val="00227A1C"/>
    <w:rsid w:val="0024317C"/>
    <w:rsid w:val="0025609E"/>
    <w:rsid w:val="0026347D"/>
    <w:rsid w:val="002650E0"/>
    <w:rsid w:val="002816FB"/>
    <w:rsid w:val="00281E77"/>
    <w:rsid w:val="00296B25"/>
    <w:rsid w:val="002B504C"/>
    <w:rsid w:val="002D3321"/>
    <w:rsid w:val="002F6943"/>
    <w:rsid w:val="0032683D"/>
    <w:rsid w:val="003345E1"/>
    <w:rsid w:val="00361AAF"/>
    <w:rsid w:val="003634AE"/>
    <w:rsid w:val="0037192D"/>
    <w:rsid w:val="003757C7"/>
    <w:rsid w:val="00394370"/>
    <w:rsid w:val="003A3DF5"/>
    <w:rsid w:val="003C3219"/>
    <w:rsid w:val="003D362E"/>
    <w:rsid w:val="003F2659"/>
    <w:rsid w:val="003F4A25"/>
    <w:rsid w:val="003F5CE4"/>
    <w:rsid w:val="004012C1"/>
    <w:rsid w:val="00401948"/>
    <w:rsid w:val="0041504E"/>
    <w:rsid w:val="0044361D"/>
    <w:rsid w:val="00452161"/>
    <w:rsid w:val="0046391A"/>
    <w:rsid w:val="00483CC9"/>
    <w:rsid w:val="00484D60"/>
    <w:rsid w:val="00487B30"/>
    <w:rsid w:val="004B4C9B"/>
    <w:rsid w:val="004D4E50"/>
    <w:rsid w:val="004E2B0E"/>
    <w:rsid w:val="004F343D"/>
    <w:rsid w:val="005006BD"/>
    <w:rsid w:val="00511B67"/>
    <w:rsid w:val="005359CF"/>
    <w:rsid w:val="005867BE"/>
    <w:rsid w:val="005911C7"/>
    <w:rsid w:val="005A63C6"/>
    <w:rsid w:val="005A6A2A"/>
    <w:rsid w:val="005B7194"/>
    <w:rsid w:val="005C0995"/>
    <w:rsid w:val="005D6338"/>
    <w:rsid w:val="006264D7"/>
    <w:rsid w:val="00627401"/>
    <w:rsid w:val="006571E9"/>
    <w:rsid w:val="00661C60"/>
    <w:rsid w:val="006A3E5E"/>
    <w:rsid w:val="006C3670"/>
    <w:rsid w:val="006D3DE2"/>
    <w:rsid w:val="00701AC3"/>
    <w:rsid w:val="0071155A"/>
    <w:rsid w:val="00724EC4"/>
    <w:rsid w:val="00733989"/>
    <w:rsid w:val="00774ED1"/>
    <w:rsid w:val="00781387"/>
    <w:rsid w:val="007823C8"/>
    <w:rsid w:val="007B297C"/>
    <w:rsid w:val="007B4A4C"/>
    <w:rsid w:val="007B7850"/>
    <w:rsid w:val="007C3CC4"/>
    <w:rsid w:val="00850528"/>
    <w:rsid w:val="008A03AC"/>
    <w:rsid w:val="008B4E5A"/>
    <w:rsid w:val="008E28BE"/>
    <w:rsid w:val="00925A86"/>
    <w:rsid w:val="00935145"/>
    <w:rsid w:val="0094145F"/>
    <w:rsid w:val="00945752"/>
    <w:rsid w:val="0096594D"/>
    <w:rsid w:val="00973429"/>
    <w:rsid w:val="009A17BF"/>
    <w:rsid w:val="009A7ED4"/>
    <w:rsid w:val="009B1EAD"/>
    <w:rsid w:val="009B6D4C"/>
    <w:rsid w:val="009C6C67"/>
    <w:rsid w:val="009F130F"/>
    <w:rsid w:val="009F282D"/>
    <w:rsid w:val="00A001D0"/>
    <w:rsid w:val="00A11E3E"/>
    <w:rsid w:val="00A34067"/>
    <w:rsid w:val="00A35FEE"/>
    <w:rsid w:val="00A3655C"/>
    <w:rsid w:val="00A55DC7"/>
    <w:rsid w:val="00A60FDD"/>
    <w:rsid w:val="00A64C61"/>
    <w:rsid w:val="00A64EBC"/>
    <w:rsid w:val="00A66EF2"/>
    <w:rsid w:val="00AA3FDF"/>
    <w:rsid w:val="00AC4A2B"/>
    <w:rsid w:val="00B05FAA"/>
    <w:rsid w:val="00B43ADA"/>
    <w:rsid w:val="00B53403"/>
    <w:rsid w:val="00B54729"/>
    <w:rsid w:val="00B82084"/>
    <w:rsid w:val="00B9683B"/>
    <w:rsid w:val="00BB1E30"/>
    <w:rsid w:val="00BD6B1A"/>
    <w:rsid w:val="00BF41C4"/>
    <w:rsid w:val="00C051A7"/>
    <w:rsid w:val="00C130DB"/>
    <w:rsid w:val="00C438A2"/>
    <w:rsid w:val="00C57288"/>
    <w:rsid w:val="00C61427"/>
    <w:rsid w:val="00C65CEF"/>
    <w:rsid w:val="00C853D6"/>
    <w:rsid w:val="00C9792C"/>
    <w:rsid w:val="00CA032D"/>
    <w:rsid w:val="00CA20C6"/>
    <w:rsid w:val="00CC186D"/>
    <w:rsid w:val="00CD7EA3"/>
    <w:rsid w:val="00D01931"/>
    <w:rsid w:val="00D0366A"/>
    <w:rsid w:val="00D36293"/>
    <w:rsid w:val="00D464A5"/>
    <w:rsid w:val="00D5377F"/>
    <w:rsid w:val="00D64D3E"/>
    <w:rsid w:val="00D72C77"/>
    <w:rsid w:val="00D76B70"/>
    <w:rsid w:val="00D87609"/>
    <w:rsid w:val="00D908A2"/>
    <w:rsid w:val="00DA1FEA"/>
    <w:rsid w:val="00DF43DE"/>
    <w:rsid w:val="00DF7097"/>
    <w:rsid w:val="00E012F8"/>
    <w:rsid w:val="00E0290B"/>
    <w:rsid w:val="00E079C5"/>
    <w:rsid w:val="00E3347A"/>
    <w:rsid w:val="00E419EA"/>
    <w:rsid w:val="00E47B26"/>
    <w:rsid w:val="00E53046"/>
    <w:rsid w:val="00E545F1"/>
    <w:rsid w:val="00EA17C2"/>
    <w:rsid w:val="00EC2210"/>
    <w:rsid w:val="00EE6752"/>
    <w:rsid w:val="00EF0C62"/>
    <w:rsid w:val="00F12E31"/>
    <w:rsid w:val="00F24A94"/>
    <w:rsid w:val="00F33FB9"/>
    <w:rsid w:val="00F419EA"/>
    <w:rsid w:val="00F50447"/>
    <w:rsid w:val="00FA7538"/>
    <w:rsid w:val="00FC3718"/>
    <w:rsid w:val="00FD6F97"/>
    <w:rsid w:val="00FF4FBC"/>
    <w:rsid w:val="00FF63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C89A"/>
  <w15:chartTrackingRefBased/>
  <w15:docId w15:val="{4D7F6786-2BA0-4A57-9DE0-02B2219A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9C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59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59CF"/>
    <w:rPr>
      <w:lang w:val="es-ES"/>
    </w:rPr>
  </w:style>
  <w:style w:type="paragraph" w:styleId="Piedepgina">
    <w:name w:val="footer"/>
    <w:basedOn w:val="Normal"/>
    <w:link w:val="PiedepginaCar"/>
    <w:uiPriority w:val="99"/>
    <w:unhideWhenUsed/>
    <w:rsid w:val="005359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59CF"/>
    <w:rPr>
      <w:lang w:val="es-ES"/>
    </w:rPr>
  </w:style>
  <w:style w:type="table" w:styleId="Tablaconcuadrcula">
    <w:name w:val="Table Grid"/>
    <w:basedOn w:val="Tablanormal"/>
    <w:uiPriority w:val="59"/>
    <w:rsid w:val="005359C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59CF"/>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5359CF"/>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359CF"/>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1146</Words>
  <Characters>6306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Sandra Ivette Razo De La Paz</cp:lastModifiedBy>
  <cp:revision>12</cp:revision>
  <cp:lastPrinted>2023-05-09T00:43:00Z</cp:lastPrinted>
  <dcterms:created xsi:type="dcterms:W3CDTF">2023-05-09T00:43:00Z</dcterms:created>
  <dcterms:modified xsi:type="dcterms:W3CDTF">2024-01-18T23:16:00Z</dcterms:modified>
</cp:coreProperties>
</file>