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C" w:rsidRPr="00197B94" w:rsidRDefault="00FA4865">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sidRPr="00197B94">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8A17BA">
        <w:rPr>
          <w:rFonts w:ascii="Palatino Linotype" w:eastAsia="Palatino Linotype" w:hAnsi="Palatino Linotype" w:cs="Palatino Linotype"/>
          <w:b/>
        </w:rPr>
        <w:t>TRIGÉSIMA</w:t>
      </w:r>
      <w:r w:rsidRPr="00197B94">
        <w:rPr>
          <w:rFonts w:ascii="Palatino Linotype" w:eastAsia="Palatino Linotype" w:hAnsi="Palatino Linotype" w:cs="Palatino Linotype"/>
          <w:b/>
        </w:rPr>
        <w:t xml:space="preserve"> </w:t>
      </w:r>
      <w:r w:rsidR="008A17BA">
        <w:rPr>
          <w:rFonts w:ascii="Palatino Linotype" w:eastAsia="Palatino Linotype" w:hAnsi="Palatino Linotype" w:cs="Palatino Linotype"/>
          <w:b/>
        </w:rPr>
        <w:t xml:space="preserve">NOVENA </w:t>
      </w:r>
      <w:r w:rsidRPr="00197B94">
        <w:rPr>
          <w:rFonts w:ascii="Palatino Linotype" w:eastAsia="Palatino Linotype" w:hAnsi="Palatino Linotype" w:cs="Palatino Linotype"/>
          <w:b/>
        </w:rPr>
        <w:t xml:space="preserve">SESIÓN ORDINARIA DEL </w:t>
      </w:r>
      <w:r w:rsidR="008A17BA">
        <w:rPr>
          <w:rFonts w:ascii="Palatino Linotype" w:eastAsia="Palatino Linotype" w:hAnsi="Palatino Linotype" w:cs="Palatino Linotype"/>
          <w:b/>
        </w:rPr>
        <w:t xml:space="preserve">TRECE </w:t>
      </w:r>
      <w:r w:rsidRPr="00197B94">
        <w:rPr>
          <w:rFonts w:ascii="Palatino Linotype" w:eastAsia="Palatino Linotype" w:hAnsi="Palatino Linotype" w:cs="Palatino Linotype"/>
          <w:b/>
        </w:rPr>
        <w:t>DE NOVIEMBRE DE DOS MIL VEINTICUAT</w:t>
      </w:r>
      <w:r w:rsidR="008A17BA">
        <w:rPr>
          <w:rFonts w:ascii="Palatino Linotype" w:eastAsia="Palatino Linotype" w:hAnsi="Palatino Linotype" w:cs="Palatino Linotype"/>
          <w:b/>
        </w:rPr>
        <w:t>RO EN EL RECURSO DE REVISIÓN 05</w:t>
      </w:r>
      <w:r w:rsidR="00A10959">
        <w:rPr>
          <w:rFonts w:ascii="Palatino Linotype" w:eastAsia="Palatino Linotype" w:hAnsi="Palatino Linotype" w:cs="Palatino Linotype"/>
          <w:b/>
        </w:rPr>
        <w:t>9</w:t>
      </w:r>
      <w:r w:rsidR="008A17BA">
        <w:rPr>
          <w:rFonts w:ascii="Palatino Linotype" w:eastAsia="Palatino Linotype" w:hAnsi="Palatino Linotype" w:cs="Palatino Linotype"/>
          <w:b/>
        </w:rPr>
        <w:t>7</w:t>
      </w:r>
      <w:r w:rsidR="00040235">
        <w:rPr>
          <w:rFonts w:ascii="Palatino Linotype" w:eastAsia="Palatino Linotype" w:hAnsi="Palatino Linotype" w:cs="Palatino Linotype"/>
          <w:b/>
        </w:rPr>
        <w:t>0</w:t>
      </w:r>
      <w:r w:rsidRPr="00197B94">
        <w:rPr>
          <w:rFonts w:ascii="Palatino Linotype" w:eastAsia="Palatino Linotype" w:hAnsi="Palatino Linotype" w:cs="Palatino Linotype"/>
          <w:b/>
        </w:rPr>
        <w:t>/INFOEM/IP/RR/2024.</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4318C0">
        <w:rPr>
          <w:rFonts w:ascii="Palatino Linotype" w:eastAsia="Palatino Linotype" w:hAnsi="Palatino Linotype" w:cs="Palatino Linotype"/>
          <w:b/>
        </w:rPr>
        <w:t>05</w:t>
      </w:r>
      <w:r w:rsidR="00040235">
        <w:rPr>
          <w:rFonts w:ascii="Palatino Linotype" w:eastAsia="Palatino Linotype" w:hAnsi="Palatino Linotype" w:cs="Palatino Linotype"/>
          <w:b/>
        </w:rPr>
        <w:t>9</w:t>
      </w:r>
      <w:r w:rsidR="004318C0">
        <w:rPr>
          <w:rFonts w:ascii="Palatino Linotype" w:eastAsia="Palatino Linotype" w:hAnsi="Palatino Linotype" w:cs="Palatino Linotype"/>
          <w:b/>
        </w:rPr>
        <w:t>7</w:t>
      </w:r>
      <w:r w:rsidR="00040235">
        <w:rPr>
          <w:rFonts w:ascii="Palatino Linotype" w:eastAsia="Palatino Linotype" w:hAnsi="Palatino Linotype" w:cs="Palatino Linotype"/>
          <w:b/>
        </w:rPr>
        <w:t>0</w:t>
      </w:r>
      <w:r w:rsidRPr="00197B94">
        <w:rPr>
          <w:rFonts w:ascii="Palatino Linotype" w:eastAsia="Palatino Linotype" w:hAnsi="Palatino Linotype" w:cs="Palatino Linotype"/>
          <w:b/>
        </w:rPr>
        <w:t xml:space="preserve">/INFOEM/IP/RR/2024, </w:t>
      </w:r>
      <w:r w:rsidRPr="00197B94">
        <w:rPr>
          <w:rFonts w:ascii="Palatino Linotype" w:eastAsia="Palatino Linotype" w:hAnsi="Palatino Linotype" w:cs="Palatino Linotype"/>
        </w:rPr>
        <w:t xml:space="preserve">respecto de la cual, quien suscribe, emite </w:t>
      </w:r>
      <w:r w:rsidRPr="00197B94">
        <w:rPr>
          <w:rFonts w:ascii="Palatino Linotype" w:eastAsia="Palatino Linotype" w:hAnsi="Palatino Linotype" w:cs="Palatino Linotype"/>
          <w:b/>
        </w:rPr>
        <w:t>VOTO PARTICULAR</w:t>
      </w:r>
      <w:r w:rsidRPr="00197B94">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78129F"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lastRenderedPageBreak/>
        <w:t>Sin embargo, es preciso mencionar que, el presente voto se formula en relación con</w:t>
      </w:r>
      <w:r w:rsidR="004318C0">
        <w:rPr>
          <w:rFonts w:ascii="Palatino Linotype" w:eastAsia="Palatino Linotype" w:hAnsi="Palatino Linotype" w:cs="Palatino Linotype"/>
        </w:rPr>
        <w:t xml:space="preserve"> la información que se ordena en el punto 4</w:t>
      </w:r>
      <w:r w:rsidR="0078129F">
        <w:rPr>
          <w:rFonts w:ascii="Palatino Linotype" w:eastAsia="Palatino Linotype" w:hAnsi="Palatino Linotype" w:cs="Palatino Linotype"/>
        </w:rPr>
        <w:t xml:space="preserve"> del R</w:t>
      </w:r>
      <w:r w:rsidR="004318C0">
        <w:rPr>
          <w:rFonts w:ascii="Palatino Linotype" w:eastAsia="Palatino Linotype" w:hAnsi="Palatino Linotype" w:cs="Palatino Linotype"/>
        </w:rPr>
        <w:t>esoluti</w:t>
      </w:r>
      <w:r w:rsidR="0078129F">
        <w:rPr>
          <w:rFonts w:ascii="Palatino Linotype" w:eastAsia="Palatino Linotype" w:hAnsi="Palatino Linotype" w:cs="Palatino Linotype"/>
        </w:rPr>
        <w:t>vo SEGUNDO</w:t>
      </w:r>
      <w:r w:rsidR="004318C0">
        <w:rPr>
          <w:rFonts w:ascii="Palatino Linotype" w:eastAsia="Palatino Linotype" w:hAnsi="Palatino Linotype" w:cs="Palatino Linotype"/>
        </w:rPr>
        <w:t xml:space="preserve">, referente </w:t>
      </w:r>
      <w:r w:rsidR="0078129F">
        <w:rPr>
          <w:rFonts w:ascii="Palatino Linotype" w:eastAsia="Palatino Linotype" w:hAnsi="Palatino Linotype" w:cs="Palatino Linotype"/>
        </w:rPr>
        <w:t xml:space="preserve">a las comisiones realizadas por el </w:t>
      </w:r>
      <w:r w:rsidR="0078129F" w:rsidRPr="0078129F">
        <w:rPr>
          <w:rFonts w:ascii="Palatino Linotype" w:eastAsia="Palatino Linotype" w:hAnsi="Palatino Linotype" w:cs="Palatino Linotype"/>
        </w:rPr>
        <w:t xml:space="preserve">personal </w:t>
      </w:r>
      <w:r w:rsidR="0078129F">
        <w:rPr>
          <w:rFonts w:ascii="Palatino Linotype" w:eastAsia="Palatino Linotype" w:hAnsi="Palatino Linotype" w:cs="Palatino Linotype"/>
        </w:rPr>
        <w:t>adscrito a</w:t>
      </w:r>
      <w:r w:rsidR="0078129F" w:rsidRPr="0078129F">
        <w:rPr>
          <w:rFonts w:ascii="Palatino Linotype" w:eastAsia="Palatino Linotype" w:hAnsi="Palatino Linotype" w:cs="Palatino Linotype"/>
        </w:rPr>
        <w:t xml:space="preserve"> la Dirección General de Asuntos Jurídicos e Igualdad de Género durante el periodo del primero de enero al veintinueve de agosto de dos mil veinticuatro</w:t>
      </w:r>
      <w:r w:rsidR="0078129F">
        <w:rPr>
          <w:rFonts w:ascii="Palatino Linotype" w:eastAsia="Palatino Linotype" w:hAnsi="Palatino Linotype" w:cs="Palatino Linotype"/>
        </w:rPr>
        <w:t>, por las razones que a continuación se exponen:</w:t>
      </w:r>
    </w:p>
    <w:p w:rsidR="00E3666A" w:rsidRDefault="0078129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En primer lugar, debe mencionarse que de la lectura del requerimiento de información se advierte que la persona solicitante pretende obtener</w:t>
      </w:r>
      <w:r w:rsidR="00310278">
        <w:rPr>
          <w:rFonts w:ascii="Palatino Linotype" w:eastAsia="Palatino Linotype" w:hAnsi="Palatino Linotype" w:cs="Palatino Linotype"/>
        </w:rPr>
        <w:t xml:space="preserve">, </w:t>
      </w:r>
      <w:r w:rsidR="00310278" w:rsidRPr="00310278">
        <w:rPr>
          <w:rFonts w:ascii="Palatino Linotype" w:eastAsia="Palatino Linotype" w:hAnsi="Palatino Linotype" w:cs="Palatino Linotype"/>
          <w:b/>
        </w:rPr>
        <w:t xml:space="preserve">de las comisiones realizadas </w:t>
      </w:r>
      <w:r w:rsidR="00310278" w:rsidRPr="00310278">
        <w:rPr>
          <w:rFonts w:ascii="Palatino Linotype" w:eastAsia="Palatino Linotype" w:hAnsi="Palatino Linotype" w:cs="Palatino Linotype"/>
          <w:b/>
        </w:rPr>
        <w:t>por el personal adscrito a la Dirección General de Asuntos Jurídicos e Igualdad de Género</w:t>
      </w:r>
      <w:r w:rsidR="00310278">
        <w:rPr>
          <w:rFonts w:ascii="Palatino Linotype" w:eastAsia="Palatino Linotype" w:hAnsi="Palatino Linotype" w:cs="Palatino Linotype"/>
        </w:rPr>
        <w:t xml:space="preserve"> durante el periodo que se señala,</w:t>
      </w:r>
      <w:r w:rsidR="00310278">
        <w:rPr>
          <w:rFonts w:ascii="Palatino Linotype" w:eastAsia="Palatino Linotype" w:hAnsi="Palatino Linotype" w:cs="Palatino Linotype"/>
        </w:rPr>
        <w:t xml:space="preserve"> </w:t>
      </w:r>
      <w:r>
        <w:rPr>
          <w:rFonts w:ascii="Palatino Linotype" w:eastAsia="Palatino Linotype" w:hAnsi="Palatino Linotype" w:cs="Palatino Linotype"/>
        </w:rPr>
        <w:t xml:space="preserve">además del nombre del trabajador, el destino, el objetivo, la fecha de inicio y fin, </w:t>
      </w:r>
      <w:r w:rsidRPr="00310278">
        <w:rPr>
          <w:rFonts w:ascii="Palatino Linotype" w:eastAsia="Palatino Linotype" w:hAnsi="Palatino Linotype" w:cs="Palatino Linotype"/>
          <w:b/>
          <w:u w:val="single"/>
        </w:rPr>
        <w:t>el monto erog</w:t>
      </w:r>
      <w:r w:rsidR="00310278" w:rsidRPr="00310278">
        <w:rPr>
          <w:rFonts w:ascii="Palatino Linotype" w:eastAsia="Palatino Linotype" w:hAnsi="Palatino Linotype" w:cs="Palatino Linotype"/>
          <w:b/>
          <w:u w:val="single"/>
        </w:rPr>
        <w:t>ado</w:t>
      </w:r>
      <w:r w:rsidR="00310278">
        <w:rPr>
          <w:rFonts w:ascii="Palatino Linotype" w:eastAsia="Palatino Linotype" w:hAnsi="Palatino Linotype" w:cs="Palatino Linotype"/>
        </w:rPr>
        <w:t xml:space="preserve">, </w:t>
      </w:r>
      <w:r w:rsidR="002975A4" w:rsidRPr="00310278">
        <w:rPr>
          <w:rFonts w:ascii="Palatino Linotype" w:eastAsia="Palatino Linotype" w:hAnsi="Palatino Linotype" w:cs="Palatino Linotype"/>
        </w:rPr>
        <w:t>sin</w:t>
      </w:r>
      <w:r w:rsidR="002975A4">
        <w:rPr>
          <w:rFonts w:ascii="Palatino Linotype" w:eastAsia="Palatino Linotype" w:hAnsi="Palatino Linotype" w:cs="Palatino Linotype"/>
        </w:rPr>
        <w:t xml:space="preserve"> embargo, en la resolución del recurso de revisión </w:t>
      </w:r>
      <w:r w:rsidR="00883B72">
        <w:rPr>
          <w:rFonts w:ascii="Palatino Linotype" w:eastAsia="Palatino Linotype" w:hAnsi="Palatino Linotype" w:cs="Palatino Linotype"/>
        </w:rPr>
        <w:t xml:space="preserve">no hubo pronunciamiento alguno </w:t>
      </w:r>
      <w:r w:rsidR="00E3666A">
        <w:rPr>
          <w:rFonts w:ascii="Palatino Linotype" w:eastAsia="Palatino Linotype" w:hAnsi="Palatino Linotype" w:cs="Palatino Linotype"/>
        </w:rPr>
        <w:t>al respecto.</w:t>
      </w:r>
    </w:p>
    <w:p w:rsidR="000B516D" w:rsidRPr="00310278" w:rsidRDefault="00883B72">
      <w:pPr>
        <w:spacing w:before="240" w:after="240" w:line="360" w:lineRule="auto"/>
        <w:ind w:right="51"/>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En este sentido, considero que se debió </w:t>
      </w:r>
      <w:r w:rsidR="00E3666A">
        <w:rPr>
          <w:rFonts w:ascii="Palatino Linotype" w:eastAsia="Palatino Linotype" w:hAnsi="Palatino Linotype" w:cs="Palatino Linotype"/>
        </w:rPr>
        <w:t>realizar el análisis de</w:t>
      </w:r>
      <w:r>
        <w:rPr>
          <w:rFonts w:ascii="Palatino Linotype" w:eastAsia="Palatino Linotype" w:hAnsi="Palatino Linotype" w:cs="Palatino Linotype"/>
        </w:rPr>
        <w:t xml:space="preserve"> los montos</w:t>
      </w:r>
      <w:r w:rsidR="00E3666A">
        <w:rPr>
          <w:rFonts w:ascii="Palatino Linotype" w:eastAsia="Palatino Linotype" w:hAnsi="Palatino Linotype" w:cs="Palatino Linotype"/>
        </w:rPr>
        <w:t xml:space="preserve"> erogados </w:t>
      </w:r>
      <w:r w:rsidR="00310278">
        <w:rPr>
          <w:rFonts w:ascii="Palatino Linotype" w:eastAsia="Palatino Linotype" w:hAnsi="Palatino Linotype" w:cs="Palatino Linotype"/>
        </w:rPr>
        <w:t xml:space="preserve">derivado de las comisiones realizadas, </w:t>
      </w:r>
      <w:r w:rsidR="00E3666A">
        <w:rPr>
          <w:rFonts w:ascii="Palatino Linotype" w:eastAsia="Palatino Linotype" w:hAnsi="Palatino Linotype" w:cs="Palatino Linotype"/>
        </w:rPr>
        <w:t xml:space="preserve">y ordenar la entrega de la expresión documental correspondiente, </w:t>
      </w:r>
      <w:r w:rsidR="00E3666A" w:rsidRPr="00310278">
        <w:rPr>
          <w:rFonts w:ascii="Palatino Linotype" w:eastAsia="Palatino Linotype" w:hAnsi="Palatino Linotype" w:cs="Palatino Linotype"/>
          <w:b/>
          <w:u w:val="single"/>
        </w:rPr>
        <w:t>en caso de que el Sujeto Obligado hubiera erogado recursos públicos pa</w:t>
      </w:r>
      <w:r w:rsidR="000B516D" w:rsidRPr="00310278">
        <w:rPr>
          <w:rFonts w:ascii="Palatino Linotype" w:eastAsia="Palatino Linotype" w:hAnsi="Palatino Linotype" w:cs="Palatino Linotype"/>
          <w:b/>
          <w:u w:val="single"/>
        </w:rPr>
        <w:t>ra tales efectos.</w:t>
      </w:r>
      <w:bookmarkStart w:id="1" w:name="_GoBack"/>
      <w:bookmarkEnd w:id="1"/>
    </w:p>
    <w:p w:rsidR="000B516D" w:rsidRPr="000B516D" w:rsidRDefault="000B516D" w:rsidP="000B516D">
      <w:pPr>
        <w:spacing w:before="240" w:after="240" w:line="360" w:lineRule="auto"/>
        <w:ind w:right="51"/>
        <w:jc w:val="both"/>
        <w:rPr>
          <w:rFonts w:ascii="Palatino Linotype" w:hAnsi="Palatino Linotype"/>
          <w:color w:val="000000" w:themeColor="text1"/>
        </w:rPr>
      </w:pPr>
      <w:r>
        <w:rPr>
          <w:rFonts w:ascii="Palatino Linotype" w:eastAsia="Palatino Linotype" w:hAnsi="Palatino Linotype" w:cs="Palatino Linotype"/>
        </w:rPr>
        <w:t>Asimismo, debe mencionarse que si bien se requirieron datos específicos, no debe perderse de vista que, cuando las persona</w:t>
      </w:r>
      <w:r w:rsidR="00310278">
        <w:rPr>
          <w:rFonts w:ascii="Palatino Linotype" w:eastAsia="Palatino Linotype" w:hAnsi="Palatino Linotype" w:cs="Palatino Linotype"/>
        </w:rPr>
        <w:t>s</w:t>
      </w:r>
      <w:r>
        <w:rPr>
          <w:rFonts w:ascii="Palatino Linotype" w:eastAsia="Palatino Linotype" w:hAnsi="Palatino Linotype" w:cs="Palatino Linotype"/>
        </w:rPr>
        <w:t xml:space="preserve"> solicitantes no </w:t>
      </w:r>
      <w:r>
        <w:rPr>
          <w:rFonts w:ascii="Palatino Linotype" w:hAnsi="Palatino Linotype"/>
          <w:color w:val="000000" w:themeColor="text1"/>
        </w:rPr>
        <w:t xml:space="preserve">señalen </w:t>
      </w:r>
      <w:r w:rsidRPr="008B66F4">
        <w:rPr>
          <w:rFonts w:ascii="Palatino Linotype" w:hAnsi="Palatino Linotype"/>
          <w:color w:val="000000" w:themeColor="text1"/>
        </w:rPr>
        <w:t>de manera concreta el o los documen</w:t>
      </w:r>
      <w:r>
        <w:rPr>
          <w:rFonts w:ascii="Palatino Linotype" w:hAnsi="Palatino Linotype"/>
          <w:color w:val="000000" w:themeColor="text1"/>
        </w:rPr>
        <w:t>tos a los que pretende</w:t>
      </w:r>
      <w:r w:rsidR="00310278">
        <w:rPr>
          <w:rFonts w:ascii="Palatino Linotype" w:hAnsi="Palatino Linotype"/>
          <w:color w:val="000000" w:themeColor="text1"/>
        </w:rPr>
        <w:t>n</w:t>
      </w:r>
      <w:r>
        <w:rPr>
          <w:rFonts w:ascii="Palatino Linotype" w:hAnsi="Palatino Linotype"/>
          <w:color w:val="000000" w:themeColor="text1"/>
        </w:rPr>
        <w:t xml:space="preserve"> acceder,</w:t>
      </w:r>
      <w:r>
        <w:rPr>
          <w:rFonts w:ascii="Palatino Linotype" w:eastAsia="Palatino Linotype" w:hAnsi="Palatino Linotype" w:cs="Palatino Linotype"/>
        </w:rPr>
        <w:t xml:space="preserve"> los entes públicos </w:t>
      </w:r>
      <w:r w:rsidR="00BE3A49">
        <w:rPr>
          <w:rFonts w:ascii="Palatino Linotype" w:eastAsia="Palatino Linotype" w:hAnsi="Palatino Linotype" w:cs="Palatino Linotype"/>
        </w:rPr>
        <w:t xml:space="preserve">cuentan con la obligación de </w:t>
      </w:r>
      <w:r>
        <w:rPr>
          <w:rFonts w:ascii="Palatino Linotype" w:eastAsia="Palatino Linotype" w:hAnsi="Palatino Linotype" w:cs="Palatino Linotype"/>
        </w:rPr>
        <w:t xml:space="preserve">dar </w:t>
      </w:r>
      <w:r w:rsidRPr="008B66F4">
        <w:rPr>
          <w:rFonts w:ascii="Palatino Linotype" w:hAnsi="Palatino Linotype"/>
          <w:color w:val="000000" w:themeColor="text1"/>
        </w:rPr>
        <w:t>a la</w:t>
      </w:r>
      <w:r>
        <w:rPr>
          <w:rFonts w:ascii="Palatino Linotype" w:hAnsi="Palatino Linotype"/>
          <w:color w:val="000000" w:themeColor="text1"/>
        </w:rPr>
        <w:t>s</w:t>
      </w:r>
      <w:r w:rsidRPr="008B66F4">
        <w:rPr>
          <w:rFonts w:ascii="Palatino Linotype" w:hAnsi="Palatino Linotype"/>
          <w:color w:val="000000" w:themeColor="text1"/>
        </w:rPr>
        <w:t xml:space="preserve"> solicitud</w:t>
      </w:r>
      <w:r>
        <w:rPr>
          <w:rFonts w:ascii="Palatino Linotype" w:hAnsi="Palatino Linotype"/>
          <w:color w:val="000000" w:themeColor="text1"/>
        </w:rPr>
        <w:t>es</w:t>
      </w:r>
      <w:r w:rsidRPr="008B66F4">
        <w:rPr>
          <w:rFonts w:ascii="Palatino Linotype" w:hAnsi="Palatino Linotype"/>
          <w:color w:val="000000" w:themeColor="text1"/>
        </w:rPr>
        <w:t xml:space="preserve"> una interpretación que le</w:t>
      </w:r>
      <w:r>
        <w:rPr>
          <w:rFonts w:ascii="Palatino Linotype" w:hAnsi="Palatino Linotype"/>
          <w:color w:val="000000" w:themeColor="text1"/>
        </w:rPr>
        <w:t>s</w:t>
      </w:r>
      <w:r w:rsidRPr="008B66F4">
        <w:rPr>
          <w:rFonts w:ascii="Palatino Linotype" w:hAnsi="Palatino Linotype"/>
          <w:color w:val="000000" w:themeColor="text1"/>
        </w:rPr>
        <w:t xml:space="preserve"> dé una expresión documental,</w:t>
      </w:r>
      <w:r>
        <w:rPr>
          <w:rFonts w:ascii="Palatino Linotype" w:hAnsi="Palatino Linotype"/>
          <w:color w:val="000000" w:themeColor="text1"/>
        </w:rPr>
        <w:t xml:space="preserve"> ya que </w:t>
      </w:r>
      <w:r w:rsidRPr="0044328A">
        <w:rPr>
          <w:rFonts w:ascii="Palatino Linotype" w:hAnsi="Palatino Linotype" w:cs="Arial"/>
          <w:color w:val="000000" w:themeColor="text1"/>
          <w:szCs w:val="28"/>
        </w:rPr>
        <w:t>para que el derecho de acceso a la información pública se satisfaga completamente, es necesario que se brinde el acceso a datos, registros y todo tipo de información pública que conste en documentos, ya sea generados o que se encuentre</w:t>
      </w:r>
      <w:r w:rsidR="00BE3A49">
        <w:rPr>
          <w:rFonts w:ascii="Palatino Linotype" w:hAnsi="Palatino Linotype" w:cs="Arial"/>
          <w:color w:val="000000" w:themeColor="text1"/>
          <w:szCs w:val="28"/>
        </w:rPr>
        <w:t>n</w:t>
      </w:r>
      <w:r w:rsidRPr="0044328A">
        <w:rPr>
          <w:rFonts w:ascii="Palatino Linotype" w:hAnsi="Palatino Linotype" w:cs="Arial"/>
          <w:color w:val="000000" w:themeColor="text1"/>
          <w:szCs w:val="28"/>
        </w:rPr>
        <w:t xml:space="preserve"> en posesión de las autoridades,</w:t>
      </w:r>
      <w:r>
        <w:rPr>
          <w:rFonts w:ascii="Palatino Linotype" w:hAnsi="Palatino Linotype" w:cs="Arial"/>
          <w:color w:val="000000" w:themeColor="text1"/>
          <w:szCs w:val="28"/>
        </w:rPr>
        <w:t xml:space="preserve"> </w:t>
      </w:r>
      <w:r>
        <w:rPr>
          <w:rFonts w:ascii="Palatino Linotype" w:hAnsi="Palatino Linotype"/>
          <w:color w:val="000000" w:themeColor="text1"/>
        </w:rPr>
        <w:t xml:space="preserve">como </w:t>
      </w:r>
      <w:r>
        <w:rPr>
          <w:rFonts w:ascii="Palatino Linotype" w:hAnsi="Palatino Linotype"/>
          <w:color w:val="000000" w:themeColor="text1"/>
        </w:rPr>
        <w:lastRenderedPageBreak/>
        <w:t xml:space="preserve">se sustenta con </w:t>
      </w:r>
      <w:r w:rsidRPr="008B66F4">
        <w:rPr>
          <w:rFonts w:ascii="Palatino Linotype" w:hAnsi="Palatino Linotype"/>
          <w:color w:val="000000" w:themeColor="text1"/>
        </w:rPr>
        <w:t xml:space="preserve">el </w:t>
      </w:r>
      <w:r>
        <w:rPr>
          <w:rFonts w:ascii="Palatino Linotype" w:eastAsia="Palatino Linotype" w:hAnsi="Palatino Linotype" w:cs="Palatino Linotype"/>
        </w:rPr>
        <w:t xml:space="preserve">Criterio de interpretación con clave de control  SO/016/2017, emitido por el Pleno del Instituto Nacional de Transparencia, Acceso a la Información y Protección de Datos Personales, INAI, que establece lo siguiente: </w:t>
      </w:r>
    </w:p>
    <w:p w:rsidR="000B516D" w:rsidRPr="00310278" w:rsidRDefault="000B516D" w:rsidP="000B516D">
      <w:pPr>
        <w:pStyle w:val="Prrafodelista"/>
        <w:spacing w:after="120"/>
        <w:ind w:left="851" w:right="902"/>
        <w:jc w:val="both"/>
        <w:rPr>
          <w:rFonts w:ascii="Palatino Linotype" w:hAnsi="Palatino Linotype" w:cs="Arial"/>
          <w:color w:val="000000" w:themeColor="text1"/>
          <w:sz w:val="20"/>
          <w:szCs w:val="20"/>
        </w:rPr>
      </w:pPr>
      <w:r w:rsidRPr="00310278">
        <w:rPr>
          <w:rFonts w:ascii="Palatino Linotype" w:hAnsi="Palatino Linotype"/>
          <w:color w:val="000000" w:themeColor="text1"/>
          <w:szCs w:val="20"/>
        </w:rPr>
        <w:t xml:space="preserve"> </w:t>
      </w:r>
      <w:r w:rsidRPr="00310278">
        <w:rPr>
          <w:rFonts w:ascii="Palatino Linotype" w:hAnsi="Palatino Linotype"/>
          <w:color w:val="000000" w:themeColor="text1"/>
          <w:sz w:val="20"/>
          <w:szCs w:val="20"/>
        </w:rPr>
        <w:t>“</w:t>
      </w:r>
      <w:r w:rsidRPr="00310278">
        <w:rPr>
          <w:rFonts w:ascii="Palatino Linotype" w:hAnsi="Palatino Linotype" w:cs="Arial"/>
          <w:b/>
          <w:bCs/>
          <w:i/>
          <w:color w:val="000000" w:themeColor="text1"/>
          <w:sz w:val="20"/>
          <w:szCs w:val="20"/>
        </w:rPr>
        <w:t xml:space="preserve">Expresión documental. </w:t>
      </w:r>
      <w:r w:rsidRPr="00310278">
        <w:rPr>
          <w:rFonts w:ascii="Palatino Linotype" w:hAnsi="Palatino Linotype" w:cs="Arial"/>
          <w:bCs/>
          <w:i/>
          <w:color w:val="000000" w:themeColor="text1"/>
          <w:sz w:val="20"/>
          <w:szCs w:val="20"/>
        </w:rPr>
        <w:t>Cuando</w:t>
      </w:r>
      <w:r w:rsidRPr="00310278">
        <w:rPr>
          <w:rFonts w:ascii="Palatino Linotype" w:hAnsi="Palatino Linotype" w:cs="Arial"/>
          <w:i/>
          <w:color w:val="000000" w:themeColor="text1"/>
          <w:sz w:val="20"/>
          <w:szCs w:val="20"/>
        </w:rPr>
        <w:t xml:space="preserve">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rsidR="000B516D" w:rsidRPr="00BA19C3" w:rsidRDefault="000B516D">
      <w:pPr>
        <w:spacing w:before="240" w:after="240" w:line="360" w:lineRule="auto"/>
        <w:ind w:right="51"/>
        <w:jc w:val="both"/>
        <w:rPr>
          <w:rFonts w:ascii="Palatino Linotype" w:eastAsia="Palatino Linotype" w:hAnsi="Palatino Linotype" w:cs="Palatino Linotype"/>
        </w:rPr>
      </w:pPr>
      <w:r w:rsidRPr="00BA19C3">
        <w:rPr>
          <w:rFonts w:ascii="Palatino Linotype" w:eastAsia="Palatino Linotype" w:hAnsi="Palatino Linotype" w:cs="Palatino Linotype"/>
        </w:rPr>
        <w:t>Lo anterior se traduce en el deber de los Sujetos Obligados de entregar soporte documental en donde conste la información que brinde respuesta a las solicitudes, con la finalidad de que las personas solicitan</w:t>
      </w:r>
      <w:r w:rsidR="00BE3A49">
        <w:rPr>
          <w:rFonts w:ascii="Palatino Linotype" w:eastAsia="Palatino Linotype" w:hAnsi="Palatino Linotype" w:cs="Palatino Linotype"/>
        </w:rPr>
        <w:t>tes puedan buscar conforme a su</w:t>
      </w:r>
      <w:r w:rsidRPr="00BA19C3">
        <w:rPr>
          <w:rFonts w:ascii="Palatino Linotype" w:eastAsia="Palatino Linotype" w:hAnsi="Palatino Linotype" w:cs="Palatino Linotype"/>
        </w:rPr>
        <w:t xml:space="preserve"> </w:t>
      </w:r>
      <w:r w:rsidR="00BE3A49" w:rsidRPr="00BA19C3">
        <w:rPr>
          <w:rFonts w:ascii="Palatino Linotype" w:eastAsia="Palatino Linotype" w:hAnsi="Palatino Linotype" w:cs="Palatino Linotype"/>
        </w:rPr>
        <w:t>interés</w:t>
      </w:r>
      <w:r w:rsidRPr="00BA19C3">
        <w:rPr>
          <w:rFonts w:ascii="Palatino Linotype" w:eastAsia="Palatino Linotype" w:hAnsi="Palatino Linotype" w:cs="Palatino Linotype"/>
        </w:rPr>
        <w:t>, en aquellos casos en los que no se identifique de forma precisa la documentación que pudiera contener la información a la que se pretende acceder.</w:t>
      </w:r>
    </w:p>
    <w:p w:rsidR="00310278" w:rsidRDefault="009F2C04">
      <w:pPr>
        <w:spacing w:before="240" w:after="240" w:line="360" w:lineRule="auto"/>
        <w:ind w:right="51"/>
        <w:jc w:val="both"/>
        <w:rPr>
          <w:rFonts w:ascii="Palatino Linotype" w:eastAsia="Palatino Linotype" w:hAnsi="Palatino Linotype" w:cs="Palatino Linotype"/>
        </w:rPr>
      </w:pPr>
      <w:r w:rsidRPr="00BA19C3">
        <w:rPr>
          <w:rFonts w:ascii="Palatino Linotype" w:eastAsia="Palatino Linotype" w:hAnsi="Palatino Linotype" w:cs="Palatino Linotype"/>
        </w:rPr>
        <w:t xml:space="preserve">En este sentido, para dar cumplimiento a la resolución el Sujeto Obligado podría entregar de manera enunciativa los </w:t>
      </w:r>
      <w:r w:rsidR="008D474F" w:rsidRPr="00BA19C3">
        <w:rPr>
          <w:rFonts w:ascii="Palatino Linotype" w:eastAsia="Palatino Linotype" w:hAnsi="Palatino Linotype" w:cs="Palatino Linotype"/>
        </w:rPr>
        <w:t>oficios de comisión, los cuales por su propia naturaleza, darían cuenta del nombre del trabajador, el destino, el objetiv</w:t>
      </w:r>
      <w:r w:rsidR="00310278">
        <w:rPr>
          <w:rFonts w:ascii="Palatino Linotype" w:eastAsia="Palatino Linotype" w:hAnsi="Palatino Linotype" w:cs="Palatino Linotype"/>
        </w:rPr>
        <w:t>o, la fecha de inicio y fin,</w:t>
      </w:r>
      <w:r w:rsidR="008D474F" w:rsidRPr="00BA19C3">
        <w:rPr>
          <w:rFonts w:ascii="Palatino Linotype" w:eastAsia="Palatino Linotype" w:hAnsi="Palatino Linotype" w:cs="Palatino Linotype"/>
        </w:rPr>
        <w:t xml:space="preserve"> no </w:t>
      </w:r>
      <w:r w:rsidR="00310278">
        <w:rPr>
          <w:rFonts w:ascii="Palatino Linotype" w:eastAsia="Palatino Linotype" w:hAnsi="Palatino Linotype" w:cs="Palatino Linotype"/>
        </w:rPr>
        <w:t xml:space="preserve">así de </w:t>
      </w:r>
      <w:r w:rsidR="008D474F" w:rsidRPr="00BA19C3">
        <w:rPr>
          <w:rFonts w:ascii="Palatino Linotype" w:eastAsia="Palatino Linotype" w:hAnsi="Palatino Linotype" w:cs="Palatino Linotype"/>
        </w:rPr>
        <w:t>los montos erogados con recursos públicos,</w:t>
      </w:r>
      <w:r w:rsidR="00310278">
        <w:rPr>
          <w:rFonts w:ascii="Palatino Linotype" w:eastAsia="Palatino Linotype" w:hAnsi="Palatino Linotype" w:cs="Palatino Linotype"/>
        </w:rPr>
        <w:t xml:space="preserve"> </w:t>
      </w:r>
      <w:r w:rsidR="00310278" w:rsidRPr="00BA19C3">
        <w:rPr>
          <w:rFonts w:ascii="Palatino Linotype" w:eastAsia="Palatino Linotype" w:hAnsi="Palatino Linotype" w:cs="Palatino Linotype"/>
        </w:rPr>
        <w:t>toda vez que los mismos están sujetos a comprobación,</w:t>
      </w:r>
      <w:r w:rsidR="00310278">
        <w:rPr>
          <w:rFonts w:ascii="Palatino Linotype" w:eastAsia="Palatino Linotype" w:hAnsi="Palatino Linotype" w:cs="Palatino Linotype"/>
        </w:rPr>
        <w:t xml:space="preserve"> como pudieran ser por concepto de</w:t>
      </w:r>
      <w:r w:rsidR="00BA19C3" w:rsidRPr="00BA19C3">
        <w:rPr>
          <w:rFonts w:ascii="Palatino Linotype" w:eastAsia="Palatino Linotype" w:hAnsi="Palatino Linotype" w:cs="Palatino Linotype"/>
        </w:rPr>
        <w:t xml:space="preserve"> viáticos, que pueden cubrir una amplia gama de gastos, como alojamiento, alimentación, transporte, c</w:t>
      </w:r>
      <w:r w:rsidR="00310278">
        <w:rPr>
          <w:rFonts w:ascii="Palatino Linotype" w:eastAsia="Palatino Linotype" w:hAnsi="Palatino Linotype" w:cs="Palatino Linotype"/>
        </w:rPr>
        <w:t xml:space="preserve">omunicaciones, peajes, etcétera, que evidentemente no se localizarían en el respectivo oficio de </w:t>
      </w:r>
      <w:r w:rsidR="00BE3A49">
        <w:rPr>
          <w:rFonts w:ascii="Palatino Linotype" w:eastAsia="Palatino Linotype" w:hAnsi="Palatino Linotype" w:cs="Palatino Linotype"/>
        </w:rPr>
        <w:t>comisión.</w:t>
      </w:r>
    </w:p>
    <w:p w:rsidR="00BE3A49" w:rsidRDefault="00BE3A4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ello que considero que se debió profundizar en el análisis del requerimiento de información de la persona solicitante, determinar de forma clara la fuente obligacional del Sujeto Obligado para generar, administrar y/o poseer la información relativa a los montos </w:t>
      </w:r>
      <w:r>
        <w:rPr>
          <w:rFonts w:ascii="Palatino Linotype" w:eastAsia="Palatino Linotype" w:hAnsi="Palatino Linotype" w:cs="Palatino Linotype"/>
        </w:rPr>
        <w:lastRenderedPageBreak/>
        <w:t xml:space="preserve">erogados para la realización de comisiones por </w:t>
      </w:r>
      <w:r w:rsidRPr="00BE3A49">
        <w:rPr>
          <w:rFonts w:ascii="Palatino Linotype" w:eastAsia="Palatino Linotype" w:hAnsi="Palatino Linotype" w:cs="Palatino Linotype"/>
        </w:rPr>
        <w:t xml:space="preserve">parte del personal </w:t>
      </w:r>
      <w:r w:rsidRPr="00BE3A49">
        <w:rPr>
          <w:rFonts w:ascii="Palatino Linotype" w:eastAsia="Palatino Linotype" w:hAnsi="Palatino Linotype" w:cs="Palatino Linotype"/>
        </w:rPr>
        <w:t>adscrito a la Dirección General de Asuntos Jurídicos e Igualdad de Género</w:t>
      </w:r>
      <w:r>
        <w:rPr>
          <w:rFonts w:ascii="Palatino Linotype" w:eastAsia="Palatino Linotype" w:hAnsi="Palatino Linotype" w:cs="Palatino Linotype"/>
        </w:rPr>
        <w:t>, y ordenar la entrega del soporte documental correspondiente en caso de que</w:t>
      </w:r>
      <w:r w:rsidR="002305E0">
        <w:rPr>
          <w:rFonts w:ascii="Palatino Linotype" w:eastAsia="Palatino Linotype" w:hAnsi="Palatino Linotype" w:cs="Palatino Linotype"/>
        </w:rPr>
        <w:t xml:space="preserve"> se hubieran generado gastos y se hubieran cubierto con</w:t>
      </w:r>
      <w:r>
        <w:rPr>
          <w:rFonts w:ascii="Palatino Linotype" w:eastAsia="Palatino Linotype" w:hAnsi="Palatino Linotype" w:cs="Palatino Linotype"/>
        </w:rPr>
        <w:t xml:space="preserve"> </w:t>
      </w:r>
      <w:r>
        <w:rPr>
          <w:rFonts w:ascii="Palatino Linotype" w:eastAsia="Palatino Linotype" w:hAnsi="Palatino Linotype" w:cs="Palatino Linotype"/>
        </w:rPr>
        <w:t>recursos públicos</w:t>
      </w:r>
      <w:r>
        <w:rPr>
          <w:rFonts w:ascii="Palatino Linotype" w:eastAsia="Palatino Linotype" w:hAnsi="Palatino Linotype" w:cs="Palatino Linotype"/>
        </w:rPr>
        <w:t xml:space="preserve">, como pudiera ser, de manera enunciativa, los Comprobantes Fiscales Digitales por Internet, </w:t>
      </w:r>
      <w:proofErr w:type="spellStart"/>
      <w:r>
        <w:rPr>
          <w:rFonts w:ascii="Palatino Linotype" w:eastAsia="Palatino Linotype" w:hAnsi="Palatino Linotype" w:cs="Palatino Linotype"/>
        </w:rPr>
        <w:t>CFDIs</w:t>
      </w:r>
      <w:proofErr w:type="spellEnd"/>
      <w:r>
        <w:rPr>
          <w:rFonts w:ascii="Palatino Linotype" w:eastAsia="Palatino Linotype" w:hAnsi="Palatino Linotype" w:cs="Palatino Linotype"/>
        </w:rPr>
        <w:t>, o las pólizas de egresos respectivas.</w:t>
      </w:r>
    </w:p>
    <w:p w:rsidR="00BA19C3" w:rsidRPr="00BA19C3" w:rsidRDefault="00BA19C3">
      <w:pPr>
        <w:spacing w:before="240" w:after="240" w:line="360" w:lineRule="auto"/>
        <w:ind w:right="51"/>
        <w:jc w:val="both"/>
        <w:rPr>
          <w:rFonts w:ascii="Palatino Linotype" w:eastAsia="Palatino Linotype" w:hAnsi="Palatino Linotype" w:cs="Palatino Linotype"/>
        </w:rPr>
      </w:pPr>
      <w:r w:rsidRPr="00BA19C3">
        <w:rPr>
          <w:rFonts w:ascii="Palatino Linotype" w:eastAsia="Palatino Linotype" w:hAnsi="Palatino Linotype" w:cs="Palatino Linotype"/>
        </w:rPr>
        <w:t xml:space="preserve">Aunado a lo anterior, </w:t>
      </w:r>
      <w:r w:rsidR="00BE3A49">
        <w:rPr>
          <w:rFonts w:ascii="Palatino Linotype" w:eastAsia="Palatino Linotype" w:hAnsi="Palatino Linotype" w:cs="Palatino Linotype"/>
        </w:rPr>
        <w:t xml:space="preserve">no es óbice mencionar que </w:t>
      </w:r>
      <w:r w:rsidRPr="00BA19C3">
        <w:rPr>
          <w:rFonts w:ascii="Palatino Linotype" w:eastAsia="Palatino Linotype" w:hAnsi="Palatino Linotype" w:cs="Palatino Linotype"/>
        </w:rPr>
        <w:t>la información que se solicita es considerada una obligación de transparencia, de conformidad con el artículo 92, fracción IX de la Ley de Transparencia y Acceso a la Información Pública del Estado de México y Municipios, como se lee enseguida:</w:t>
      </w:r>
    </w:p>
    <w:p w:rsidR="00BA19C3" w:rsidRPr="00310278" w:rsidRDefault="00BA19C3" w:rsidP="00BA19C3">
      <w:pPr>
        <w:spacing w:before="120" w:after="120" w:line="240" w:lineRule="auto"/>
        <w:ind w:left="851" w:right="902"/>
        <w:jc w:val="both"/>
        <w:rPr>
          <w:rFonts w:ascii="Palatino Linotype" w:hAnsi="Palatino Linotype"/>
          <w:i/>
          <w:sz w:val="20"/>
        </w:rPr>
      </w:pPr>
      <w:r w:rsidRPr="00310278">
        <w:rPr>
          <w:rFonts w:ascii="Palatino Linotype" w:hAnsi="Palatino Linotype"/>
          <w:b/>
          <w:i/>
          <w:sz w:val="20"/>
        </w:rPr>
        <w:t>“Artículo 92</w:t>
      </w:r>
      <w:r w:rsidRPr="00310278">
        <w:rPr>
          <w:rFonts w:ascii="Palatino Linotype" w:hAnsi="Palatino Linotype"/>
          <w:i/>
          <w:sz w:val="20"/>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BA19C3" w:rsidRPr="00310278" w:rsidRDefault="00BA19C3" w:rsidP="00BA19C3">
      <w:pPr>
        <w:spacing w:before="120" w:after="120" w:line="240" w:lineRule="auto"/>
        <w:ind w:left="1134" w:right="902"/>
        <w:jc w:val="both"/>
        <w:rPr>
          <w:rFonts w:ascii="Palatino Linotype" w:hAnsi="Palatino Linotype"/>
          <w:i/>
          <w:sz w:val="20"/>
        </w:rPr>
      </w:pPr>
      <w:r w:rsidRPr="00310278">
        <w:rPr>
          <w:rFonts w:ascii="Palatino Linotype" w:hAnsi="Palatino Linotype"/>
          <w:i/>
          <w:sz w:val="20"/>
        </w:rPr>
        <w:t>…</w:t>
      </w:r>
    </w:p>
    <w:p w:rsidR="00BA19C3" w:rsidRPr="00310278" w:rsidRDefault="00BA19C3" w:rsidP="00BA19C3">
      <w:pPr>
        <w:spacing w:before="120" w:after="120" w:line="240" w:lineRule="auto"/>
        <w:ind w:left="1134" w:right="902"/>
        <w:jc w:val="both"/>
        <w:rPr>
          <w:rFonts w:ascii="Palatino Linotype" w:eastAsia="Palatino Linotype" w:hAnsi="Palatino Linotype" w:cs="Palatino Linotype"/>
          <w:i/>
          <w:sz w:val="20"/>
        </w:rPr>
      </w:pPr>
      <w:r w:rsidRPr="00310278">
        <w:rPr>
          <w:rFonts w:ascii="Palatino Linotype" w:hAnsi="Palatino Linotype"/>
          <w:b/>
          <w:i/>
          <w:sz w:val="20"/>
        </w:rPr>
        <w:t>IX</w:t>
      </w:r>
      <w:r w:rsidRPr="00310278">
        <w:rPr>
          <w:rFonts w:ascii="Palatino Linotype" w:hAnsi="Palatino Linotype"/>
          <w:i/>
          <w:sz w:val="20"/>
        </w:rPr>
        <w:t xml:space="preserve">. Los gastos de representación y </w:t>
      </w:r>
      <w:r w:rsidRPr="00310278">
        <w:rPr>
          <w:rFonts w:ascii="Palatino Linotype" w:hAnsi="Palatino Linotype"/>
          <w:b/>
          <w:i/>
          <w:sz w:val="20"/>
          <w:u w:val="single"/>
        </w:rPr>
        <w:t>viáticos, así como el objeto e informe de comisión correspondiente;</w:t>
      </w:r>
      <w:r w:rsidRPr="00310278">
        <w:rPr>
          <w:rFonts w:ascii="Palatino Linotype" w:hAnsi="Palatino Linotype"/>
          <w:i/>
          <w:sz w:val="20"/>
        </w:rPr>
        <w:t>”</w:t>
      </w:r>
    </w:p>
    <w:p w:rsidR="00224F41" w:rsidRDefault="00224F41" w:rsidP="00224F41">
      <w:pPr>
        <w:tabs>
          <w:tab w:val="left" w:pos="4962"/>
        </w:tabs>
        <w:spacing w:before="240" w:after="240" w:line="360" w:lineRule="auto"/>
        <w:ind w:right="51"/>
        <w:jc w:val="both"/>
        <w:rPr>
          <w:rFonts w:ascii="Palatino Linotype" w:eastAsia="Palatino Linotype" w:hAnsi="Palatino Linotype" w:cs="Palatino Linotype"/>
        </w:rPr>
      </w:pPr>
      <w:bookmarkStart w:id="2" w:name="_heading=h.1fob9te" w:colFirst="0" w:colLast="0"/>
      <w:bookmarkEnd w:id="2"/>
      <w:r w:rsidRPr="00BA19C3">
        <w:rPr>
          <w:rFonts w:ascii="Palatino Linotype" w:hAnsi="Palatino Linotype"/>
          <w:color w:val="000000" w:themeColor="text1"/>
        </w:rPr>
        <w:t>Con base en los ar</w:t>
      </w:r>
      <w:r>
        <w:rPr>
          <w:rFonts w:ascii="Palatino Linotype" w:hAnsi="Palatino Linotype"/>
          <w:color w:val="000000" w:themeColor="text1"/>
        </w:rPr>
        <w:t>gumentos expuestos, estimo que la resolución del recurso de revisión no agoto los principios de congruencia y exhaustividad, asimismo, no guarda relación lógica con lo solicitado, toda vez que no se resolvió lo concerniente a los montos erogados</w:t>
      </w:r>
      <w:r>
        <w:rPr>
          <w:rFonts w:ascii="Palatino Linotype" w:eastAsia="Palatino Linotype" w:hAnsi="Palatino Linotype" w:cs="Palatino Linotype"/>
        </w:rPr>
        <w:t>.</w:t>
      </w:r>
    </w:p>
    <w:p w:rsidR="00224F41" w:rsidRPr="00224F41" w:rsidRDefault="00224F41" w:rsidP="00224F41">
      <w:pPr>
        <w:tabs>
          <w:tab w:val="left" w:pos="4962"/>
        </w:tabs>
        <w:spacing w:before="240" w:after="240" w:line="360" w:lineRule="auto"/>
        <w:ind w:right="51"/>
        <w:jc w:val="both"/>
        <w:rPr>
          <w:rFonts w:ascii="Palatino Linotype" w:hAnsi="Palatino Linotype"/>
          <w:color w:val="000000" w:themeColor="text1"/>
        </w:rPr>
      </w:pPr>
      <w:r>
        <w:rPr>
          <w:rFonts w:ascii="Palatino Linotype" w:eastAsia="Palatino Linotype" w:hAnsi="Palatino Linotype" w:cs="Palatino Linotype"/>
        </w:rPr>
        <w:t xml:space="preserve">Sirve de sustento a lo anterior el artículo 1.8, fracción XIII, del Código Administrativo del Estado de México, que establece que para que tenga validez, todo acto administrativo deberá resolver todos los puntos propuestos por los interesados; así como el Criterio de interpretación con clave de registro SO/002/2017, de la Segunda Época, emitido por el </w:t>
      </w:r>
      <w:r>
        <w:rPr>
          <w:rFonts w:ascii="Palatino Linotype" w:eastAsia="Palatino Linotype" w:hAnsi="Palatino Linotype" w:cs="Palatino Linotype"/>
        </w:rPr>
        <w:lastRenderedPageBreak/>
        <w:t>Instituto Nacional de Transparencia, Acceso a la Información y Protección de Datos Personales, del Instituto Nacional de Transparencia, Acceso a la Información y Protección de Datos Personales, que precisa lo siguiente:</w:t>
      </w:r>
    </w:p>
    <w:p w:rsidR="00224F41" w:rsidRPr="00310278" w:rsidRDefault="00224F41" w:rsidP="00310278">
      <w:pPr>
        <w:spacing w:before="120" w:after="120"/>
        <w:ind w:left="851" w:right="900"/>
        <w:jc w:val="both"/>
        <w:rPr>
          <w:rFonts w:ascii="Palatino Linotype" w:eastAsia="Palatino Linotype" w:hAnsi="Palatino Linotype" w:cs="Palatino Linotype"/>
          <w:i/>
          <w:sz w:val="20"/>
        </w:rPr>
      </w:pPr>
      <w:r w:rsidRPr="00310278">
        <w:rPr>
          <w:rFonts w:ascii="Palatino Linotype" w:eastAsia="Palatino Linotype" w:hAnsi="Palatino Linotype" w:cs="Palatino Linotype"/>
          <w:i/>
          <w:sz w:val="20"/>
        </w:rPr>
        <w:t>“</w:t>
      </w:r>
      <w:r w:rsidRPr="00310278">
        <w:rPr>
          <w:rFonts w:ascii="Palatino Linotype" w:eastAsia="Palatino Linotype" w:hAnsi="Palatino Linotype" w:cs="Palatino Linotype"/>
          <w:b/>
          <w:i/>
          <w:sz w:val="20"/>
        </w:rPr>
        <w:t>Congruencia y exhaustividad.</w:t>
      </w:r>
      <w:r w:rsidRPr="00310278">
        <w:rPr>
          <w:rFonts w:ascii="Palatino Linotype" w:eastAsia="Palatino Linotype" w:hAnsi="Palatino Linotype" w:cs="Palatino Linotype"/>
          <w:i/>
          <w:sz w:val="20"/>
        </w:rPr>
        <w:t xml:space="preserve">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212A7C" w:rsidRPr="00197B94" w:rsidRDefault="00FA4865">
      <w:pPr>
        <w:tabs>
          <w:tab w:val="left" w:pos="4962"/>
        </w:tabs>
        <w:spacing w:before="240" w:after="240" w:line="360" w:lineRule="auto"/>
        <w:ind w:right="51"/>
        <w:jc w:val="both"/>
        <w:rPr>
          <w:rFonts w:ascii="Palatino Linotype" w:eastAsia="Palatino Linotype" w:hAnsi="Palatino Linotype" w:cs="Palatino Linotype"/>
        </w:rPr>
      </w:pPr>
      <w:r w:rsidRPr="00BA19C3">
        <w:rPr>
          <w:rFonts w:ascii="Palatino Linotype" w:eastAsia="Palatino Linotype" w:hAnsi="Palatino Linotype" w:cs="Palatino Linotype"/>
        </w:rPr>
        <w:t xml:space="preserve">Es por las razones antes expuestas que no comparto este punto de la resolución dictada, </w:t>
      </w:r>
      <w:r w:rsidRPr="00197B94">
        <w:rPr>
          <w:rFonts w:ascii="Palatino Linotype" w:eastAsia="Palatino Linotype" w:hAnsi="Palatino Linotype" w:cs="Palatino Linotype"/>
        </w:rPr>
        <w:t xml:space="preserve">y, por ende se emite el presente </w:t>
      </w:r>
      <w:r w:rsidRPr="00197B94">
        <w:rPr>
          <w:rFonts w:ascii="Palatino Linotype" w:eastAsia="Palatino Linotype" w:hAnsi="Palatino Linotype" w:cs="Palatino Linotype"/>
          <w:b/>
        </w:rPr>
        <w:t>VOTO PARTICULAR.</w:t>
      </w:r>
    </w:p>
    <w:p w:rsidR="00212A7C" w:rsidRPr="00197B94" w:rsidRDefault="00212A7C">
      <w:pPr>
        <w:spacing w:after="0" w:line="360" w:lineRule="auto"/>
        <w:jc w:val="both"/>
        <w:rPr>
          <w:rFonts w:ascii="Palatino Linotype" w:eastAsia="Palatino Linotype" w:hAnsi="Palatino Linotype" w:cs="Palatino Linotype"/>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rPr>
      </w:pPr>
      <w:bookmarkStart w:id="3" w:name="_heading=h.2et92p0" w:colFirst="0" w:colLast="0"/>
      <w:bookmarkEnd w:id="3"/>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bookmarkStart w:id="4" w:name="_heading=h.30j0zll" w:colFirst="0" w:colLast="0"/>
      <w:bookmarkEnd w:id="4"/>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spacing w:after="0" w:line="360" w:lineRule="auto"/>
        <w:ind w:right="423"/>
        <w:jc w:val="both"/>
        <w:rPr>
          <w:rFonts w:ascii="Palatino Linotype" w:eastAsia="Palatino Linotype" w:hAnsi="Palatino Linotype" w:cs="Palatino Linotype"/>
        </w:rPr>
      </w:pPr>
    </w:p>
    <w:p w:rsidR="00212A7C" w:rsidRPr="00197B94" w:rsidRDefault="00212A7C">
      <w:pPr>
        <w:tabs>
          <w:tab w:val="left" w:pos="709"/>
        </w:tabs>
        <w:spacing w:after="0" w:line="360" w:lineRule="auto"/>
        <w:jc w:val="both"/>
        <w:rPr>
          <w:rFonts w:ascii="Palatino Linotype" w:eastAsia="Palatino Linotype" w:hAnsi="Palatino Linotype" w:cs="Palatino Linotype"/>
          <w:b/>
        </w:rPr>
      </w:pPr>
    </w:p>
    <w:sectPr w:rsidR="00212A7C" w:rsidRPr="00197B94">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65" w:rsidRDefault="00FA4865">
      <w:pPr>
        <w:spacing w:after="0" w:line="240" w:lineRule="auto"/>
      </w:pPr>
      <w:r>
        <w:separator/>
      </w:r>
    </w:p>
  </w:endnote>
  <w:endnote w:type="continuationSeparator" w:id="0">
    <w:p w:rsidR="00FA4865" w:rsidRDefault="00FA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65" w:rsidRDefault="00FA4865">
      <w:pPr>
        <w:spacing w:after="0" w:line="240" w:lineRule="auto"/>
      </w:pPr>
      <w:r>
        <w:separator/>
      </w:r>
    </w:p>
  </w:footnote>
  <w:footnote w:type="continuationSeparator" w:id="0">
    <w:p w:rsidR="00FA4865" w:rsidRDefault="00FA4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7C" w:rsidRDefault="00040235">
    <w:pPr>
      <w:widowControl w:val="0"/>
      <w:pBdr>
        <w:top w:val="nil"/>
        <w:left w:val="nil"/>
        <w:bottom w:val="nil"/>
        <w:right w:val="nil"/>
        <w:between w:val="nil"/>
      </w:pBdr>
      <w:spacing w:after="0" w:line="276" w:lineRule="auto"/>
      <w:rPr>
        <w:rFonts w:ascii="Palatino Linotype" w:eastAsia="Palatino Linotype" w:hAnsi="Palatino Linotype" w:cs="Palatino Linotype"/>
        <w:b/>
      </w:rPr>
    </w:pPr>
    <w:r>
      <w:rPr>
        <w:noProof/>
        <w:lang w:val="es-MX"/>
      </w:rPr>
      <w:drawing>
        <wp:anchor distT="0" distB="0" distL="0" distR="0" simplePos="0" relativeHeight="251658240" behindDoc="1" locked="0" layoutInCell="1" hidden="0" allowOverlap="1">
          <wp:simplePos x="0" y="0"/>
          <wp:positionH relativeFrom="column">
            <wp:posOffset>-643890</wp:posOffset>
          </wp:positionH>
          <wp:positionV relativeFrom="paragraph">
            <wp:posOffset>-302895</wp:posOffset>
          </wp:positionV>
          <wp:extent cx="7520940" cy="9897110"/>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0940" cy="9897110"/>
                  </a:xfrm>
                  <a:prstGeom prst="rect">
                    <a:avLst/>
                  </a:prstGeom>
                  <a:ln/>
                </pic:spPr>
              </pic:pic>
            </a:graphicData>
          </a:graphic>
        </wp:anchor>
      </w:drawing>
    </w:r>
  </w:p>
  <w:tbl>
    <w:tblPr>
      <w:tblStyle w:val="a0"/>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263"/>
      <w:gridCol w:w="3544"/>
    </w:tblGrid>
    <w:tr w:rsidR="00212A7C">
      <w:tc>
        <w:tcPr>
          <w:tcW w:w="2263" w:type="dxa"/>
          <w:vAlign w:val="center"/>
        </w:tcPr>
        <w:p w:rsidR="00212A7C" w:rsidRDefault="00212A7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rsidR="00212A7C" w:rsidRDefault="00FA486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212A7C">
      <w:tc>
        <w:tcPr>
          <w:tcW w:w="2263" w:type="dxa"/>
          <w:vAlign w:val="center"/>
        </w:tcPr>
        <w:p w:rsidR="00212A7C" w:rsidRDefault="00FA4865">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544" w:type="dxa"/>
        </w:tcPr>
        <w:p w:rsidR="00212A7C" w:rsidRDefault="00FA4865" w:rsidP="008A17B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05</w:t>
          </w:r>
          <w:r w:rsidR="00040235">
            <w:rPr>
              <w:rFonts w:ascii="Palatino Linotype" w:eastAsia="Palatino Linotype" w:hAnsi="Palatino Linotype" w:cs="Palatino Linotype"/>
              <w:b/>
              <w:color w:val="000000"/>
              <w:sz w:val="20"/>
              <w:szCs w:val="20"/>
            </w:rPr>
            <w:t>9</w:t>
          </w:r>
          <w:r w:rsidR="008A17BA">
            <w:rPr>
              <w:rFonts w:ascii="Palatino Linotype" w:eastAsia="Palatino Linotype" w:hAnsi="Palatino Linotype" w:cs="Palatino Linotype"/>
              <w:b/>
              <w:color w:val="000000"/>
              <w:sz w:val="20"/>
              <w:szCs w:val="20"/>
            </w:rPr>
            <w:t>7</w:t>
          </w:r>
          <w:r w:rsidR="00040235">
            <w:rPr>
              <w:rFonts w:ascii="Palatino Linotype" w:eastAsia="Palatino Linotype" w:hAnsi="Palatino Linotype" w:cs="Palatino Linotype"/>
              <w:b/>
              <w:color w:val="000000"/>
              <w:sz w:val="20"/>
              <w:szCs w:val="20"/>
            </w:rPr>
            <w:t>0</w:t>
          </w:r>
          <w:r>
            <w:rPr>
              <w:rFonts w:ascii="Palatino Linotype" w:eastAsia="Palatino Linotype" w:hAnsi="Palatino Linotype" w:cs="Palatino Linotype"/>
              <w:b/>
              <w:color w:val="000000"/>
              <w:sz w:val="20"/>
              <w:szCs w:val="20"/>
            </w:rPr>
            <w:t xml:space="preserve">/INFOEM/IP/RR/2024 </w:t>
          </w:r>
        </w:p>
      </w:tc>
    </w:tr>
    <w:tr w:rsidR="00212A7C">
      <w:tc>
        <w:tcPr>
          <w:tcW w:w="2263" w:type="dxa"/>
        </w:tcPr>
        <w:p w:rsidR="00212A7C" w:rsidRDefault="00FA4865">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rsidR="00212A7C" w:rsidRDefault="008A17BA" w:rsidP="00040235">
          <w:pPr>
            <w:tabs>
              <w:tab w:val="center" w:pos="4419"/>
              <w:tab w:val="right" w:pos="8838"/>
            </w:tabs>
            <w:jc w:val="both"/>
            <w:rPr>
              <w:rFonts w:ascii="Palatino Linotype" w:eastAsia="Palatino Linotype" w:hAnsi="Palatino Linotype" w:cs="Palatino Linotype"/>
              <w:b/>
              <w:color w:val="000000"/>
              <w:sz w:val="20"/>
              <w:szCs w:val="20"/>
            </w:rPr>
          </w:pPr>
          <w:r w:rsidRPr="008A17BA">
            <w:rPr>
              <w:rFonts w:ascii="Palatino Linotype" w:eastAsia="Palatino Linotype" w:hAnsi="Palatino Linotype" w:cs="Palatino Linotype"/>
              <w:b/>
              <w:color w:val="000000"/>
              <w:sz w:val="20"/>
              <w:szCs w:val="20"/>
            </w:rPr>
            <w:t>Comisión del Agua del Estado de México</w:t>
          </w:r>
        </w:p>
      </w:tc>
    </w:tr>
    <w:tr w:rsidR="00212A7C">
      <w:tc>
        <w:tcPr>
          <w:tcW w:w="2263" w:type="dxa"/>
        </w:tcPr>
        <w:p w:rsidR="00212A7C" w:rsidRDefault="00FA4865">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544" w:type="dxa"/>
        </w:tcPr>
        <w:p w:rsidR="00212A7C" w:rsidRDefault="00040235">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040235">
            <w:rPr>
              <w:rFonts w:ascii="Palatino Linotype" w:eastAsia="Palatino Linotype" w:hAnsi="Palatino Linotype" w:cs="Palatino Linotype"/>
              <w:b/>
              <w:color w:val="000000"/>
              <w:sz w:val="20"/>
              <w:szCs w:val="20"/>
            </w:rPr>
            <w:t>José Martínez Vilchis</w:t>
          </w:r>
        </w:p>
      </w:tc>
    </w:tr>
  </w:tbl>
  <w:p w:rsidR="00212A7C" w:rsidRDefault="00212A7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7C"/>
    <w:rsid w:val="00040235"/>
    <w:rsid w:val="000B516D"/>
    <w:rsid w:val="00197B94"/>
    <w:rsid w:val="00212A7C"/>
    <w:rsid w:val="00224F41"/>
    <w:rsid w:val="002305E0"/>
    <w:rsid w:val="002975A4"/>
    <w:rsid w:val="00310278"/>
    <w:rsid w:val="00345BB2"/>
    <w:rsid w:val="004318C0"/>
    <w:rsid w:val="004A48C3"/>
    <w:rsid w:val="00753032"/>
    <w:rsid w:val="0078129F"/>
    <w:rsid w:val="00803958"/>
    <w:rsid w:val="00883B72"/>
    <w:rsid w:val="008946F9"/>
    <w:rsid w:val="008A17BA"/>
    <w:rsid w:val="008D474F"/>
    <w:rsid w:val="009F2350"/>
    <w:rsid w:val="009F2C04"/>
    <w:rsid w:val="00A10959"/>
    <w:rsid w:val="00A82C3A"/>
    <w:rsid w:val="00BA19C3"/>
    <w:rsid w:val="00BE3A49"/>
    <w:rsid w:val="00E3666A"/>
    <w:rsid w:val="00F2053A"/>
    <w:rsid w:val="00F82862"/>
    <w:rsid w:val="00FA4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FF505E5-371E-41AA-8BB8-583E0BDE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Lista">
    <w:name w:val="List"/>
    <w:basedOn w:val="Normal"/>
    <w:uiPriority w:val="99"/>
    <w:unhideWhenUsed/>
    <w:rsid w:val="00E3666A"/>
    <w:pPr>
      <w:ind w:left="283" w:hanging="283"/>
      <w:contextualSpacing/>
    </w:pPr>
  </w:style>
  <w:style w:type="paragraph" w:styleId="Textoindependiente">
    <w:name w:val="Body Text"/>
    <w:basedOn w:val="Normal"/>
    <w:link w:val="TextoindependienteCar"/>
    <w:uiPriority w:val="99"/>
    <w:unhideWhenUsed/>
    <w:rsid w:val="00E3666A"/>
    <w:pPr>
      <w:spacing w:after="120"/>
    </w:pPr>
  </w:style>
  <w:style w:type="character" w:customStyle="1" w:styleId="TextoindependienteCar">
    <w:name w:val="Texto independiente Car"/>
    <w:basedOn w:val="Fuentedeprrafopredeter"/>
    <w:link w:val="Textoindependiente"/>
    <w:uiPriority w:val="99"/>
    <w:rsid w:val="00E3666A"/>
  </w:style>
  <w:style w:type="paragraph" w:styleId="Sangradetextonormal">
    <w:name w:val="Body Text Indent"/>
    <w:basedOn w:val="Normal"/>
    <w:link w:val="SangradetextonormalCar"/>
    <w:uiPriority w:val="99"/>
    <w:semiHidden/>
    <w:unhideWhenUsed/>
    <w:rsid w:val="00E3666A"/>
    <w:pPr>
      <w:spacing w:after="120"/>
      <w:ind w:left="283"/>
    </w:pPr>
  </w:style>
  <w:style w:type="character" w:customStyle="1" w:styleId="SangradetextonormalCar">
    <w:name w:val="Sangría de texto normal Car"/>
    <w:basedOn w:val="Fuentedeprrafopredeter"/>
    <w:link w:val="Sangradetextonormal"/>
    <w:uiPriority w:val="99"/>
    <w:semiHidden/>
    <w:rsid w:val="00E3666A"/>
  </w:style>
  <w:style w:type="paragraph" w:styleId="Textoindependienteprimerasangra2">
    <w:name w:val="Body Text First Indent 2"/>
    <w:basedOn w:val="Sangradetextonormal"/>
    <w:link w:val="Textoindependienteprimerasangra2Car"/>
    <w:uiPriority w:val="99"/>
    <w:unhideWhenUsed/>
    <w:rsid w:val="00E3666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3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93NMdePwGrN0l94JOpeQlt2Rqw==">CgMxLjAyCGguZ2pkZ3hzMgloLjFmb2I5dGUyCWguMmV0OTJwMDIJaC4zMGowemxsOAByITFQNkdGZTdEZktDaUYtVUxOdklpNHNHcVJBYXpVLTRtNA==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1300</Words>
  <Characters>7151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2024-11-19T17:31:00Z</dcterms:created>
  <dcterms:modified xsi:type="dcterms:W3CDTF">2024-11-19T17:31:00Z</dcterms:modified>
</cp:coreProperties>
</file>