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FF" w:rsidRDefault="00067B29">
      <w:pPr>
        <w:spacing w:before="240" w:after="240" w:line="360" w:lineRule="auto"/>
        <w:ind w:right="49"/>
        <w:jc w:val="both"/>
        <w:rPr>
          <w:rFonts w:ascii="Palatino Linotype" w:eastAsia="Palatino Linotype" w:hAnsi="Palatino Linotype" w:cs="Palatino Linotype"/>
          <w:b/>
        </w:rPr>
      </w:pPr>
      <w:bookmarkStart w:id="0" w:name="_heading=h.30j0zll"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QUINTA SESIÓN ORDINARIA CELEBRADA</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EL CATORCE DE FEBRERO DE DOS MIL VEINTICUATRO, EN LOS RECURSOS DE REVISIÓN 04514/INFOEM/IP/RR/2023 Y ACUMULADOS 04532/INFOEM/IP/RR/2023,  04624/INFOEM/IP/RR/2023, 04697/INFOEM/IP/RR/2023, 04698/INFOEM/IP/RR/2023, 04701/INFOEM/IP/RR/2023, 04706/INFOEM/IP/RR/2023, 04708/INFOEM/IP/RR/2023, 04709/INFOEM/IP/RR/2023, 04710/INFOEM/IP/RR/2023  Y 04763/INFOEM/IP/RR/2023.</w:t>
      </w:r>
    </w:p>
    <w:p w:rsidR="00B659FF" w:rsidRDefault="00067B2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04514/INFOEM/IP/RR/2023 y acumulados 04532/INFOEM/IP/RR/2023,  04624/INFOEM/IP/RR/2023, 04697/INFOEM/IP/RR/2023, 04698/INFOEM/IP/RR/2023, 04701/INFOEM/IP/RR/2023, 04706/INFOEM/IP/RR/2023, 04708/INFOEM/IP/RR/2023, 04709/INFOEM/IP/RR/2023, 04710/INFOEM/IP/RR/2023  y 04763/INFOEM/IP/RR/2023, </w:t>
      </w:r>
      <w:r>
        <w:rPr>
          <w:rFonts w:ascii="Palatino Linotype" w:eastAsia="Palatino Linotype" w:hAnsi="Palatino Linotype" w:cs="Palatino Linotype"/>
        </w:rPr>
        <w:t xml:space="preserve">pronunciada por el Pleno de este Instituto ante el proyecto presentado por la suscrita, el cual fue engrosado conforme al criterio mayoritario, respecto de la cual, quien suscribe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w:t>
      </w:r>
      <w:r>
        <w:rPr>
          <w:rFonts w:ascii="Palatino Linotype" w:eastAsia="Palatino Linotype" w:hAnsi="Palatino Linotype" w:cs="Palatino Linotype"/>
        </w:rPr>
        <w:lastRenderedPageBreak/>
        <w:t>Transparencia, Acceso a la Información Pública y Protección de Datos Personales del Estado de México y Municipios</w:t>
      </w:r>
    </w:p>
    <w:p w:rsidR="00B659FF" w:rsidRDefault="00067B29">
      <w:pPr>
        <w:numPr>
          <w:ilvl w:val="0"/>
          <w:numId w:val="1"/>
        </w:numPr>
        <w:spacing w:before="240" w:after="240"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B659FF" w:rsidRDefault="00067B2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 través de las solicitudes de acceso a la información que nos ocupa, la persona solicitante requirió lo siguiente:</w:t>
      </w:r>
    </w:p>
    <w:tbl>
      <w:tblPr>
        <w:tblStyle w:val="a"/>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B659FF">
        <w:tc>
          <w:tcPr>
            <w:tcW w:w="3141" w:type="dxa"/>
            <w:shd w:val="clear" w:color="auto" w:fill="D9D9D9"/>
          </w:tcPr>
          <w:p w:rsidR="00B659FF" w:rsidRDefault="00067B29">
            <w:pPr>
              <w:spacing w:line="360" w:lineRule="auto"/>
              <w:jc w:val="center"/>
              <w:rPr>
                <w:rFonts w:ascii="Palatino Linotype" w:eastAsia="Palatino Linotype" w:hAnsi="Palatino Linotype" w:cs="Palatino Linotype"/>
                <w:b/>
                <w:i/>
                <w:sz w:val="17"/>
                <w:szCs w:val="17"/>
              </w:rPr>
            </w:pPr>
            <w:r>
              <w:rPr>
                <w:rFonts w:ascii="Palatino Linotype" w:eastAsia="Palatino Linotype" w:hAnsi="Palatino Linotype" w:cs="Palatino Linotype"/>
                <w:b/>
                <w:i/>
                <w:sz w:val="17"/>
                <w:szCs w:val="17"/>
              </w:rPr>
              <w:t>Número de solicitud</w:t>
            </w:r>
          </w:p>
        </w:tc>
        <w:tc>
          <w:tcPr>
            <w:tcW w:w="5670" w:type="dxa"/>
            <w:shd w:val="clear" w:color="auto" w:fill="D9D9D9"/>
          </w:tcPr>
          <w:p w:rsidR="00B659FF" w:rsidRDefault="00067B29">
            <w:pPr>
              <w:spacing w:line="360" w:lineRule="auto"/>
              <w:jc w:val="center"/>
              <w:rPr>
                <w:rFonts w:ascii="Palatino Linotype" w:eastAsia="Palatino Linotype" w:hAnsi="Palatino Linotype" w:cs="Palatino Linotype"/>
                <w:b/>
                <w:i/>
                <w:sz w:val="17"/>
                <w:szCs w:val="17"/>
              </w:rPr>
            </w:pPr>
            <w:r>
              <w:rPr>
                <w:rFonts w:ascii="Palatino Linotype" w:eastAsia="Palatino Linotype" w:hAnsi="Palatino Linotype" w:cs="Palatino Linotype"/>
                <w:b/>
                <w:i/>
                <w:sz w:val="17"/>
                <w:szCs w:val="17"/>
              </w:rPr>
              <w:t>Información requerida.</w:t>
            </w:r>
          </w:p>
        </w:tc>
      </w:tr>
      <w:tr w:rsidR="00B659FF">
        <w:tc>
          <w:tcPr>
            <w:tcW w:w="3141" w:type="dxa"/>
          </w:tcPr>
          <w:p w:rsidR="00B659FF" w:rsidRDefault="00067B29">
            <w:pPr>
              <w:spacing w:line="360" w:lineRule="auto"/>
              <w:jc w:val="center"/>
              <w:rPr>
                <w:rFonts w:ascii="Palatino Linotype" w:eastAsia="Palatino Linotype" w:hAnsi="Palatino Linotype" w:cs="Palatino Linotype"/>
                <w:b/>
                <w:i/>
                <w:sz w:val="17"/>
                <w:szCs w:val="17"/>
              </w:rPr>
            </w:pPr>
            <w:bookmarkStart w:id="1" w:name="_heading=h.3znysh7" w:colFirst="0" w:colLast="0"/>
            <w:bookmarkEnd w:id="1"/>
            <w:r>
              <w:rPr>
                <w:rFonts w:ascii="Palatino Linotype" w:eastAsia="Palatino Linotype" w:hAnsi="Palatino Linotype" w:cs="Palatino Linotype"/>
                <w:b/>
                <w:color w:val="000000"/>
                <w:sz w:val="17"/>
                <w:szCs w:val="17"/>
              </w:rPr>
              <w:t>00496/ZINACANT/IP/2023</w:t>
            </w:r>
          </w:p>
        </w:tc>
        <w:tc>
          <w:tcPr>
            <w:tcW w:w="5670" w:type="dxa"/>
          </w:tcPr>
          <w:p w:rsidR="00B659FF" w:rsidRDefault="00067B29">
            <w:pPr>
              <w:jc w:val="both"/>
              <w:rPr>
                <w:rFonts w:ascii="Palatino Linotype" w:eastAsia="Palatino Linotype" w:hAnsi="Palatino Linotype" w:cs="Palatino Linotype"/>
                <w:b/>
                <w:sz w:val="17"/>
                <w:szCs w:val="17"/>
                <w:u w:val="single"/>
              </w:rPr>
            </w:pPr>
            <w:r>
              <w:rPr>
                <w:rFonts w:ascii="Palatino Linotype" w:eastAsia="Palatino Linotype" w:hAnsi="Palatino Linotype" w:cs="Palatino Linotype"/>
                <w:i/>
                <w:sz w:val="17"/>
                <w:szCs w:val="17"/>
              </w:rPr>
              <w:t>“SOLICITO LOS OFICIOS REMITIDOS POR PARTE DEL DIF A TODAS LAS AREAS DEL AYUNTAMIENTO” (Sic)</w:t>
            </w:r>
          </w:p>
        </w:tc>
      </w:tr>
      <w:tr w:rsidR="00B659FF">
        <w:tc>
          <w:tcPr>
            <w:tcW w:w="3141" w:type="dxa"/>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00470/ZINACANT/IP/2023</w:t>
            </w:r>
          </w:p>
        </w:tc>
        <w:tc>
          <w:tcPr>
            <w:tcW w:w="5670" w:type="dxa"/>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TODOS LOS OFCIOS EMITIDOS POR MEJORA REGULATORIA DEL MES DE ENERO, FEBRERO, NOVIEMBRE Y DICIEMBRE DEL AÑO 2022, ASÍ COMO EL RECIBO DE NOMINA DEL PERSONAL ADSCRITO”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00563/ZINACANT/IP/2023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TODOS LOS OFICIOS GENERADOS POR LA PRESIDENCIA MUNICIPAL EN JUNIO Y JULIO 2023”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00473/ZINACANT/IP/2023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LOS OFICIOS DE TODAS LAS REGÍDURIAS DEL MES DE ENERO DE 2022”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00474/ZINACANT/IP/2023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LOS OFICIOS DE TODAS LAS REGÍDURIAS DEL MES DE MAYO DE 2022”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00488/ZINACANT/IP/2023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 xml:space="preserve">“todos los oficios de todas las </w:t>
            </w:r>
            <w:proofErr w:type="spellStart"/>
            <w:r>
              <w:rPr>
                <w:rFonts w:ascii="Palatino Linotype" w:eastAsia="Palatino Linotype" w:hAnsi="Palatino Linotype" w:cs="Palatino Linotype"/>
                <w:i/>
                <w:sz w:val="17"/>
                <w:szCs w:val="17"/>
              </w:rPr>
              <w:t>areas</w:t>
            </w:r>
            <w:proofErr w:type="spellEnd"/>
            <w:r>
              <w:rPr>
                <w:rFonts w:ascii="Palatino Linotype" w:eastAsia="Palatino Linotype" w:hAnsi="Palatino Linotype" w:cs="Palatino Linotype"/>
                <w:i/>
                <w:sz w:val="17"/>
                <w:szCs w:val="17"/>
              </w:rPr>
              <w:t xml:space="preserve"> del mes de abril, marzo, enero, de los años 2022 y 2023”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00462/ZINACANT/IP/2023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TODOS LOS OFICIOS FIRMADOS POR EL SINDÍCO MUNICIPAL DEL 1 DE ENERO DE 2022 AL 15 DE DICIEMBRE DE 2022”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00499/ZINACANT/IP/2023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“Solicitó todos los oficios recibidos por la Síndica Municipal de todo el año 2022 a la fecha de la solicitud”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00476/ZINACANT/IP/2023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LAS CIRCULARES EMITIDAS POR LA SINDICATURA DEL MES DE OCTUBRE DE 2022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lastRenderedPageBreak/>
              <w:t>00475/ZINACANT/IP/2023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LAS CIRCULARES EMITIDAS POR LA SINDICATURA DEL MES DE ENERO DE 2022” (Sic)</w:t>
            </w:r>
          </w:p>
        </w:tc>
      </w:tr>
      <w:tr w:rsidR="00B659FF">
        <w:tc>
          <w:tcPr>
            <w:tcW w:w="3141" w:type="dxa"/>
            <w:tcBorders>
              <w:top w:val="single" w:sz="4" w:space="0" w:color="000000"/>
              <w:left w:val="single" w:sz="4" w:space="0" w:color="000000"/>
              <w:bottom w:val="single" w:sz="4" w:space="0" w:color="000000"/>
              <w:right w:val="single" w:sz="4" w:space="0" w:color="000000"/>
            </w:tcBorders>
          </w:tcPr>
          <w:p w:rsidR="00B659FF" w:rsidRDefault="00067B29">
            <w:pPr>
              <w:spacing w:line="360" w:lineRule="auto"/>
              <w:jc w:val="center"/>
              <w:rPr>
                <w:rFonts w:ascii="Palatino Linotype" w:eastAsia="Palatino Linotype" w:hAnsi="Palatino Linotype" w:cs="Palatino Linotype"/>
                <w:b/>
                <w:color w:val="000000"/>
                <w:sz w:val="17"/>
                <w:szCs w:val="17"/>
              </w:rPr>
            </w:pPr>
            <w:r>
              <w:rPr>
                <w:rFonts w:ascii="Palatino Linotype" w:eastAsia="Palatino Linotype" w:hAnsi="Palatino Linotype" w:cs="Palatino Linotype"/>
                <w:b/>
                <w:color w:val="000000"/>
                <w:sz w:val="17"/>
                <w:szCs w:val="17"/>
              </w:rPr>
              <w:t>01067/ZINACANT/IP/2023</w:t>
            </w:r>
          </w:p>
        </w:tc>
        <w:tc>
          <w:tcPr>
            <w:tcW w:w="5670" w:type="dxa"/>
            <w:tcBorders>
              <w:top w:val="single" w:sz="4" w:space="0" w:color="000000"/>
              <w:left w:val="single" w:sz="4" w:space="0" w:color="000000"/>
              <w:bottom w:val="single" w:sz="4" w:space="0" w:color="000000"/>
              <w:right w:val="single" w:sz="4" w:space="0" w:color="000000"/>
            </w:tcBorders>
          </w:tcPr>
          <w:p w:rsidR="00B659FF" w:rsidRDefault="00067B29">
            <w:pPr>
              <w:tabs>
                <w:tab w:val="left" w:pos="975"/>
              </w:tabs>
              <w:jc w:val="both"/>
              <w:rPr>
                <w:rFonts w:ascii="Palatino Linotype" w:eastAsia="Palatino Linotype" w:hAnsi="Palatino Linotype" w:cs="Palatino Linotype"/>
                <w:i/>
                <w:sz w:val="17"/>
                <w:szCs w:val="17"/>
              </w:rPr>
            </w:pPr>
            <w:r>
              <w:rPr>
                <w:rFonts w:ascii="Palatino Linotype" w:eastAsia="Palatino Linotype" w:hAnsi="Palatino Linotype" w:cs="Palatino Linotype"/>
                <w:i/>
                <w:sz w:val="17"/>
                <w:szCs w:val="17"/>
              </w:rPr>
              <w:t>“SOLICITO TODOS LOS OFICIOS DE LA DIRECCIÓN DE CULTURA Y TURISMO DEL MES DE ENERO 2022 Y 2023 CON FOLIO CONSECUTIVO” (Sic)</w:t>
            </w:r>
          </w:p>
        </w:tc>
      </w:tr>
    </w:tbl>
    <w:p w:rsidR="00B659FF" w:rsidRDefault="00B659FF">
      <w:pPr>
        <w:spacing w:before="240" w:after="0" w:line="276" w:lineRule="auto"/>
        <w:ind w:right="902"/>
        <w:jc w:val="both"/>
        <w:rPr>
          <w:rFonts w:ascii="Palatino Linotype" w:eastAsia="Palatino Linotype" w:hAnsi="Palatino Linotype" w:cs="Palatino Linotype"/>
          <w:i/>
          <w:sz w:val="20"/>
          <w:szCs w:val="20"/>
        </w:rPr>
      </w:pPr>
    </w:p>
    <w:p w:rsidR="00B659FF" w:rsidRDefault="00067B29">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a las solicitudes de acceso a la información de mérito,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proporcionó oficios y circulares, respectivamente, que daban cuenta de lo solicitado, no obstante, no toda la información aportada fue impugnada, encontrándose en tal situación aquella que fue entregada para dar atención a las solicitudes que dieron origen a los recursos de revisión números </w:t>
      </w:r>
      <w:r>
        <w:rPr>
          <w:rFonts w:ascii="Palatino Linotype" w:eastAsia="Palatino Linotype" w:hAnsi="Palatino Linotype" w:cs="Palatino Linotype"/>
          <w:b/>
        </w:rPr>
        <w:t xml:space="preserve">04697/INFOEM/IP/RR/2023 </w:t>
      </w:r>
      <w:r>
        <w:rPr>
          <w:rFonts w:ascii="Palatino Linotype" w:eastAsia="Palatino Linotype" w:hAnsi="Palatino Linotype" w:cs="Palatino Linotype"/>
        </w:rPr>
        <w:t>y</w:t>
      </w:r>
      <w:r>
        <w:rPr>
          <w:rFonts w:ascii="Palatino Linotype" w:eastAsia="Palatino Linotype" w:hAnsi="Palatino Linotype" w:cs="Palatino Linotype"/>
          <w:b/>
        </w:rPr>
        <w:t xml:space="preserve"> 04698/INFOEM/IP/RR/2023.</w:t>
      </w:r>
    </w:p>
    <w:p w:rsidR="00B659FF" w:rsidRDefault="00B659FF">
      <w:pPr>
        <w:spacing w:after="0" w:line="360" w:lineRule="auto"/>
        <w:jc w:val="both"/>
        <w:rPr>
          <w:rFonts w:ascii="Palatino Linotype" w:eastAsia="Palatino Linotype" w:hAnsi="Palatino Linotype" w:cs="Palatino Linotype"/>
        </w:rPr>
      </w:pPr>
    </w:p>
    <w:p w:rsidR="00B659FF" w:rsidRDefault="00067B2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a partir de tales actuaciones, este Organismo Garante consideró procedente dar vista a la Dirección General de Protección de Datos Personales, en virtud de que en los archivos electrónicos entregados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respuesta a las solicitudes de información que dieron origen a los recursos de revisión indicados, se advirtieron datos que eran susceptibles de clasificarse; sin embargo,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no se inconformó respecto de la información entregada, sino concretamente, porque no se aportó la información de todas las Regidurías del Ayuntamiento de Zinacantepec de las cuales las requirió, por esto, se aplicó lo señalado en los artículos 202 al 205 de la Ley de Transparencia y Acceso a la Información Pública del Estado de México y Municipios, es decir los criterios de interpretación, en los que además se establece que el Instituto Nacional de Transparencia, Acceso a la Información y Protección de Datos Personales, podrá emitir criterios de carácter orientador para el </w:t>
      </w:r>
      <w:proofErr w:type="spellStart"/>
      <w:r>
        <w:rPr>
          <w:rFonts w:ascii="Palatino Linotype" w:eastAsia="Palatino Linotype" w:hAnsi="Palatino Linotype" w:cs="Palatino Linotype"/>
        </w:rPr>
        <w:t>Infoem</w:t>
      </w:r>
      <w:proofErr w:type="spellEnd"/>
      <w:r>
        <w:rPr>
          <w:rFonts w:ascii="Palatino Linotype" w:eastAsia="Palatino Linotype" w:hAnsi="Palatino Linotype" w:cs="Palatino Linotype"/>
        </w:rPr>
        <w:t xml:space="preserve">, que se establecerán por reiteración al resolver tres casos análogos </w:t>
      </w:r>
      <w:r>
        <w:rPr>
          <w:rFonts w:ascii="Palatino Linotype" w:eastAsia="Palatino Linotype" w:hAnsi="Palatino Linotype" w:cs="Palatino Linotype"/>
        </w:rPr>
        <w:lastRenderedPageBreak/>
        <w:t>de manera constitutiva en el mismo sentido, por al menos dos terceras partes del Pleno del Instituto Nacional, derivados de resoluciones que hayan quedado firme.</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Al respecto, contempla que los criterios reiterados y relevantes serán obligatorios para los integrantes del Instituto y para los sujetos obligados. Es así, que este Organismo Garante, debe contemplar el criterio de interpretación reiterado, con clave de control SO/001/2020, que lleva por rubro y texto:</w:t>
      </w:r>
    </w:p>
    <w:p w:rsidR="00B659FF" w:rsidRDefault="00067B29">
      <w:pPr>
        <w:spacing w:before="240" w:after="0" w:line="36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rPr>
        <w:t xml:space="preserve"> </w:t>
      </w:r>
      <w:r>
        <w:rPr>
          <w:rFonts w:ascii="Palatino Linotype" w:eastAsia="Palatino Linotype" w:hAnsi="Palatino Linotype" w:cs="Palatino Linotype"/>
          <w:b/>
          <w:i/>
          <w:sz w:val="20"/>
          <w:szCs w:val="20"/>
        </w:rPr>
        <w:t>Actos consentidos tácitamente. Improcedencia de su análisis</w:t>
      </w:r>
      <w:r>
        <w:rPr>
          <w:rFonts w:ascii="Palatino Linotype" w:eastAsia="Palatino Linotype" w:hAnsi="Palatino Linotype" w:cs="Palatino Linotype"/>
          <w:i/>
          <w:sz w:val="20"/>
          <w:szCs w:val="20"/>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De igual manera, la jurisprudencia, VI.2o. J/21., publicado en el Semanario Judicial de la Federación y su Gaceta. Tomo II, agosto de 1995, página 291, de la novena época, con registro digital 204707, define a los actos consentidos de la siguiente manera:</w:t>
      </w:r>
    </w:p>
    <w:p w:rsidR="00B659FF" w:rsidRDefault="00B659FF">
      <w:pPr>
        <w:spacing w:before="240" w:after="0" w:line="360" w:lineRule="auto"/>
        <w:jc w:val="both"/>
        <w:rPr>
          <w:rFonts w:ascii="Palatino Linotype" w:eastAsia="Palatino Linotype" w:hAnsi="Palatino Linotype" w:cs="Palatino Linotype"/>
        </w:rPr>
      </w:pPr>
    </w:p>
    <w:p w:rsidR="00B659FF" w:rsidRDefault="00067B29">
      <w:pPr>
        <w:spacing w:after="0" w:line="360" w:lineRule="auto"/>
        <w:ind w:left="560" w:right="620"/>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ACTOS CONSENTIDOS TACITAMENTE.</w:t>
      </w:r>
    </w:p>
    <w:p w:rsidR="00B659FF" w:rsidRDefault="00067B29">
      <w:pPr>
        <w:spacing w:after="0" w:line="360" w:lineRule="auto"/>
        <w:ind w:left="560" w:right="62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Se presumen así, para los efectos del amparo, los actos del orden civil y administrativo, que no hubieren sido reclamados en esa vía dentro de los plazos que la ley señala.</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considero que, en el caso de hacer estudio de documentales, que no fueron requeridos de manera específica por la parte Recurrente, se contrapone a lo señalado en la legislación de la materia, ya que en el caso de que el Particular no haya manifestado su inconformidad en contra del acto en su totalidad o en cualquiera de sus partes, se tendrá por consentido al no haber realizado argumento alguno que formulara un agravio en su </w:t>
      </w:r>
      <w:r>
        <w:rPr>
          <w:rFonts w:ascii="Palatino Linotype" w:eastAsia="Palatino Linotype" w:hAnsi="Palatino Linotype" w:cs="Palatino Linotype"/>
        </w:rPr>
        <w:lastRenderedPageBreak/>
        <w:t>contra, por lo que, en la especie, se valida la respuesta respecto de los puntos no controvertidos y se arriba a la conclusión de que estos quedaron firmes, tal como fue realizado, sin embargo, al no haber inconformidad ni estudio sobre las documentales remitidas en respuesta, resulta innecesario la vista citada.</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Aunado a lo anterior, es necesario precisar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rsidR="00B659FF" w:rsidRDefault="00067B29">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hd w:val="clear" w:color="auto" w:fill="FFFFFF"/>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Organismo Garante pueden:</w:t>
      </w:r>
    </w:p>
    <w:p w:rsidR="00B659FF" w:rsidRDefault="00067B29">
      <w:pPr>
        <w:shd w:val="clear" w:color="auto" w:fill="FFFFFF"/>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Desechar o sobreseer el recurso</w:t>
      </w:r>
    </w:p>
    <w:p w:rsidR="00B659FF" w:rsidRDefault="00067B29">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Confirma la respuesta del sujeto obligado</w:t>
      </w:r>
    </w:p>
    <w:p w:rsidR="00B659FF" w:rsidRDefault="00067B29">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Revocar o modificar la respuesta del sujeto obligado; y</w:t>
      </w:r>
    </w:p>
    <w:p w:rsidR="00B659FF" w:rsidRDefault="00067B29">
      <w:pPr>
        <w:numPr>
          <w:ilvl w:val="0"/>
          <w:numId w:val="4"/>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Ordenar la entrega de la información</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agregar que las resoluciones que pronuncie este Instituto deben contener cuatro aspectos importantes:</w:t>
      </w:r>
    </w:p>
    <w:p w:rsidR="00B659FF" w:rsidRDefault="00B659FF" w:rsidP="00BB7027">
      <w:pPr>
        <w:spacing w:before="240" w:after="0" w:line="360" w:lineRule="auto"/>
        <w:jc w:val="both"/>
        <w:rPr>
          <w:rFonts w:ascii="Palatino Linotype" w:eastAsia="Palatino Linotype" w:hAnsi="Palatino Linotype" w:cs="Palatino Linotype"/>
        </w:rPr>
      </w:pPr>
    </w:p>
    <w:p w:rsidR="00B659FF" w:rsidRPr="00BB7027" w:rsidRDefault="00067B29" w:rsidP="00BB7027">
      <w:pPr>
        <w:pStyle w:val="Prrafodelista"/>
        <w:numPr>
          <w:ilvl w:val="0"/>
          <w:numId w:val="15"/>
        </w:numPr>
        <w:spacing w:after="240" w:line="360" w:lineRule="auto"/>
        <w:jc w:val="both"/>
        <w:rPr>
          <w:rFonts w:ascii="Palatino Linotype" w:eastAsia="Palatino Linotype" w:hAnsi="Palatino Linotype" w:cs="Palatino Linotype"/>
        </w:rPr>
      </w:pPr>
      <w:r w:rsidRPr="00BB7027">
        <w:rPr>
          <w:rFonts w:ascii="Palatino Linotype" w:eastAsia="Palatino Linotype" w:hAnsi="Palatino Linotype" w:cs="Palatino Linotype"/>
        </w:rPr>
        <w:t>Lugar, fecha, el nombre del recurrente y del tercero interesado en su caso, sujeto obligado y un extracto de los hechos cuestionados;</w:t>
      </w:r>
    </w:p>
    <w:p w:rsidR="00B659FF" w:rsidRDefault="00B659FF" w:rsidP="00BB7027">
      <w:pPr>
        <w:spacing w:after="0" w:line="360" w:lineRule="auto"/>
        <w:ind w:left="750"/>
        <w:jc w:val="both"/>
        <w:rPr>
          <w:rFonts w:ascii="Palatino Linotype" w:eastAsia="Palatino Linotype" w:hAnsi="Palatino Linotype" w:cs="Palatino Linotype"/>
          <w:sz w:val="10"/>
          <w:szCs w:val="10"/>
        </w:rPr>
      </w:pPr>
    </w:p>
    <w:p w:rsidR="00B659FF" w:rsidRPr="00BB7027" w:rsidRDefault="00067B29" w:rsidP="00BB7027">
      <w:pPr>
        <w:pStyle w:val="Prrafodelista"/>
        <w:numPr>
          <w:ilvl w:val="0"/>
          <w:numId w:val="15"/>
        </w:numPr>
        <w:spacing w:after="240" w:line="360" w:lineRule="auto"/>
        <w:jc w:val="both"/>
        <w:rPr>
          <w:rFonts w:ascii="Palatino Linotype" w:eastAsia="Palatino Linotype" w:hAnsi="Palatino Linotype" w:cs="Palatino Linotype"/>
        </w:rPr>
      </w:pPr>
      <w:r w:rsidRPr="00BB7027">
        <w:rPr>
          <w:rFonts w:ascii="Palatino Linotype" w:eastAsia="Palatino Linotype" w:hAnsi="Palatino Linotype" w:cs="Palatino Linotype"/>
        </w:rPr>
        <w:t>Los preceptos en que se fundamenten y las consideraciones que las sustenten;</w:t>
      </w:r>
    </w:p>
    <w:p w:rsidR="00B659FF" w:rsidRDefault="00B659FF" w:rsidP="00BB7027">
      <w:pPr>
        <w:spacing w:after="0" w:line="360" w:lineRule="auto"/>
        <w:ind w:left="750"/>
        <w:jc w:val="both"/>
        <w:rPr>
          <w:rFonts w:ascii="Palatino Linotype" w:eastAsia="Palatino Linotype" w:hAnsi="Palatino Linotype" w:cs="Palatino Linotype"/>
          <w:sz w:val="10"/>
          <w:szCs w:val="10"/>
        </w:rPr>
      </w:pPr>
    </w:p>
    <w:p w:rsidR="00B659FF" w:rsidRPr="00BB7027" w:rsidRDefault="00067B29" w:rsidP="00BB7027">
      <w:pPr>
        <w:pStyle w:val="Prrafodelista"/>
        <w:numPr>
          <w:ilvl w:val="0"/>
          <w:numId w:val="15"/>
        </w:numPr>
        <w:spacing w:after="240" w:line="360" w:lineRule="auto"/>
        <w:jc w:val="both"/>
        <w:rPr>
          <w:rFonts w:ascii="Palatino Linotype" w:eastAsia="Palatino Linotype" w:hAnsi="Palatino Linotype" w:cs="Palatino Linotype"/>
        </w:rPr>
      </w:pPr>
      <w:r w:rsidRPr="00BB7027">
        <w:rPr>
          <w:rFonts w:ascii="Palatino Linotype" w:eastAsia="Palatino Linotype" w:hAnsi="Palatino Linotype" w:cs="Palatino Linotype"/>
        </w:rPr>
        <w:t>Los alcances y efectos de la resolución, fijando con precisión, en su caso, los sujetos y órganos obligados a cumplirla; y</w:t>
      </w:r>
    </w:p>
    <w:p w:rsidR="00B659FF" w:rsidRPr="00BB7027" w:rsidRDefault="00067B29" w:rsidP="00BB7027">
      <w:pPr>
        <w:pStyle w:val="Prrafodelista"/>
        <w:numPr>
          <w:ilvl w:val="0"/>
          <w:numId w:val="15"/>
        </w:numPr>
        <w:spacing w:after="240" w:line="360" w:lineRule="auto"/>
        <w:jc w:val="both"/>
        <w:rPr>
          <w:rFonts w:ascii="Palatino Linotype" w:eastAsia="Palatino Linotype" w:hAnsi="Palatino Linotype" w:cs="Palatino Linotype"/>
        </w:rPr>
      </w:pPr>
      <w:r w:rsidRPr="00BB7027">
        <w:rPr>
          <w:rFonts w:ascii="Palatino Linotype" w:eastAsia="Palatino Linotype" w:hAnsi="Palatino Linotype" w:cs="Palatino Linotype"/>
        </w:rPr>
        <w:t>Los puntos resolutivos.</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numPr>
          <w:ilvl w:val="0"/>
          <w:numId w:val="12"/>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rsidR="00B659FF" w:rsidRDefault="00067B29">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B659FF" w:rsidRDefault="00067B29">
      <w:pPr>
        <w:numPr>
          <w:ilvl w:val="0"/>
          <w:numId w:val="9"/>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lastRenderedPageBreak/>
        <w:t>Realizar de oficio y a petición de parte, análisis y recomendaciones o en su caso, lineamientos en relación con presuntos incumplimientos a las disposiciones de la Ley, cuando existan elementos suficientes a juicio del Pleno del Instituto;</w:t>
      </w:r>
    </w:p>
    <w:p w:rsidR="00B659FF" w:rsidRDefault="00067B29">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B659FF" w:rsidRDefault="00067B29">
      <w:pPr>
        <w:numPr>
          <w:ilvl w:val="0"/>
          <w:numId w:val="10"/>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t>Emitir comunicados públicos sobre el incumplimiento de sus resoluciones o por infracciones reiteradas a la Ley, en el ámbito de su competencia;</w:t>
      </w:r>
    </w:p>
    <w:p w:rsidR="00B659FF" w:rsidRDefault="00067B29">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B659FF" w:rsidRDefault="00067B29">
      <w:pPr>
        <w:numPr>
          <w:ilvl w:val="0"/>
          <w:numId w:val="5"/>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t>Ordenar a los sujetos obligados la ejecutoría en la entrega de información en términos de la presente Ley;</w:t>
      </w:r>
    </w:p>
    <w:p w:rsidR="00B659FF" w:rsidRDefault="00067B29">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B659FF" w:rsidRDefault="00067B29">
      <w:pPr>
        <w:numPr>
          <w:ilvl w:val="0"/>
          <w:numId w:val="7"/>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t>Imponer las medidas de apremio para asegurar el cumplimiento de sus determinaciones;</w:t>
      </w:r>
    </w:p>
    <w:p w:rsidR="00B659FF" w:rsidRDefault="00067B29">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B659FF" w:rsidRDefault="00067B29">
      <w:pPr>
        <w:numPr>
          <w:ilvl w:val="0"/>
          <w:numId w:val="3"/>
        </w:num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i/>
        </w:rPr>
        <w:t xml:space="preserve">Hacer del conocimiento de la instancia competente la probable responsabilidad por el incumplimiento de las obligaciones previstas en la Ley y en las demás disposiciones aplicable.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Establecido lo anterior, debe tomarse en cuenta que la vista a la Dirección General de Datos de este Instituto, no debió incluirse en los resolutivos de la resolución referida, toda vez que, el Particular no se inconformó sobre de la información proporcionada en respuesta, es decir, no forma parte de la </w:t>
      </w:r>
      <w:proofErr w:type="spellStart"/>
      <w:r>
        <w:rPr>
          <w:rFonts w:ascii="Palatino Linotype" w:eastAsia="Palatino Linotype" w:hAnsi="Palatino Linotype" w:cs="Palatino Linotype"/>
        </w:rPr>
        <w:t>litis</w:t>
      </w:r>
      <w:proofErr w:type="spellEnd"/>
      <w:r>
        <w:rPr>
          <w:rFonts w:ascii="Palatino Linotype" w:eastAsia="Palatino Linotype" w:hAnsi="Palatino Linotype" w:cs="Palatino Linotype"/>
        </w:rPr>
        <w:t xml:space="preserve">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w:t>
      </w:r>
    </w:p>
    <w:p w:rsidR="00B659FF" w:rsidRDefault="0006624F">
      <w:pPr>
        <w:spacing w:before="240" w:after="0" w:line="360" w:lineRule="auto"/>
        <w:jc w:val="both"/>
        <w:rPr>
          <w:rFonts w:ascii="Palatino Linotype" w:eastAsia="Palatino Linotype" w:hAnsi="Palatino Linotype" w:cs="Palatino Linotype"/>
        </w:rPr>
      </w:pPr>
      <w:bookmarkStart w:id="2" w:name="_GoBack"/>
      <w:r>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simplePos x="0" y="0"/>
                <wp:positionH relativeFrom="column">
                  <wp:posOffset>-13336</wp:posOffset>
                </wp:positionH>
                <wp:positionV relativeFrom="paragraph">
                  <wp:posOffset>766444</wp:posOffset>
                </wp:positionV>
                <wp:extent cx="5553075" cy="6562725"/>
                <wp:effectExtent l="38100" t="19050" r="66675" b="85725"/>
                <wp:wrapNone/>
                <wp:docPr id="2" name="Conector recto 2"/>
                <wp:cNvGraphicFramePr/>
                <a:graphic xmlns:a="http://schemas.openxmlformats.org/drawingml/2006/main">
                  <a:graphicData uri="http://schemas.microsoft.com/office/word/2010/wordprocessingShape">
                    <wps:wsp>
                      <wps:cNvCnPr/>
                      <wps:spPr>
                        <a:xfrm>
                          <a:off x="0" y="0"/>
                          <a:ext cx="5553075" cy="65627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C09E6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0.35pt" to="436.2pt,5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" strokecolor="#4f81bd [3204]" strokeweight="2pt">
                <v:shadow on="t" color="black" opacity="24903f" origin=",.5" offset="0,.55556mm"/>
              </v:line>
            </w:pict>
          </mc:Fallback>
        </mc:AlternateContent>
      </w:r>
      <w:bookmarkEnd w:id="2"/>
      <w:r w:rsidR="00067B29">
        <w:rPr>
          <w:rFonts w:ascii="Palatino Linotype" w:eastAsia="Palatino Linotype" w:hAnsi="Palatino Linotype" w:cs="Palatino Linotype"/>
        </w:rPr>
        <w:t xml:space="preserve"> Lo anterior expone razones suficientes para la emisión y presentación del presente </w:t>
      </w:r>
      <w:r w:rsidR="00067B29">
        <w:rPr>
          <w:rFonts w:ascii="Palatino Linotype" w:eastAsia="Palatino Linotype" w:hAnsi="Palatino Linotype" w:cs="Palatino Linotype"/>
          <w:b/>
        </w:rPr>
        <w:t>Voto Particular</w:t>
      </w:r>
      <w:r w:rsidR="00067B29">
        <w:rPr>
          <w:rFonts w:ascii="Palatino Linotype" w:eastAsia="Palatino Linotype" w:hAnsi="Palatino Linotype" w:cs="Palatino Linotype"/>
        </w:rPr>
        <w:t>, relacionado con la resolución del Recurso de Revisión referido. ------------------------------------------------------------------------------------------------------------------------</w:t>
      </w:r>
      <w:r w:rsidR="00DD5D67">
        <w:rPr>
          <w:rFonts w:ascii="Palatino Linotype" w:eastAsia="Palatino Linotype" w:hAnsi="Palatino Linotype" w:cs="Palatino Linotype"/>
        </w:rPr>
        <w:t>---------------------</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06624F" w:rsidRDefault="0006624F">
      <w:pPr>
        <w:spacing w:before="240" w:after="0" w:line="360" w:lineRule="auto"/>
        <w:jc w:val="both"/>
        <w:rPr>
          <w:rFonts w:ascii="Palatino Linotype" w:eastAsia="Palatino Linotype" w:hAnsi="Palatino Linotype" w:cs="Palatino Linotype"/>
        </w:rPr>
      </w:pP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067B2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9FF" w:rsidRDefault="00B659FF">
      <w:pPr>
        <w:spacing w:after="0" w:line="360" w:lineRule="auto"/>
        <w:jc w:val="both"/>
        <w:rPr>
          <w:rFonts w:ascii="Palatino Linotype" w:eastAsia="Palatino Linotype" w:hAnsi="Palatino Linotype" w:cs="Palatino Linotype"/>
        </w:rPr>
      </w:pPr>
    </w:p>
    <w:p w:rsidR="00B659FF" w:rsidRDefault="00B659FF">
      <w:pPr>
        <w:spacing w:after="0" w:line="360" w:lineRule="auto"/>
        <w:ind w:right="139"/>
        <w:jc w:val="both"/>
        <w:rPr>
          <w:rFonts w:ascii="Palatino Linotype" w:eastAsia="Palatino Linotype" w:hAnsi="Palatino Linotype" w:cs="Palatino Linotype"/>
        </w:rPr>
      </w:pPr>
    </w:p>
    <w:sectPr w:rsidR="00B659FF">
      <w:headerReference w:type="default" r:id="rId8"/>
      <w:footerReference w:type="default" r:id="rId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01" w:rsidRDefault="00214E01">
      <w:pPr>
        <w:spacing w:after="0" w:line="240" w:lineRule="auto"/>
      </w:pPr>
      <w:r>
        <w:separator/>
      </w:r>
    </w:p>
  </w:endnote>
  <w:endnote w:type="continuationSeparator" w:id="0">
    <w:p w:rsidR="00214E01" w:rsidRDefault="0021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FF" w:rsidRDefault="00067B29">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D12321">
      <w:rPr>
        <w:rFonts w:ascii="Palatino Linotype" w:eastAsia="Palatino Linotype" w:hAnsi="Palatino Linotype" w:cs="Palatino Linotype"/>
        <w:b/>
        <w:noProof/>
        <w:color w:val="000000"/>
        <w:sz w:val="24"/>
        <w:szCs w:val="24"/>
      </w:rPr>
      <w:t>5</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D12321">
      <w:rPr>
        <w:rFonts w:ascii="Palatino Linotype" w:eastAsia="Palatino Linotype" w:hAnsi="Palatino Linotype" w:cs="Palatino Linotype"/>
        <w:b/>
        <w:noProof/>
        <w:color w:val="000000"/>
        <w:sz w:val="24"/>
        <w:szCs w:val="24"/>
      </w:rPr>
      <w:t>9</w:t>
    </w:r>
    <w:r>
      <w:rPr>
        <w:rFonts w:ascii="Palatino Linotype" w:eastAsia="Palatino Linotype" w:hAnsi="Palatino Linotype" w:cs="Palatino Linotype"/>
        <w:b/>
        <w:color w:val="000000"/>
        <w:sz w:val="24"/>
        <w:szCs w:val="24"/>
      </w:rPr>
      <w:fldChar w:fldCharType="end"/>
    </w:r>
  </w:p>
  <w:p w:rsidR="00B659FF" w:rsidRDefault="00B659F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01" w:rsidRDefault="00214E01">
      <w:pPr>
        <w:spacing w:after="0" w:line="240" w:lineRule="auto"/>
      </w:pPr>
      <w:r>
        <w:separator/>
      </w:r>
    </w:p>
  </w:footnote>
  <w:footnote w:type="continuationSeparator" w:id="0">
    <w:p w:rsidR="00214E01" w:rsidRDefault="00214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FF" w:rsidRDefault="00067B2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-976905</wp:posOffset>
          </wp:positionH>
          <wp:positionV relativeFrom="paragraph">
            <wp:posOffset>-716334</wp:posOffset>
          </wp:positionV>
          <wp:extent cx="7510145" cy="9883775"/>
          <wp:effectExtent l="0" t="0" r="0" b="0"/>
          <wp:wrapNone/>
          <wp:docPr id="21431082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B659FF" w:rsidRDefault="00067B2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04514/INFOEM/IP/RR/2023 Y ACUMULADOS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DEF"/>
    <w:multiLevelType w:val="multilevel"/>
    <w:tmpl w:val="ED2A0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96B4A"/>
    <w:multiLevelType w:val="hybridMultilevel"/>
    <w:tmpl w:val="8104E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EE75F7"/>
    <w:multiLevelType w:val="multilevel"/>
    <w:tmpl w:val="B48AC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01A54"/>
    <w:multiLevelType w:val="multilevel"/>
    <w:tmpl w:val="6B924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9C2774"/>
    <w:multiLevelType w:val="multilevel"/>
    <w:tmpl w:val="B372A6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D7831"/>
    <w:multiLevelType w:val="multilevel"/>
    <w:tmpl w:val="A9188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6C2BDC"/>
    <w:multiLevelType w:val="multilevel"/>
    <w:tmpl w:val="8A961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EB0F5B"/>
    <w:multiLevelType w:val="multilevel"/>
    <w:tmpl w:val="A87AF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711172"/>
    <w:multiLevelType w:val="multilevel"/>
    <w:tmpl w:val="FD00B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B55690"/>
    <w:multiLevelType w:val="multilevel"/>
    <w:tmpl w:val="5948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8877E9"/>
    <w:multiLevelType w:val="hybridMultilevel"/>
    <w:tmpl w:val="E856B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B9300C"/>
    <w:multiLevelType w:val="multilevel"/>
    <w:tmpl w:val="E84C4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2C63EA"/>
    <w:multiLevelType w:val="hybridMultilevel"/>
    <w:tmpl w:val="843EB420"/>
    <w:lvl w:ilvl="0" w:tplc="BAE690BC">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1B3593"/>
    <w:multiLevelType w:val="multilevel"/>
    <w:tmpl w:val="1FD8E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730BEF"/>
    <w:multiLevelType w:val="multilevel"/>
    <w:tmpl w:val="05A02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3"/>
  </w:num>
  <w:num w:numId="5">
    <w:abstractNumId w:val="9"/>
  </w:num>
  <w:num w:numId="6">
    <w:abstractNumId w:val="13"/>
  </w:num>
  <w:num w:numId="7">
    <w:abstractNumId w:val="8"/>
  </w:num>
  <w:num w:numId="8">
    <w:abstractNumId w:val="5"/>
  </w:num>
  <w:num w:numId="9">
    <w:abstractNumId w:val="2"/>
  </w:num>
  <w:num w:numId="10">
    <w:abstractNumId w:val="7"/>
  </w:num>
  <w:num w:numId="11">
    <w:abstractNumId w:val="14"/>
  </w:num>
  <w:num w:numId="12">
    <w:abstractNumId w:val="11"/>
  </w:num>
  <w:num w:numId="13">
    <w:abstractNumId w:val="1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FF"/>
    <w:rsid w:val="0006624F"/>
    <w:rsid w:val="00067B29"/>
    <w:rsid w:val="00121A87"/>
    <w:rsid w:val="00214E01"/>
    <w:rsid w:val="00B659FF"/>
    <w:rsid w:val="00BB7027"/>
    <w:rsid w:val="00D12321"/>
    <w:rsid w:val="00DD5D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41FCD-72B2-4FC4-8C3B-BB9F4594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C36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6B1"/>
  </w:style>
  <w:style w:type="paragraph" w:styleId="Piedepgina">
    <w:name w:val="footer"/>
    <w:basedOn w:val="Normal"/>
    <w:link w:val="PiedepginaCar"/>
    <w:uiPriority w:val="99"/>
    <w:unhideWhenUsed/>
    <w:rsid w:val="008C36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6B1"/>
  </w:style>
  <w:style w:type="table" w:customStyle="1" w:styleId="a">
    <w:basedOn w:val="TableNormal0"/>
    <w:tblPr>
      <w:tblStyleRowBandSize w:val="1"/>
      <w:tblStyleColBandSize w:val="1"/>
      <w:tblCellMar>
        <w:left w:w="115" w:type="dxa"/>
        <w:right w:w="115" w:type="dxa"/>
      </w:tblCellMar>
    </w:tblPr>
  </w:style>
  <w:style w:type="paragraph" w:styleId="Prrafodelista">
    <w:name w:val="List Paragraph"/>
    <w:basedOn w:val="Normal"/>
    <w:uiPriority w:val="34"/>
    <w:qFormat/>
    <w:rsid w:val="00BB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TFmKd1cRTvKc6/E7BWJSNiZLPg==">CgMxLjAyCWguMzBqMHpsbDIJaC4zem55c2g3OAByITFkWmNpb0dIY3NHR0s4bm5WN043RnJKaFIzd2dPYk5BUA==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1680</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6</cp:revision>
  <cp:lastPrinted>2024-02-19T15:19:00Z</cp:lastPrinted>
  <dcterms:created xsi:type="dcterms:W3CDTF">2024-02-16T01:54:00Z</dcterms:created>
  <dcterms:modified xsi:type="dcterms:W3CDTF">2024-02-19T15:19:00Z</dcterms:modified>
</cp:coreProperties>
</file>