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17" w:rsidRPr="004D6E24" w:rsidRDefault="00613A17" w:rsidP="00613A17">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sidRPr="004D6E24">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D71DAC">
        <w:rPr>
          <w:rFonts w:ascii="Palatino Linotype" w:eastAsia="Palatino Linotype" w:hAnsi="Palatino Linotype" w:cs="Palatino Linotype"/>
          <w:b/>
        </w:rPr>
        <w:t xml:space="preserve">TRIGÉSIMA </w:t>
      </w:r>
      <w:r w:rsidR="00525FC6">
        <w:rPr>
          <w:rFonts w:ascii="Palatino Linotype" w:eastAsia="Palatino Linotype" w:hAnsi="Palatino Linotype" w:cs="Palatino Linotype"/>
          <w:b/>
        </w:rPr>
        <w:t>OCTAVA</w:t>
      </w:r>
      <w:r w:rsidRPr="004D6E24">
        <w:rPr>
          <w:rFonts w:ascii="Palatino Linotype" w:eastAsia="Palatino Linotype" w:hAnsi="Palatino Linotype" w:cs="Palatino Linotype"/>
          <w:b/>
        </w:rPr>
        <w:t xml:space="preserve"> SESIÓN ORDINARIA DEL </w:t>
      </w:r>
      <w:r w:rsidR="00525FC6">
        <w:rPr>
          <w:rFonts w:ascii="Palatino Linotype" w:eastAsia="Palatino Linotype" w:hAnsi="Palatino Linotype" w:cs="Palatino Linotype"/>
          <w:b/>
        </w:rPr>
        <w:t>SEIS DE NOVIEMBRE</w:t>
      </w:r>
      <w:r w:rsidR="006F7E15">
        <w:rPr>
          <w:rFonts w:ascii="Palatino Linotype" w:eastAsia="Palatino Linotype" w:hAnsi="Palatino Linotype" w:cs="Palatino Linotype"/>
          <w:b/>
        </w:rPr>
        <w:t xml:space="preserve"> DE </w:t>
      </w:r>
      <w:r w:rsidRPr="004D6E24">
        <w:rPr>
          <w:rFonts w:ascii="Palatino Linotype" w:eastAsia="Palatino Linotype" w:hAnsi="Palatino Linotype" w:cs="Palatino Linotype"/>
          <w:b/>
        </w:rPr>
        <w:t xml:space="preserve">DOS MIL VEINTICUATRO EN EL RECURSO DE REVISIÓN </w:t>
      </w:r>
      <w:r w:rsidRPr="004D6E24">
        <w:rPr>
          <w:rFonts w:ascii="Palatino Linotype" w:eastAsia="Palatino Linotype" w:hAnsi="Palatino Linotype" w:cs="Palatino Linotype"/>
          <w:b/>
          <w:color w:val="000000"/>
        </w:rPr>
        <w:t>0</w:t>
      </w:r>
      <w:r w:rsidR="00525FC6">
        <w:rPr>
          <w:rFonts w:ascii="Palatino Linotype" w:eastAsia="Palatino Linotype" w:hAnsi="Palatino Linotype" w:cs="Palatino Linotype"/>
          <w:b/>
          <w:color w:val="000000"/>
        </w:rPr>
        <w:t>4756</w:t>
      </w:r>
      <w:r w:rsidRPr="004D6E24">
        <w:rPr>
          <w:rFonts w:ascii="Palatino Linotype" w:eastAsia="Palatino Linotype" w:hAnsi="Palatino Linotype" w:cs="Palatino Linotype"/>
          <w:b/>
          <w:color w:val="000000"/>
        </w:rPr>
        <w:t>/INFOEM/IP/RR/202</w:t>
      </w:r>
      <w:r w:rsidR="003212A1">
        <w:rPr>
          <w:rFonts w:ascii="Palatino Linotype" w:eastAsia="Palatino Linotype" w:hAnsi="Palatino Linotype" w:cs="Palatino Linotype"/>
          <w:b/>
          <w:color w:val="000000"/>
        </w:rPr>
        <w:t>4</w:t>
      </w:r>
      <w:r w:rsidRPr="004D6E24">
        <w:rPr>
          <w:rFonts w:ascii="Palatino Linotype" w:eastAsia="Palatino Linotype" w:hAnsi="Palatino Linotype" w:cs="Palatino Linotype"/>
          <w:b/>
          <w:color w:val="000000"/>
        </w:rPr>
        <w:t>.</w:t>
      </w:r>
    </w:p>
    <w:p w:rsidR="00613A17" w:rsidRPr="004D6E24" w:rsidRDefault="00613A17" w:rsidP="00613A17">
      <w:pPr>
        <w:spacing w:after="0" w:line="360" w:lineRule="auto"/>
        <w:jc w:val="both"/>
        <w:rPr>
          <w:rFonts w:ascii="Palatino Linotype" w:eastAsia="Palatino Linotype" w:hAnsi="Palatino Linotype" w:cs="Palatino Linotype"/>
          <w:b/>
        </w:rPr>
      </w:pPr>
    </w:p>
    <w:p w:rsidR="00613A17" w:rsidRPr="004D6E24" w:rsidRDefault="00F56FBE" w:rsidP="00613A17">
      <w:pPr>
        <w:spacing w:after="0" w:line="360" w:lineRule="auto"/>
        <w:ind w:right="-93"/>
        <w:contextualSpacing/>
        <w:jc w:val="both"/>
        <w:rPr>
          <w:rFonts w:ascii="Palatino Linotype" w:hAnsi="Palatino Linotype"/>
        </w:rPr>
      </w:pPr>
      <w:r w:rsidRPr="004D6E24">
        <w:rPr>
          <w:rFonts w:ascii="Palatino Linotype" w:hAnsi="Palatino Linotype"/>
        </w:rPr>
        <w:t xml:space="preserve">El Pleno del Instituto de Transparencia, Acceso a la Información Pública y Protección de Datos Personales del Estado de México resolvió por unanimidad de votos, la Resolución relativa </w:t>
      </w:r>
      <w:r w:rsidRPr="003212A1">
        <w:rPr>
          <w:rFonts w:ascii="Palatino Linotype" w:hAnsi="Palatino Linotype"/>
          <w:b/>
        </w:rPr>
        <w:t>al Recurso de Revisión</w:t>
      </w:r>
      <w:r w:rsidR="003212A1" w:rsidRPr="003212A1">
        <w:rPr>
          <w:rFonts w:ascii="Palatino Linotype" w:hAnsi="Palatino Linotype"/>
          <w:b/>
        </w:rPr>
        <w:t xml:space="preserve"> </w:t>
      </w:r>
      <w:r w:rsidR="00525FC6">
        <w:rPr>
          <w:rFonts w:ascii="Palatino Linotype" w:eastAsia="Palatino Linotype" w:hAnsi="Palatino Linotype" w:cs="Palatino Linotype"/>
          <w:b/>
          <w:color w:val="000000"/>
        </w:rPr>
        <w:t>04756</w:t>
      </w:r>
      <w:r w:rsidR="00FF05B5" w:rsidRPr="004D6E24">
        <w:rPr>
          <w:rFonts w:ascii="Palatino Linotype" w:eastAsia="Palatino Linotype" w:hAnsi="Palatino Linotype" w:cs="Palatino Linotype"/>
          <w:b/>
          <w:color w:val="000000"/>
        </w:rPr>
        <w:t>/INFOEM/IP/RR/202</w:t>
      </w:r>
      <w:r w:rsidR="003212A1">
        <w:rPr>
          <w:rFonts w:ascii="Palatino Linotype" w:eastAsia="Palatino Linotype" w:hAnsi="Palatino Linotype" w:cs="Palatino Linotype"/>
          <w:b/>
          <w:color w:val="000000"/>
        </w:rPr>
        <w:t>4</w:t>
      </w:r>
      <w:r w:rsidRPr="004D6E24">
        <w:rPr>
          <w:rFonts w:ascii="Palatino Linotype" w:hAnsi="Palatino Linotype"/>
          <w:b/>
          <w:bCs/>
        </w:rPr>
        <w:t xml:space="preserve">, </w:t>
      </w:r>
      <w:r w:rsidRPr="004D6E24">
        <w:rPr>
          <w:rFonts w:ascii="Palatino Linotype" w:hAnsi="Palatino Linotype"/>
          <w:bCs/>
        </w:rPr>
        <w:t>conforme al criterio mayoritario del Pleno</w:t>
      </w:r>
      <w:r w:rsidRPr="004D6E24">
        <w:rPr>
          <w:rFonts w:ascii="Palatino Linotype" w:hAnsi="Palatino Linotype"/>
          <w:b/>
          <w:bCs/>
        </w:rPr>
        <w:t xml:space="preserve">, </w:t>
      </w:r>
      <w:r w:rsidRPr="004D6E24">
        <w:rPr>
          <w:rFonts w:ascii="Palatino Linotype" w:hAnsi="Palatino Linotype"/>
        </w:rPr>
        <w:t xml:space="preserve">respecto de la cual, quien suscribe, emite </w:t>
      </w:r>
      <w:r w:rsidR="00FF05B5" w:rsidRPr="004D6E24">
        <w:rPr>
          <w:rFonts w:ascii="Palatino Linotype" w:hAnsi="Palatino Linotype"/>
          <w:b/>
        </w:rPr>
        <w:t>Voto Particular</w:t>
      </w:r>
      <w:r w:rsidRPr="004D6E24">
        <w:rPr>
          <w:rFonts w:ascii="Palatino Linotype" w:hAnsi="Palatino Linotype"/>
        </w:rPr>
        <w:t>, con fundamento en lo</w:t>
      </w:r>
      <w:r w:rsidR="00613A17" w:rsidRPr="004D6E24">
        <w:rPr>
          <w:rFonts w:ascii="Palatino Linotype" w:hAnsi="Palatino Linotype"/>
        </w:rPr>
        <w:t xml:space="preserve"> dispuesto en los</w:t>
      </w:r>
      <w:r w:rsidRPr="004D6E24">
        <w:rPr>
          <w:rFonts w:ascii="Palatino Linotype" w:hAnsi="Palatino Linotype"/>
        </w:rPr>
        <w:t xml:space="preserve"> artículo</w:t>
      </w:r>
      <w:r w:rsidR="00613A17" w:rsidRPr="004D6E24">
        <w:rPr>
          <w:rFonts w:ascii="Palatino Linotype" w:hAnsi="Palatino Linotype"/>
        </w:rPr>
        <w:t>s</w:t>
      </w:r>
      <w:r w:rsidRPr="004D6E24">
        <w:rPr>
          <w:rFonts w:ascii="Palatino Linotype" w:hAnsi="Palatino Linotype"/>
        </w:rPr>
        <w:t xml:space="preserve">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613A17" w:rsidRPr="004D6E24" w:rsidRDefault="00613A17" w:rsidP="00613A17">
      <w:pPr>
        <w:spacing w:after="0" w:line="360" w:lineRule="auto"/>
        <w:ind w:right="-93"/>
        <w:contextualSpacing/>
        <w:jc w:val="both"/>
        <w:rPr>
          <w:rFonts w:ascii="Palatino Linotype" w:hAnsi="Palatino Linotype"/>
        </w:rPr>
      </w:pPr>
    </w:p>
    <w:p w:rsidR="00F56FBE" w:rsidRPr="004D6E24" w:rsidRDefault="00F56FBE" w:rsidP="00613A17">
      <w:pPr>
        <w:spacing w:after="0" w:line="360" w:lineRule="auto"/>
        <w:ind w:right="-93"/>
        <w:contextualSpacing/>
        <w:jc w:val="both"/>
        <w:rPr>
          <w:rFonts w:ascii="Palatino Linotype" w:eastAsia="Palatino Linotype" w:hAnsi="Palatino Linotype" w:cs="Palatino Linotype"/>
        </w:rPr>
      </w:pPr>
      <w:r w:rsidRPr="004D6E24">
        <w:rPr>
          <w:rFonts w:ascii="Palatino Linotype" w:eastAsia="Palatino Linotype" w:hAnsi="Palatino Linotype" w:cs="Palatino Linotype"/>
          <w:bCs/>
        </w:rPr>
        <w:t>Al respecto</w:t>
      </w:r>
      <w:r w:rsidRPr="004D6E24">
        <w:rPr>
          <w:rFonts w:ascii="Palatino Linotype" w:eastAsia="Palatino Linotype" w:hAnsi="Palatino Linotype" w:cs="Palatino Linotype"/>
        </w:rPr>
        <w:t xml:space="preserve"> preciso señalar que se comparte el sentido de la resolución, ya que del análisis de las constancias que conforman el expediente electrónico, se</w:t>
      </w:r>
      <w:r w:rsidR="00FF05B5">
        <w:rPr>
          <w:rFonts w:ascii="Palatino Linotype" w:eastAsia="Palatino Linotype" w:hAnsi="Palatino Linotype" w:cs="Palatino Linotype"/>
        </w:rPr>
        <w:t xml:space="preserve"> desprendió que la información que se ordena entregar</w:t>
      </w:r>
      <w:r w:rsidRPr="004D6E24">
        <w:rPr>
          <w:rFonts w:ascii="Palatino Linotype" w:eastAsia="Palatino Linotype" w:hAnsi="Palatino Linotype" w:cs="Palatino Linotype"/>
        </w:rPr>
        <w:t xml:space="preserve"> es susceptible de transparentarse</w:t>
      </w:r>
      <w:r w:rsidR="00FF05B5">
        <w:rPr>
          <w:rFonts w:ascii="Palatino Linotype" w:eastAsia="Palatino Linotype" w:hAnsi="Palatino Linotype" w:cs="Palatino Linotype"/>
        </w:rPr>
        <w:t>,</w:t>
      </w:r>
      <w:r w:rsidRPr="004D6E24">
        <w:rPr>
          <w:rFonts w:ascii="Palatino Linotype" w:eastAsia="Palatino Linotype" w:hAnsi="Palatino Linotype" w:cs="Palatino Linotype"/>
        </w:rPr>
        <w:t xml:space="preserve"> pues se encuentra relacionada con la gestión pública y con su publicidad se favorece indudablemente a la rendición de cuentas.</w:t>
      </w:r>
    </w:p>
    <w:p w:rsidR="00613A17" w:rsidRPr="004D6E24" w:rsidRDefault="00613A17" w:rsidP="00613A17">
      <w:pPr>
        <w:spacing w:after="0" w:line="360" w:lineRule="auto"/>
        <w:ind w:right="-93"/>
        <w:jc w:val="both"/>
        <w:rPr>
          <w:rFonts w:ascii="Palatino Linotype" w:eastAsia="Palatino Linotype" w:hAnsi="Palatino Linotype" w:cs="Palatino Linotype"/>
        </w:rPr>
      </w:pPr>
    </w:p>
    <w:p w:rsidR="00613A17" w:rsidRPr="004D6E24" w:rsidRDefault="00F56FBE" w:rsidP="00613A17">
      <w:pPr>
        <w:spacing w:after="0" w:line="360" w:lineRule="auto"/>
        <w:ind w:right="142"/>
        <w:jc w:val="both"/>
        <w:rPr>
          <w:rFonts w:ascii="Palatino Linotype" w:eastAsia="Palatino Linotype" w:hAnsi="Palatino Linotype" w:cs="Palatino Linotype"/>
        </w:rPr>
      </w:pPr>
      <w:r w:rsidRPr="004D6E24">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w:t>
      </w:r>
      <w:r w:rsidR="00613A17" w:rsidRPr="004D6E24">
        <w:rPr>
          <w:rFonts w:ascii="Palatino Linotype" w:eastAsia="Palatino Linotype" w:hAnsi="Palatino Linotype" w:cs="Palatino Linotype"/>
        </w:rPr>
        <w:t>respecto a lo siguiente:</w:t>
      </w:r>
    </w:p>
    <w:p w:rsidR="00613A17" w:rsidRPr="004D6E24" w:rsidRDefault="00613A17" w:rsidP="00613A17">
      <w:pPr>
        <w:spacing w:after="0" w:line="360" w:lineRule="auto"/>
        <w:ind w:right="142"/>
        <w:jc w:val="both"/>
        <w:rPr>
          <w:rFonts w:ascii="Palatino Linotype" w:eastAsia="Palatino Linotype" w:hAnsi="Palatino Linotype" w:cs="Palatino Linotype"/>
        </w:rPr>
      </w:pPr>
    </w:p>
    <w:p w:rsidR="00613A17" w:rsidRPr="004D6E24" w:rsidRDefault="00613A17" w:rsidP="00613A1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4D6E24">
        <w:rPr>
          <w:rFonts w:ascii="Palatino Linotype" w:eastAsia="Palatino Linotype" w:hAnsi="Palatino Linotype" w:cs="Palatino Linotype"/>
          <w:b/>
        </w:rPr>
        <w:t>De la publicidad de la fotografía de servidores públicos.</w:t>
      </w:r>
    </w:p>
    <w:p w:rsidR="00613A17" w:rsidRPr="004D6E24" w:rsidRDefault="00613A17" w:rsidP="00613A17">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sidRPr="004D6E24">
        <w:rPr>
          <w:rFonts w:ascii="Palatino Linotype" w:eastAsia="Palatino Linotype" w:hAnsi="Palatino Linotype" w:cs="Palatino Linotype"/>
          <w:b/>
        </w:rPr>
        <w:t xml:space="preserve"> </w:t>
      </w:r>
    </w:p>
    <w:p w:rsidR="00613A17" w:rsidRPr="004D6E24" w:rsidRDefault="00613A17" w:rsidP="00613A17">
      <w:pPr>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t xml:space="preserve">Con relación a la fotografía de los servidores públicos, es preciso mencionar que </w:t>
      </w:r>
      <w:r w:rsidRPr="004D6E24">
        <w:rPr>
          <w:rFonts w:ascii="Palatino Linotype" w:eastAsia="Palatino Linotype" w:hAnsi="Palatino Linotype" w:cs="Palatino Linotype"/>
          <w:b/>
        </w:rPr>
        <w:t>no</w:t>
      </w:r>
      <w:r w:rsidRPr="004D6E24">
        <w:rPr>
          <w:rFonts w:ascii="Palatino Linotype" w:eastAsia="Palatino Linotype" w:hAnsi="Palatino Linotype" w:cs="Palatino Linotype"/>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legales debe ser pública</w:t>
      </w:r>
      <w:r w:rsidR="002D49AD" w:rsidRPr="004D6E24">
        <w:rPr>
          <w:rFonts w:ascii="Palatino Linotype" w:eastAsia="Palatino Linotype" w:hAnsi="Palatino Linotype" w:cs="Palatino Linotype"/>
        </w:rPr>
        <w:t>.</w:t>
      </w:r>
    </w:p>
    <w:p w:rsidR="00613A17" w:rsidRPr="004D6E24" w:rsidRDefault="00613A17" w:rsidP="00613A17">
      <w:pPr>
        <w:spacing w:after="0" w:line="360" w:lineRule="auto"/>
        <w:jc w:val="both"/>
        <w:rPr>
          <w:rFonts w:ascii="Palatino Linotype" w:eastAsia="Palatino Linotype" w:hAnsi="Palatino Linotype" w:cs="Palatino Linotype"/>
        </w:rPr>
      </w:pPr>
    </w:p>
    <w:p w:rsidR="00F56FBE" w:rsidRPr="004D6E24" w:rsidRDefault="002D49AD" w:rsidP="00613A17">
      <w:pPr>
        <w:spacing w:after="0" w:line="276" w:lineRule="auto"/>
        <w:ind w:right="706"/>
        <w:jc w:val="both"/>
        <w:rPr>
          <w:rFonts w:ascii="Palatino Linotype" w:eastAsia="Palatino Linotype" w:hAnsi="Palatino Linotype" w:cs="Palatino Linotype"/>
          <w:i/>
        </w:rPr>
      </w:pPr>
      <w:r w:rsidRPr="004D6E24">
        <w:rPr>
          <w:rFonts w:ascii="Palatino Linotype" w:eastAsia="Palatino Linotype" w:hAnsi="Palatino Linotype" w:cs="Palatino Linotype"/>
        </w:rPr>
        <w:t>A</w:t>
      </w:r>
      <w:r w:rsidR="00F56FBE" w:rsidRPr="004D6E24">
        <w:rPr>
          <w:rFonts w:ascii="Palatino Linotype" w:eastAsia="Palatino Linotype" w:hAnsi="Palatino Linotype" w:cs="Palatino Linotype"/>
        </w:rPr>
        <w:t>l respecto en la resolución se consideró lo siguiente</w:t>
      </w:r>
      <w:r w:rsidR="00F56FBE" w:rsidRPr="004D6E24">
        <w:rPr>
          <w:rFonts w:ascii="Palatino Linotype" w:eastAsia="Palatino Linotype" w:hAnsi="Palatino Linotype" w:cs="Palatino Linotype"/>
          <w:i/>
        </w:rPr>
        <w:t>:</w:t>
      </w:r>
    </w:p>
    <w:p w:rsidR="00613A17" w:rsidRPr="004D6E24" w:rsidRDefault="00613A17" w:rsidP="00613A17">
      <w:pPr>
        <w:spacing w:after="0" w:line="276" w:lineRule="auto"/>
        <w:ind w:right="706"/>
        <w:jc w:val="both"/>
        <w:rPr>
          <w:rFonts w:ascii="Palatino Linotype" w:eastAsia="Palatino Linotype" w:hAnsi="Palatino Linotype" w:cs="Palatino Linotype"/>
          <w:i/>
        </w:rPr>
      </w:pPr>
    </w:p>
    <w:p w:rsidR="00525FC6" w:rsidRPr="00525FC6" w:rsidRDefault="00F56FBE" w:rsidP="00525FC6">
      <w:pPr>
        <w:spacing w:after="0" w:line="276" w:lineRule="auto"/>
        <w:ind w:left="567" w:right="706"/>
        <w:jc w:val="both"/>
        <w:rPr>
          <w:rFonts w:ascii="Palatino Linotype" w:eastAsia="Palatino Linotype" w:hAnsi="Palatino Linotype" w:cs="Palatino Linotype"/>
          <w:bCs/>
          <w:i/>
        </w:rPr>
      </w:pPr>
      <w:r w:rsidRPr="004D6E24">
        <w:rPr>
          <w:rFonts w:ascii="Palatino Linotype" w:eastAsia="Palatino Linotype" w:hAnsi="Palatino Linotype" w:cs="Palatino Linotype"/>
          <w:i/>
        </w:rPr>
        <w:t>“</w:t>
      </w:r>
      <w:r w:rsidR="00525FC6" w:rsidRPr="00525FC6">
        <w:rPr>
          <w:rFonts w:ascii="Palatino Linotype" w:eastAsia="Palatino Linotype" w:hAnsi="Palatino Linotype" w:cs="Palatino Linotype"/>
          <w:bCs/>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r w:rsidRPr="00525FC6">
        <w:rPr>
          <w:rFonts w:ascii="Palatino Linotype" w:eastAsia="Palatino Linotype" w:hAnsi="Palatino Linotype" w:cs="Palatino Linotype"/>
          <w:bCs/>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r w:rsidRPr="00525FC6">
        <w:rPr>
          <w:rFonts w:ascii="Palatino Linotype" w:eastAsia="Palatino Linotype" w:hAnsi="Palatino Linotype" w:cs="Palatino Linotype"/>
          <w:bCs/>
          <w:i/>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r w:rsidRPr="00525FC6">
        <w:rPr>
          <w:rFonts w:ascii="Palatino Linotype" w:eastAsia="Palatino Linotype" w:hAnsi="Palatino Linotype" w:cs="Palatino Linotype"/>
          <w:bCs/>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r w:rsidRPr="00525FC6">
        <w:rPr>
          <w:rFonts w:ascii="Palatino Linotype" w:eastAsia="Palatino Linotype" w:hAnsi="Palatino Linotype" w:cs="Palatino Linotype"/>
          <w:bCs/>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r w:rsidRPr="00525FC6">
        <w:rPr>
          <w:rFonts w:ascii="Palatino Linotype" w:eastAsia="Palatino Linotype" w:hAnsi="Palatino Linotype" w:cs="Palatino Linotype"/>
          <w:bCs/>
          <w:i/>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w:t>
      </w:r>
      <w:r w:rsidRPr="00525FC6">
        <w:rPr>
          <w:rFonts w:ascii="Palatino Linotype" w:eastAsia="Palatino Linotype" w:hAnsi="Palatino Linotype" w:cs="Palatino Linotype"/>
          <w:bCs/>
          <w:i/>
        </w:rPr>
        <w:lastRenderedPageBreak/>
        <w:t>encuentra en ese encargo, si realiza las funciones o si cumple con los requisitos legales; sin que se considere como factor diferenciador para determinar la publicidad o clasificación el cargo o nivel jerárquico en el que se desempeñe el servidor público.</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r w:rsidRPr="00525FC6">
        <w:rPr>
          <w:rFonts w:ascii="Palatino Linotype" w:eastAsia="Palatino Linotype" w:hAnsi="Palatino Linotype" w:cs="Palatino Linotype"/>
          <w:bCs/>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525FC6" w:rsidRPr="00525FC6" w:rsidRDefault="00525FC6" w:rsidP="00525FC6">
      <w:pPr>
        <w:spacing w:after="0" w:line="276" w:lineRule="auto"/>
        <w:ind w:left="567" w:right="706"/>
        <w:jc w:val="both"/>
        <w:rPr>
          <w:rFonts w:ascii="Palatino Linotype" w:eastAsia="Palatino Linotype" w:hAnsi="Palatino Linotype" w:cs="Palatino Linotype"/>
          <w:bCs/>
          <w:i/>
        </w:rPr>
      </w:pPr>
    </w:p>
    <w:p w:rsidR="00F56FBE" w:rsidRPr="00FF05B5" w:rsidRDefault="00525FC6" w:rsidP="00525FC6">
      <w:pPr>
        <w:spacing w:after="0" w:line="276" w:lineRule="auto"/>
        <w:ind w:left="567" w:right="706"/>
        <w:jc w:val="both"/>
        <w:rPr>
          <w:rFonts w:ascii="Palatino Linotype" w:eastAsia="Palatino Linotype" w:hAnsi="Palatino Linotype" w:cs="Palatino Linotype"/>
          <w:i/>
          <w:lang w:val="es-ES_tradnl"/>
        </w:rPr>
      </w:pPr>
      <w:r w:rsidRPr="00525FC6">
        <w:rPr>
          <w:rFonts w:ascii="Palatino Linotype" w:eastAsia="Palatino Linotype" w:hAnsi="Palatino Linotype" w:cs="Palatino Linotype"/>
          <w:b/>
          <w:bCs/>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roofErr w:type="gramStart"/>
      <w:r w:rsidR="003212A1">
        <w:rPr>
          <w:rFonts w:ascii="Palatino Linotype" w:eastAsia="Palatino Linotype" w:hAnsi="Palatino Linotype" w:cs="Palatino Linotype"/>
          <w:bCs/>
          <w:i/>
        </w:rPr>
        <w:t>.</w:t>
      </w:r>
      <w:r w:rsidR="002D49AD" w:rsidRPr="00FF05B5">
        <w:rPr>
          <w:rFonts w:ascii="Palatino Linotype" w:eastAsia="Palatino Linotype" w:hAnsi="Palatino Linotype" w:cs="Palatino Linotype"/>
          <w:i/>
          <w:lang w:val="es-ES_tradnl"/>
        </w:rPr>
        <w:t>[</w:t>
      </w:r>
      <w:proofErr w:type="gramEnd"/>
      <w:r w:rsidR="002D49AD" w:rsidRPr="00FF05B5">
        <w:rPr>
          <w:rFonts w:ascii="Palatino Linotype" w:eastAsia="Palatino Linotype" w:hAnsi="Palatino Linotype" w:cs="Palatino Linotype"/>
          <w:i/>
          <w:lang w:val="es-ES_tradnl"/>
        </w:rPr>
        <w:t>…]</w:t>
      </w:r>
      <w:r w:rsidR="00F56FBE" w:rsidRPr="00FF05B5">
        <w:rPr>
          <w:rFonts w:ascii="Palatino Linotype" w:eastAsia="Palatino Linotype" w:hAnsi="Palatino Linotype" w:cs="Palatino Linotype"/>
          <w:i/>
          <w:color w:val="000000"/>
        </w:rPr>
        <w:t>”</w:t>
      </w:r>
    </w:p>
    <w:p w:rsidR="00F56FBE" w:rsidRPr="004D6E24" w:rsidRDefault="00F56FBE" w:rsidP="00613A1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F56FBE" w:rsidRPr="004D6E24" w:rsidRDefault="00F56FBE" w:rsidP="00613A17">
      <w:pPr>
        <w:spacing w:after="0" w:line="360" w:lineRule="auto"/>
        <w:jc w:val="both"/>
        <w:rPr>
          <w:rFonts w:ascii="Palatino Linotype" w:eastAsia="Palatino Linotype" w:hAnsi="Palatino Linotype" w:cs="Palatino Linotype"/>
        </w:rPr>
      </w:pPr>
      <w:bookmarkStart w:id="1" w:name="_heading=h.seznk0v3kwdp" w:colFirst="0" w:colLast="0"/>
      <w:bookmarkEnd w:id="1"/>
      <w:r w:rsidRPr="004D6E24">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FC2A82" w:rsidRPr="004D6E24" w:rsidRDefault="00FC2A82" w:rsidP="00613A17">
      <w:pPr>
        <w:spacing w:after="0" w:line="360" w:lineRule="auto"/>
        <w:jc w:val="both"/>
        <w:rPr>
          <w:rFonts w:ascii="Palatino Linotype" w:eastAsia="Palatino Linotype" w:hAnsi="Palatino Linotype" w:cs="Palatino Linotype"/>
        </w:rPr>
      </w:pPr>
    </w:p>
    <w:p w:rsidR="00F56FBE" w:rsidRPr="004D6E24" w:rsidRDefault="00F56FBE" w:rsidP="00613A17">
      <w:pPr>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FC2A82" w:rsidRPr="004D6E24" w:rsidRDefault="00FC2A82" w:rsidP="00613A17">
      <w:pPr>
        <w:spacing w:after="0" w:line="360" w:lineRule="auto"/>
        <w:jc w:val="both"/>
        <w:rPr>
          <w:rFonts w:ascii="Palatino Linotype" w:eastAsia="Palatino Linotype" w:hAnsi="Palatino Linotype" w:cs="Palatino Linotype"/>
        </w:rPr>
      </w:pPr>
    </w:p>
    <w:p w:rsidR="00F56FBE" w:rsidRPr="004D6E24" w:rsidRDefault="00F56FBE" w:rsidP="00613A17">
      <w:pPr>
        <w:spacing w:after="0" w:line="360" w:lineRule="auto"/>
        <w:ind w:right="140"/>
        <w:jc w:val="both"/>
        <w:rPr>
          <w:rFonts w:ascii="Palatino Linotype" w:eastAsia="Palatino Linotype" w:hAnsi="Palatino Linotype" w:cs="Palatino Linotype"/>
        </w:rPr>
      </w:pPr>
      <w:r w:rsidRPr="004D6E24">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FC2A82" w:rsidRPr="004D6E24" w:rsidRDefault="00FC2A82" w:rsidP="00613A17">
      <w:pPr>
        <w:spacing w:after="0" w:line="360" w:lineRule="auto"/>
        <w:ind w:right="140"/>
        <w:jc w:val="both"/>
        <w:rPr>
          <w:rFonts w:ascii="Palatino Linotype" w:eastAsia="Palatino Linotype" w:hAnsi="Palatino Linotype" w:cs="Palatino Linotype"/>
        </w:rPr>
      </w:pPr>
    </w:p>
    <w:p w:rsidR="00F56FBE" w:rsidRPr="004D6E24" w:rsidRDefault="00F56FBE" w:rsidP="00613A17">
      <w:pPr>
        <w:tabs>
          <w:tab w:val="left" w:pos="4962"/>
        </w:tabs>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t xml:space="preserve">Es así que, si bien se estipuló que </w:t>
      </w:r>
      <w:r w:rsidRPr="004D6E24">
        <w:rPr>
          <w:rFonts w:ascii="Palatino Linotype" w:eastAsia="Palatino Linotype" w:hAnsi="Palatino Linotype" w:cs="Palatino Linotype"/>
          <w:b/>
          <w:u w:val="single"/>
        </w:rPr>
        <w:t>las fotografías de servidores públicos, sin importar el nivel o rango, guardan la naturaleza de públicas y</w:t>
      </w:r>
      <w:r w:rsidRPr="004D6E24">
        <w:rPr>
          <w:rFonts w:ascii="Palatino Linotype" w:eastAsia="Palatino Linotype" w:hAnsi="Palatino Linotype" w:cs="Palatino Linotype"/>
        </w:rPr>
        <w:t xml:space="preserve"> </w:t>
      </w:r>
      <w:r w:rsidRPr="004D6E24">
        <w:rPr>
          <w:rFonts w:ascii="Palatino Linotype" w:eastAsia="Palatino Linotype" w:hAnsi="Palatino Linotype" w:cs="Palatino Linotype"/>
          <w:b/>
          <w:u w:val="single"/>
        </w:rPr>
        <w:t>por lo tanto, no procede su clasificación,</w:t>
      </w:r>
      <w:r w:rsidRPr="004D6E24">
        <w:rPr>
          <w:rFonts w:ascii="Palatino Linotype" w:eastAsia="Palatino Linotype" w:hAnsi="Palatino Linotype" w:cs="Palatino Linotype"/>
          <w:b/>
        </w:rPr>
        <w:t xml:space="preserve"> </w:t>
      </w:r>
      <w:r w:rsidRPr="004D6E24">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w:t>
      </w:r>
      <w:r w:rsidRPr="004D6E24">
        <w:rPr>
          <w:rFonts w:ascii="Palatino Linotype" w:eastAsia="Palatino Linotype" w:hAnsi="Palatino Linotype" w:cs="Palatino Linotype"/>
        </w:rPr>
        <w:lastRenderedPageBreak/>
        <w:t>conocer la imagen de un servidor público puede justificar la limitación de su derecho a la privacidad, pero esto debe evaluarse cuidadosamente en cada caso y no ser la regla general.</w:t>
      </w:r>
    </w:p>
    <w:p w:rsidR="00FC2A82" w:rsidRPr="004D6E24" w:rsidRDefault="00FC2A82" w:rsidP="00613A17">
      <w:pPr>
        <w:tabs>
          <w:tab w:val="left" w:pos="4962"/>
        </w:tabs>
        <w:spacing w:after="0" w:line="360" w:lineRule="auto"/>
        <w:jc w:val="both"/>
        <w:rPr>
          <w:rFonts w:ascii="Palatino Linotype" w:eastAsia="Palatino Linotype" w:hAnsi="Palatino Linotype" w:cs="Palatino Linotype"/>
        </w:rPr>
      </w:pPr>
    </w:p>
    <w:p w:rsidR="00F56FBE" w:rsidRPr="004D6E24" w:rsidRDefault="00F56FBE" w:rsidP="00613A17">
      <w:pPr>
        <w:spacing w:after="0" w:line="360" w:lineRule="auto"/>
        <w:jc w:val="both"/>
        <w:rPr>
          <w:rFonts w:ascii="Palatino Linotype" w:eastAsia="Palatino Linotype" w:hAnsi="Palatino Linotype" w:cs="Palatino Linotype"/>
        </w:rPr>
      </w:pPr>
      <w:bookmarkStart w:id="2" w:name="_heading=h.xezr0okd57tn" w:colFirst="0" w:colLast="0"/>
      <w:bookmarkEnd w:id="2"/>
      <w:r w:rsidRPr="004D6E24">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F56FBE" w:rsidRPr="004D6E24" w:rsidRDefault="00F56FBE" w:rsidP="00613A17">
      <w:pPr>
        <w:spacing w:after="0" w:line="360" w:lineRule="auto"/>
        <w:jc w:val="both"/>
        <w:rPr>
          <w:rFonts w:ascii="Palatino Linotype" w:eastAsia="Palatino Linotype" w:hAnsi="Palatino Linotype" w:cs="Palatino Linotype"/>
        </w:rPr>
      </w:pPr>
    </w:p>
    <w:p w:rsidR="00F56FBE" w:rsidRPr="004D6E24" w:rsidRDefault="00F56FBE" w:rsidP="00613A17">
      <w:pPr>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FC2A82" w:rsidRPr="004D6E24" w:rsidRDefault="00FC2A82" w:rsidP="00613A17">
      <w:pPr>
        <w:spacing w:after="0" w:line="360" w:lineRule="auto"/>
        <w:jc w:val="both"/>
        <w:rPr>
          <w:rFonts w:ascii="Palatino Linotype" w:eastAsia="Palatino Linotype" w:hAnsi="Palatino Linotype" w:cs="Palatino Linotype"/>
        </w:rPr>
      </w:pPr>
    </w:p>
    <w:p w:rsidR="00FC2A82" w:rsidRPr="004D6E24" w:rsidRDefault="00FC2A82" w:rsidP="00FC2A82">
      <w:pPr>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t xml:space="preserve">Es por las razones antes expuestas que la suscrita no comparte este punto del estudio de la resolución dictada, pues considero que </w:t>
      </w:r>
      <w:r w:rsidRPr="004D6E24">
        <w:rPr>
          <w:rFonts w:ascii="Palatino Linotype" w:eastAsia="Palatino Linotype" w:hAnsi="Palatino Linotype" w:cs="Palatino Linotype"/>
          <w:b/>
          <w:u w:val="single"/>
        </w:rPr>
        <w:t>no se debe dejar visible la fotografía de las y los servidores públicos que NO cuenten con la calidad de mando medio y/o superior o no tengan atención al público</w:t>
      </w:r>
      <w:r w:rsidRPr="004D6E24">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w:t>
      </w:r>
    </w:p>
    <w:p w:rsidR="00FC2A82" w:rsidRPr="004D6E24" w:rsidRDefault="00FC2A82" w:rsidP="00FC2A82">
      <w:pPr>
        <w:spacing w:after="0" w:line="360" w:lineRule="auto"/>
        <w:jc w:val="both"/>
        <w:rPr>
          <w:rFonts w:ascii="Palatino Linotype" w:eastAsia="Palatino Linotype" w:hAnsi="Palatino Linotype" w:cs="Palatino Linotype"/>
        </w:rPr>
      </w:pPr>
    </w:p>
    <w:p w:rsidR="00FC2A82" w:rsidRPr="004D6E24" w:rsidRDefault="00FC2A82" w:rsidP="00D465A1">
      <w:pPr>
        <w:pStyle w:val="Prrafodelista"/>
        <w:numPr>
          <w:ilvl w:val="0"/>
          <w:numId w:val="1"/>
        </w:numPr>
        <w:spacing w:line="360" w:lineRule="auto"/>
        <w:jc w:val="both"/>
        <w:rPr>
          <w:rFonts w:ascii="Palatino Linotype" w:eastAsia="Palatino Linotype" w:hAnsi="Palatino Linotype" w:cs="Palatino Linotype"/>
          <w:b/>
          <w:sz w:val="22"/>
          <w:szCs w:val="22"/>
        </w:rPr>
      </w:pPr>
      <w:r w:rsidRPr="004D6E24">
        <w:rPr>
          <w:rFonts w:ascii="Palatino Linotype" w:eastAsia="Palatino Linotype" w:hAnsi="Palatino Linotype" w:cs="Palatino Linotype"/>
          <w:b/>
          <w:sz w:val="22"/>
          <w:szCs w:val="22"/>
        </w:rPr>
        <w:lastRenderedPageBreak/>
        <w:t>Certificado de no deudor alimentario.</w:t>
      </w:r>
    </w:p>
    <w:p w:rsidR="00FC2A82" w:rsidRPr="004D6E24" w:rsidRDefault="00FC2A82" w:rsidP="00FC2A82">
      <w:pPr>
        <w:spacing w:after="0" w:line="360" w:lineRule="auto"/>
        <w:ind w:left="720"/>
        <w:jc w:val="both"/>
        <w:rPr>
          <w:rFonts w:ascii="Palatino Linotype" w:eastAsia="Palatino Linotype" w:hAnsi="Palatino Linotype" w:cs="Palatino Linotype"/>
          <w:b/>
        </w:rPr>
      </w:pPr>
    </w:p>
    <w:p w:rsidR="00FC2A82" w:rsidRPr="004D6E24" w:rsidRDefault="00FC2A82" w:rsidP="00FC2A82">
      <w:pPr>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t>Por lo que hace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FC2A82" w:rsidRPr="004D6E24" w:rsidRDefault="00FC2A82" w:rsidP="00FC2A82">
      <w:pPr>
        <w:spacing w:after="0" w:line="360" w:lineRule="auto"/>
        <w:jc w:val="both"/>
        <w:rPr>
          <w:rFonts w:ascii="Palatino Linotype" w:eastAsia="Palatino Linotype" w:hAnsi="Palatino Linotype" w:cs="Palatino Linotype"/>
        </w:rPr>
      </w:pPr>
    </w:p>
    <w:p w:rsidR="00FC2A82" w:rsidRPr="004D6E24" w:rsidRDefault="00FC2A82" w:rsidP="00FC2A82">
      <w:pPr>
        <w:spacing w:after="0" w:line="360" w:lineRule="auto"/>
        <w:jc w:val="both"/>
        <w:rPr>
          <w:rFonts w:ascii="Palatino Linotype" w:eastAsia="Palatino Linotype" w:hAnsi="Palatino Linotype" w:cs="Palatino Linotype"/>
        </w:rPr>
      </w:pPr>
      <w:r w:rsidRPr="004D6E24">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FC2A82" w:rsidRPr="004D6E24" w:rsidRDefault="00FC2A82" w:rsidP="00FC2A82">
      <w:pPr>
        <w:spacing w:after="0" w:line="360" w:lineRule="auto"/>
        <w:jc w:val="both"/>
        <w:rPr>
          <w:rFonts w:ascii="Palatino Linotype" w:eastAsia="Palatino Linotype" w:hAnsi="Palatino Linotype" w:cs="Palatino Linotype"/>
        </w:rPr>
      </w:pPr>
    </w:p>
    <w:p w:rsidR="00D465A1" w:rsidRPr="00D465A1" w:rsidRDefault="00D465A1" w:rsidP="00D465A1">
      <w:pPr>
        <w:spacing w:after="0" w:line="360" w:lineRule="auto"/>
        <w:jc w:val="both"/>
        <w:rPr>
          <w:rFonts w:ascii="Palatino Linotype" w:eastAsia="Palatino Linotype" w:hAnsi="Palatino Linotype" w:cs="Palatino Linotype"/>
          <w:lang w:val="es-MX"/>
        </w:rPr>
      </w:pPr>
      <w:r w:rsidRPr="00D465A1">
        <w:rPr>
          <w:rFonts w:ascii="Palatino Linotype" w:eastAsia="Palatino Linotype" w:hAnsi="Palatino Linotype" w:cs="Palatino Linotype"/>
          <w:lang w:val="es-MX"/>
        </w:rPr>
        <w:t xml:space="preserve">Más aún cuando en el  Proyecto de Decreto por el que se Reforman y Adicionan Diversas Disposiciones para crear el Registro de Deudores Alimentarios del Estado de México, disponible en la dirección electrónica </w:t>
      </w:r>
      <w:hyperlink r:id="rId8">
        <w:r w:rsidRPr="00D465A1">
          <w:rPr>
            <w:rFonts w:ascii="Palatino Linotype" w:eastAsia="Palatino Linotype" w:hAnsi="Palatino Linotype" w:cs="Palatino Linotype"/>
            <w:color w:val="0563C1"/>
            <w:u w:val="single"/>
            <w:lang w:val="es-MX"/>
          </w:rPr>
          <w:t>https://legislacion.edomex.gob.mx/sites/legislacion.edomex.gob.mx/files/files/pdf/gct/2014/nov144.PDF</w:t>
        </w:r>
      </w:hyperlink>
      <w:r w:rsidRPr="00D465A1">
        <w:rPr>
          <w:lang w:val="es-MX"/>
        </w:rPr>
        <w:t xml:space="preserve"> </w:t>
      </w:r>
      <w:r w:rsidRPr="00D465A1">
        <w:rPr>
          <w:rFonts w:ascii="Palatino Linotype" w:eastAsia="Palatino Linotype" w:hAnsi="Palatino Linotype" w:cs="Palatino Linotype"/>
          <w:lang w:val="es-MX"/>
        </w:rPr>
        <w:t xml:space="preserve">pueden advertirse los objetivos de crear dicho registro: </w:t>
      </w:r>
    </w:p>
    <w:p w:rsidR="00D465A1" w:rsidRPr="00D465A1" w:rsidRDefault="00D465A1" w:rsidP="00D465A1">
      <w:pPr>
        <w:spacing w:after="0" w:line="360" w:lineRule="auto"/>
        <w:jc w:val="both"/>
        <w:rPr>
          <w:rFonts w:ascii="Palatino Linotype" w:eastAsia="Palatino Linotype" w:hAnsi="Palatino Linotype" w:cs="Palatino Linotype"/>
          <w:lang w:val="es-MX"/>
        </w:rPr>
      </w:pPr>
    </w:p>
    <w:p w:rsidR="00D465A1" w:rsidRPr="00D465A1" w:rsidRDefault="00D465A1" w:rsidP="00D465A1">
      <w:pPr>
        <w:spacing w:after="120" w:line="240" w:lineRule="auto"/>
        <w:ind w:left="851" w:right="992"/>
        <w:jc w:val="both"/>
        <w:rPr>
          <w:rFonts w:ascii="Palatino Linotype" w:eastAsia="Palatino Linotype" w:hAnsi="Palatino Linotype" w:cs="Palatino Linotype"/>
          <w:i/>
          <w:lang w:val="es-MX"/>
        </w:rPr>
      </w:pPr>
      <w:r w:rsidRPr="00D465A1">
        <w:rPr>
          <w:rFonts w:ascii="Palatino Linotype" w:eastAsia="Palatino Linotype" w:hAnsi="Palatino Linotype" w:cs="Palatino Linotype"/>
          <w:i/>
          <w:lang w:val="es-MX"/>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D465A1" w:rsidRPr="00D465A1" w:rsidRDefault="00D465A1" w:rsidP="00D465A1">
      <w:pPr>
        <w:spacing w:before="120" w:after="120" w:line="240" w:lineRule="auto"/>
        <w:ind w:left="851" w:right="992"/>
        <w:jc w:val="both"/>
        <w:rPr>
          <w:rFonts w:ascii="Palatino Linotype" w:eastAsia="Palatino Linotype" w:hAnsi="Palatino Linotype" w:cs="Palatino Linotype"/>
          <w:i/>
          <w:lang w:val="es-MX"/>
        </w:rPr>
      </w:pPr>
      <w:r w:rsidRPr="00D465A1">
        <w:rPr>
          <w:rFonts w:ascii="Palatino Linotype" w:eastAsia="Palatino Linotype" w:hAnsi="Palatino Linotype" w:cs="Palatino Linotype"/>
          <w:i/>
          <w:lang w:val="es-MX"/>
        </w:rPr>
        <w:t xml:space="preserve">De acuerdo a nuestra legislación, el derecho a los alimentos no sólo se comprende el acceso a los productos para la nutrición y alimentación sino también lo relativo </w:t>
      </w:r>
      <w:r w:rsidRPr="00D465A1">
        <w:rPr>
          <w:rFonts w:ascii="Palatino Linotype" w:eastAsia="Palatino Linotype" w:hAnsi="Palatino Linotype" w:cs="Palatino Linotype"/>
          <w:i/>
          <w:lang w:val="es-MX"/>
        </w:rPr>
        <w:lastRenderedPageBreak/>
        <w:t>a la educación, vivienda, vestido, asistencia médica, recreación, entre otros; aspectos todos que permiten o posibilitan el desarrollo integral de las personas.</w:t>
      </w:r>
    </w:p>
    <w:p w:rsidR="00D465A1" w:rsidRPr="00D465A1" w:rsidRDefault="00D465A1" w:rsidP="00D465A1">
      <w:pPr>
        <w:spacing w:before="120" w:after="120" w:line="240" w:lineRule="auto"/>
        <w:ind w:left="851" w:right="992"/>
        <w:jc w:val="both"/>
        <w:rPr>
          <w:rFonts w:ascii="Palatino Linotype" w:eastAsia="Palatino Linotype" w:hAnsi="Palatino Linotype" w:cs="Palatino Linotype"/>
          <w:i/>
          <w:lang w:val="es-MX"/>
        </w:rPr>
      </w:pPr>
      <w:r w:rsidRPr="00D465A1">
        <w:rPr>
          <w:rFonts w:ascii="Palatino Linotype" w:eastAsia="Palatino Linotype" w:hAnsi="Palatino Linotype" w:cs="Palatino Linotype"/>
          <w:i/>
          <w:lang w:val="es-MX"/>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sidRPr="00D465A1">
        <w:rPr>
          <w:rFonts w:ascii="Palatino Linotype" w:eastAsia="Palatino Linotype" w:hAnsi="Palatino Linotype" w:cs="Palatino Linotype"/>
          <w:i/>
          <w:lang w:val="es-MX"/>
        </w:rPr>
        <w:t>eluden</w:t>
      </w:r>
      <w:proofErr w:type="gramEnd"/>
      <w:r w:rsidRPr="00D465A1">
        <w:rPr>
          <w:rFonts w:ascii="Palatino Linotype" w:eastAsia="Palatino Linotype" w:hAnsi="Palatino Linotype" w:cs="Palatino Linotype"/>
          <w:i/>
          <w:lang w:val="es-MX"/>
        </w:rPr>
        <w:t xml:space="preserve">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D465A1" w:rsidRPr="00D465A1" w:rsidRDefault="00D465A1" w:rsidP="00D465A1">
      <w:pPr>
        <w:spacing w:before="120" w:after="120" w:line="240" w:lineRule="auto"/>
        <w:ind w:left="851" w:right="992"/>
        <w:jc w:val="both"/>
        <w:rPr>
          <w:rFonts w:ascii="Palatino Linotype" w:eastAsia="Palatino Linotype" w:hAnsi="Palatino Linotype" w:cs="Palatino Linotype"/>
          <w:i/>
          <w:lang w:val="es-MX"/>
        </w:rPr>
      </w:pPr>
      <w:r w:rsidRPr="00D465A1">
        <w:rPr>
          <w:rFonts w:ascii="Palatino Linotype" w:eastAsia="Palatino Linotype" w:hAnsi="Palatino Linotype" w:cs="Palatino Linotype"/>
          <w:i/>
          <w:lang w:val="es-MX"/>
        </w:rPr>
        <w:t>Los alimentos tienen carácter preferente a favor de los hijos, sin que pueda eximirse el deudor alimentario de su cumplimiento cuando esté en posibilidades de hacerlo. En el Estado de México,</w:t>
      </w:r>
      <w:r w:rsidRPr="00D465A1">
        <w:rPr>
          <w:rFonts w:ascii="Palatino Linotype" w:eastAsia="Palatino Linotype" w:hAnsi="Palatino Linotype" w:cs="Palatino Linotype"/>
          <w:lang w:val="es-MX"/>
        </w:rPr>
        <w:t xml:space="preserve"> </w:t>
      </w:r>
      <w:r w:rsidRPr="00D465A1">
        <w:rPr>
          <w:rFonts w:ascii="Palatino Linotype" w:eastAsia="Palatino Linotype" w:hAnsi="Palatino Linotype" w:cs="Palatino Linotype"/>
          <w:i/>
          <w:lang w:val="es-MX"/>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D465A1" w:rsidRPr="00D465A1" w:rsidRDefault="00D465A1" w:rsidP="00D465A1">
      <w:pPr>
        <w:spacing w:before="120" w:after="120" w:line="240" w:lineRule="auto"/>
        <w:ind w:left="851" w:right="992"/>
        <w:jc w:val="both"/>
        <w:rPr>
          <w:rFonts w:ascii="Palatino Linotype" w:eastAsia="Palatino Linotype" w:hAnsi="Palatino Linotype" w:cs="Palatino Linotype"/>
          <w:b/>
          <w:i/>
          <w:u w:val="single"/>
          <w:lang w:val="es-MX"/>
        </w:rPr>
      </w:pPr>
      <w:r w:rsidRPr="00D465A1">
        <w:rPr>
          <w:rFonts w:ascii="Palatino Linotype" w:eastAsia="Palatino Linotype" w:hAnsi="Palatino Linotype" w:cs="Palatino Linotype"/>
          <w:i/>
          <w:lang w:val="es-MX"/>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D465A1">
        <w:rPr>
          <w:rFonts w:ascii="Palatino Linotype" w:eastAsia="Palatino Linotype" w:hAnsi="Palatino Linotype" w:cs="Palatino Linotype"/>
          <w:b/>
          <w:i/>
          <w:u w:val="single"/>
          <w:lang w:val="es-MX"/>
        </w:rPr>
        <w:t>con la finalidad de asegurar el cumplimiento de las obligaciones alimentarias que tienen los padres para con sus menores hijos.” (Sic)</w:t>
      </w:r>
    </w:p>
    <w:p w:rsidR="00D465A1" w:rsidRPr="00D465A1" w:rsidRDefault="00D465A1" w:rsidP="00D465A1">
      <w:pPr>
        <w:spacing w:before="120" w:after="120" w:line="240" w:lineRule="auto"/>
        <w:ind w:left="851" w:right="992"/>
        <w:jc w:val="both"/>
        <w:rPr>
          <w:rFonts w:ascii="Palatino Linotype" w:eastAsia="Palatino Linotype" w:hAnsi="Palatino Linotype" w:cs="Palatino Linotype"/>
          <w:i/>
          <w:lang w:val="es-MX"/>
        </w:rPr>
      </w:pPr>
    </w:p>
    <w:p w:rsidR="00D465A1" w:rsidRPr="00D465A1" w:rsidRDefault="00D465A1" w:rsidP="00D465A1">
      <w:pPr>
        <w:spacing w:before="120" w:after="0" w:line="360" w:lineRule="auto"/>
        <w:jc w:val="both"/>
        <w:rPr>
          <w:rFonts w:ascii="Palatino Linotype" w:eastAsia="Palatino Linotype" w:hAnsi="Palatino Linotype" w:cs="Palatino Linotype"/>
          <w:lang w:val="es-MX"/>
        </w:rPr>
      </w:pPr>
      <w:r w:rsidRPr="00D465A1">
        <w:rPr>
          <w:rFonts w:ascii="Palatino Linotype" w:eastAsia="Palatino Linotype" w:hAnsi="Palatino Linotype" w:cs="Palatino Linotype"/>
          <w:lang w:val="es-MX"/>
        </w:rPr>
        <w:lastRenderedPageBreak/>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D465A1" w:rsidRPr="00D465A1" w:rsidRDefault="00D465A1" w:rsidP="00D465A1">
      <w:pPr>
        <w:spacing w:after="0" w:line="360" w:lineRule="auto"/>
        <w:jc w:val="both"/>
        <w:rPr>
          <w:rFonts w:ascii="Palatino Linotype" w:eastAsia="Palatino Linotype" w:hAnsi="Palatino Linotype" w:cs="Palatino Linotype"/>
          <w:lang w:val="es-MX"/>
        </w:rPr>
      </w:pPr>
    </w:p>
    <w:p w:rsidR="00D465A1" w:rsidRPr="00D465A1" w:rsidRDefault="00D465A1" w:rsidP="00D465A1">
      <w:pPr>
        <w:spacing w:after="0" w:line="360" w:lineRule="auto"/>
        <w:jc w:val="both"/>
        <w:rPr>
          <w:rFonts w:ascii="Palatino Linotype" w:eastAsia="Palatino Linotype" w:hAnsi="Palatino Linotype" w:cs="Palatino Linotype"/>
          <w:lang w:val="es-MX"/>
        </w:rPr>
      </w:pPr>
      <w:r w:rsidRPr="00D465A1">
        <w:rPr>
          <w:rFonts w:ascii="Palatino Linotype" w:eastAsia="Palatino Linotype" w:hAnsi="Palatino Linotype" w:cs="Palatino Linotype"/>
          <w:lang w:val="es-MX"/>
        </w:rPr>
        <w:t xml:space="preserve">En este sentido, a consideración de la suscrita lo procedente es clasificar el Certificado de no deudor alimentario moroso como </w:t>
      </w:r>
      <w:r w:rsidRPr="00D465A1">
        <w:rPr>
          <w:rFonts w:ascii="Palatino Linotype" w:eastAsia="Palatino Linotype" w:hAnsi="Palatino Linotype" w:cs="Palatino Linotype"/>
          <w:b/>
          <w:lang w:val="es-MX"/>
        </w:rPr>
        <w:t>información confidencial en su totalidad</w:t>
      </w:r>
      <w:r w:rsidRPr="00D465A1">
        <w:rPr>
          <w:rFonts w:ascii="Palatino Linotype" w:eastAsia="Palatino Linotype" w:hAnsi="Palatino Linotype" w:cs="Palatino Linotype"/>
          <w:lang w:val="es-MX"/>
        </w:rPr>
        <w:t xml:space="preserve"> en términos del artículo 143, fracción I, de la Ley de Transparencia y Acceso a la Información Pública del Estado de México y Municipios.</w:t>
      </w:r>
    </w:p>
    <w:p w:rsidR="00D465A1" w:rsidRPr="00D465A1" w:rsidRDefault="00D465A1" w:rsidP="00D465A1">
      <w:pPr>
        <w:spacing w:after="0" w:line="360" w:lineRule="auto"/>
        <w:jc w:val="both"/>
        <w:rPr>
          <w:rFonts w:ascii="Palatino Linotype" w:eastAsia="Palatino Linotype" w:hAnsi="Palatino Linotype" w:cs="Palatino Linotype"/>
          <w:lang w:val="es-MX"/>
        </w:rPr>
      </w:pPr>
    </w:p>
    <w:p w:rsidR="00D465A1" w:rsidRPr="00D465A1" w:rsidRDefault="00D465A1" w:rsidP="00D465A1">
      <w:pPr>
        <w:spacing w:after="0" w:line="360" w:lineRule="auto"/>
        <w:jc w:val="both"/>
        <w:rPr>
          <w:rFonts w:ascii="Palatino Linotype" w:eastAsia="Palatino Linotype" w:hAnsi="Palatino Linotype" w:cs="Palatino Linotype"/>
          <w:lang w:val="es-MX"/>
        </w:rPr>
      </w:pPr>
      <w:r w:rsidRPr="00D465A1">
        <w:rPr>
          <w:rFonts w:ascii="Palatino Linotype" w:eastAsia="Palatino Linotype" w:hAnsi="Palatino Linotype" w:cs="Palatino Linotype"/>
          <w:lang w:val="es-MX"/>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sidRPr="00D465A1">
        <w:rPr>
          <w:rFonts w:ascii="Palatino Linotype" w:eastAsia="Palatino Linotype" w:hAnsi="Palatino Linotype" w:cs="Palatino Linotype"/>
          <w:b/>
          <w:lang w:val="es-MX"/>
        </w:rPr>
        <w:t xml:space="preserve">Sujeto Obligado, </w:t>
      </w:r>
      <w:r w:rsidRPr="00D465A1">
        <w:rPr>
          <w:rFonts w:ascii="Palatino Linotype" w:eastAsia="Palatino Linotype" w:hAnsi="Palatino Linotype" w:cs="Palatino Linotype"/>
          <w:lang w:val="es-MX"/>
        </w:rPr>
        <w:t>toda vez que la clasificación y la inexistencia no pueden coexistir.</w:t>
      </w:r>
    </w:p>
    <w:p w:rsidR="00D465A1" w:rsidRPr="00D465A1" w:rsidRDefault="00D465A1" w:rsidP="00D465A1">
      <w:pPr>
        <w:spacing w:after="0" w:line="360" w:lineRule="auto"/>
        <w:jc w:val="both"/>
        <w:rPr>
          <w:rFonts w:ascii="Palatino Linotype" w:eastAsia="Palatino Linotype" w:hAnsi="Palatino Linotype" w:cs="Palatino Linotype"/>
          <w:lang w:val="es-MX"/>
        </w:rPr>
      </w:pPr>
    </w:p>
    <w:p w:rsidR="00D465A1" w:rsidRPr="00D465A1" w:rsidRDefault="00D465A1" w:rsidP="00D465A1">
      <w:pPr>
        <w:spacing w:after="0" w:line="360" w:lineRule="auto"/>
        <w:jc w:val="both"/>
        <w:rPr>
          <w:rFonts w:ascii="Palatino Linotype" w:eastAsia="Palatino Linotype" w:hAnsi="Palatino Linotype" w:cs="Palatino Linotype"/>
          <w:lang w:val="es-MX"/>
        </w:rPr>
      </w:pPr>
      <w:r w:rsidRPr="00D465A1">
        <w:rPr>
          <w:rFonts w:ascii="Palatino Linotype" w:eastAsia="Palatino Linotype" w:hAnsi="Palatino Linotype" w:cs="Palatino Linotype"/>
          <w:lang w:val="es-MX"/>
        </w:rPr>
        <w:t xml:space="preserve">A efecto de robustecer lo anterior, sirve de sustento el criterio orientador 29/10 emitido por el Instituto Nacional de Transparencia, Acceso a la Información y Protección de Datos Personales, INAI, el cual refiere lo siguiente: </w:t>
      </w:r>
    </w:p>
    <w:p w:rsidR="00D465A1" w:rsidRPr="00D465A1" w:rsidRDefault="00D465A1" w:rsidP="00D465A1">
      <w:pPr>
        <w:spacing w:after="0" w:line="360" w:lineRule="auto"/>
        <w:jc w:val="both"/>
        <w:rPr>
          <w:rFonts w:ascii="Palatino Linotype" w:eastAsia="Palatino Linotype" w:hAnsi="Palatino Linotype" w:cs="Palatino Linotype"/>
          <w:lang w:val="es-MX"/>
        </w:rPr>
      </w:pPr>
    </w:p>
    <w:p w:rsidR="00D465A1" w:rsidRPr="00D465A1" w:rsidRDefault="00D465A1" w:rsidP="00D465A1">
      <w:pPr>
        <w:tabs>
          <w:tab w:val="left" w:pos="851"/>
        </w:tabs>
        <w:spacing w:after="120" w:line="240" w:lineRule="auto"/>
        <w:ind w:left="851" w:right="902"/>
        <w:jc w:val="both"/>
        <w:rPr>
          <w:rFonts w:ascii="Palatino Linotype" w:eastAsia="Palatino Linotype" w:hAnsi="Palatino Linotype" w:cs="Palatino Linotype"/>
          <w:i/>
          <w:lang w:val="es-MX"/>
        </w:rPr>
      </w:pPr>
      <w:r w:rsidRPr="00D465A1">
        <w:rPr>
          <w:rFonts w:ascii="Palatino Linotype" w:eastAsia="Palatino Linotype" w:hAnsi="Palatino Linotype" w:cs="Palatino Linotype"/>
          <w:i/>
          <w:lang w:val="es-MX"/>
        </w:rPr>
        <w:t xml:space="preserve"> “</w:t>
      </w:r>
      <w:r w:rsidRPr="00D465A1">
        <w:rPr>
          <w:rFonts w:ascii="Palatino Linotype" w:eastAsia="Palatino Linotype" w:hAnsi="Palatino Linotype" w:cs="Palatino Linotype"/>
          <w:b/>
          <w:i/>
          <w:lang w:val="es-MX"/>
        </w:rPr>
        <w:t>La clasificación y la inexistencia de información son conceptos que no pueden coexistir</w:t>
      </w:r>
      <w:r w:rsidRPr="00D465A1">
        <w:rPr>
          <w:rFonts w:ascii="Palatino Linotype" w:eastAsia="Palatino Linotype" w:hAnsi="Palatino Linotype" w:cs="Palatino Linotype"/>
          <w:i/>
          <w:lang w:val="es-MX"/>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w:t>
      </w:r>
      <w:r w:rsidRPr="00D465A1">
        <w:rPr>
          <w:rFonts w:ascii="Palatino Linotype" w:eastAsia="Palatino Linotype" w:hAnsi="Palatino Linotype" w:cs="Palatino Linotype"/>
          <w:i/>
          <w:lang w:val="es-MX"/>
        </w:rPr>
        <w:lastRenderedPageBreak/>
        <w:t xml:space="preserve">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D465A1" w:rsidRPr="004D6E24" w:rsidRDefault="00D465A1" w:rsidP="00D465A1">
      <w:pPr>
        <w:tabs>
          <w:tab w:val="left" w:pos="4962"/>
        </w:tabs>
        <w:spacing w:before="240" w:after="240" w:line="360" w:lineRule="auto"/>
        <w:jc w:val="both"/>
        <w:rPr>
          <w:rFonts w:ascii="Palatino Linotype" w:eastAsia="Palatino Linotype" w:hAnsi="Palatino Linotype" w:cs="Palatino Linotype"/>
          <w:b/>
        </w:rPr>
        <w:sectPr w:rsidR="00D465A1" w:rsidRPr="004D6E24">
          <w:headerReference w:type="default" r:id="rId9"/>
          <w:footerReference w:type="default" r:id="rId10"/>
          <w:pgSz w:w="12240" w:h="15840"/>
          <w:pgMar w:top="2438" w:right="1701" w:bottom="2778" w:left="1701" w:header="1134" w:footer="1134" w:gutter="0"/>
          <w:pgNumType w:start="1"/>
          <w:cols w:space="720"/>
        </w:sectPr>
      </w:pPr>
      <w:r w:rsidRPr="004D6E24">
        <w:rPr>
          <w:rFonts w:ascii="Palatino Linotype" w:eastAsia="Palatino Linotype" w:hAnsi="Palatino Linotype" w:cs="Palatino Linotype"/>
        </w:rPr>
        <w:t xml:space="preserve">Es por las razones antes expuestas que no comparto, en primer término, la publicidad de </w:t>
      </w:r>
      <w:r w:rsidRPr="004D6E24">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sidRPr="004D6E24">
        <w:rPr>
          <w:rFonts w:ascii="Palatino Linotype" w:eastAsia="Palatino Linotype" w:hAnsi="Palatino Linotype" w:cs="Palatino Linotype"/>
        </w:rPr>
        <w:t xml:space="preserve">, y, por otro lado, que se ordene el </w:t>
      </w:r>
      <w:r w:rsidRPr="004D6E24">
        <w:rPr>
          <w:rFonts w:ascii="Palatino Linotype" w:eastAsia="Palatino Linotype" w:hAnsi="Palatino Linotype" w:cs="Palatino Linotype"/>
          <w:b/>
          <w:u w:val="single"/>
        </w:rPr>
        <w:t>certificado de no deudor alimentario</w:t>
      </w:r>
      <w:r w:rsidRPr="004D6E24">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sidRPr="004D6E24">
        <w:rPr>
          <w:rFonts w:ascii="Palatino Linotype" w:eastAsia="Palatino Linotype" w:hAnsi="Palatino Linotype" w:cs="Palatino Linotype"/>
          <w:b/>
        </w:rPr>
        <w:t>Voto particular.</w:t>
      </w:r>
    </w:p>
    <w:p w:rsidR="00FC2A82" w:rsidRPr="004D6E24" w:rsidRDefault="00FC2A82" w:rsidP="00613A17">
      <w:pPr>
        <w:spacing w:after="0" w:line="360" w:lineRule="auto"/>
        <w:jc w:val="both"/>
        <w:rPr>
          <w:rFonts w:ascii="Palatino Linotype" w:eastAsia="Palatino Linotype" w:hAnsi="Palatino Linotype" w:cs="Palatino Linotype"/>
        </w:rPr>
      </w:pPr>
    </w:p>
    <w:p w:rsidR="00FC2A82" w:rsidRPr="004D6E24" w:rsidRDefault="00FC2A82" w:rsidP="00613A17">
      <w:pPr>
        <w:spacing w:after="0" w:line="360" w:lineRule="auto"/>
        <w:jc w:val="both"/>
        <w:rPr>
          <w:rFonts w:ascii="Palatino Linotype" w:eastAsia="Palatino Linotype" w:hAnsi="Palatino Linotype" w:cs="Palatino Linotype"/>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rPr>
      </w:pPr>
      <w:bookmarkStart w:id="3" w:name="_heading=h.2et92p0" w:colFirst="0" w:colLast="0"/>
      <w:bookmarkEnd w:id="3"/>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tabs>
          <w:tab w:val="left" w:pos="851"/>
        </w:tabs>
        <w:spacing w:after="0" w:line="240" w:lineRule="auto"/>
        <w:ind w:right="902"/>
        <w:jc w:val="both"/>
        <w:rPr>
          <w:rFonts w:ascii="Palatino Linotype" w:eastAsia="Palatino Linotype" w:hAnsi="Palatino Linotype" w:cs="Palatino Linotype"/>
          <w:i/>
        </w:rPr>
      </w:pPr>
    </w:p>
    <w:p w:rsidR="00F56FBE" w:rsidRPr="004D6E24" w:rsidRDefault="00F56FBE" w:rsidP="00613A17">
      <w:pPr>
        <w:spacing w:after="0" w:line="360" w:lineRule="auto"/>
        <w:ind w:right="423"/>
        <w:jc w:val="both"/>
        <w:rPr>
          <w:rFonts w:ascii="Palatino Linotype" w:eastAsia="Palatino Linotype" w:hAnsi="Palatino Linotype" w:cs="Palatino Linotype"/>
        </w:rPr>
      </w:pPr>
    </w:p>
    <w:p w:rsidR="0065268B" w:rsidRPr="004D6E24" w:rsidRDefault="0065268B" w:rsidP="00613A17">
      <w:pPr>
        <w:tabs>
          <w:tab w:val="left" w:pos="709"/>
        </w:tabs>
        <w:spacing w:after="0" w:line="360" w:lineRule="auto"/>
        <w:jc w:val="both"/>
        <w:rPr>
          <w:rFonts w:ascii="Palatino Linotype" w:eastAsia="Palatino Linotype" w:hAnsi="Palatino Linotype" w:cs="Palatino Linotype"/>
          <w:b/>
        </w:rPr>
      </w:pPr>
      <w:bookmarkStart w:id="4" w:name="_GoBack"/>
      <w:bookmarkEnd w:id="4"/>
    </w:p>
    <w:sectPr w:rsidR="0065268B" w:rsidRPr="004D6E24">
      <w:headerReference w:type="default" r:id="rId11"/>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CB" w:rsidRDefault="00A93CCB">
      <w:pPr>
        <w:spacing w:after="0" w:line="240" w:lineRule="auto"/>
      </w:pPr>
      <w:r>
        <w:separator/>
      </w:r>
    </w:p>
  </w:endnote>
  <w:endnote w:type="continuationSeparator" w:id="0">
    <w:p w:rsidR="00A93CCB" w:rsidRDefault="00A9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A1" w:rsidRDefault="00D465A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C6BF5">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C6BF5">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p>
  <w:p w:rsidR="00D465A1" w:rsidRDefault="00D465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CB" w:rsidRDefault="00A93CCB">
      <w:pPr>
        <w:spacing w:after="0" w:line="240" w:lineRule="auto"/>
      </w:pPr>
      <w:r>
        <w:separator/>
      </w:r>
    </w:p>
  </w:footnote>
  <w:footnote w:type="continuationSeparator" w:id="0">
    <w:p w:rsidR="00A93CCB" w:rsidRDefault="00A93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A1" w:rsidRDefault="00D465A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61312" behindDoc="1" locked="0" layoutInCell="1" hidden="0" allowOverlap="1" wp14:anchorId="4669AD19" wp14:editId="5F2262EF">
          <wp:simplePos x="0" y="0"/>
          <wp:positionH relativeFrom="column">
            <wp:posOffset>-1080132</wp:posOffset>
          </wp:positionH>
          <wp:positionV relativeFrom="paragraph">
            <wp:posOffset>-631822</wp:posOffset>
          </wp:positionV>
          <wp:extent cx="7510628" cy="9883775"/>
          <wp:effectExtent l="0" t="0" r="0" b="0"/>
          <wp:wrapNone/>
          <wp:docPr id="2716407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B62C5" w:rsidRDefault="00AB62C5" w:rsidP="00AB62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Pr="00AB62C5">
      <w:rPr>
        <w:rFonts w:ascii="Palatino Linotype" w:eastAsia="Palatino Linotype" w:hAnsi="Palatino Linotype" w:cs="Palatino Linotype"/>
        <w:b/>
        <w:color w:val="000000"/>
        <w:sz w:val="20"/>
        <w:szCs w:val="20"/>
      </w:rPr>
      <w:t>0</w:t>
    </w:r>
    <w:r w:rsidR="00525FC6">
      <w:rPr>
        <w:rFonts w:ascii="Palatino Linotype" w:eastAsia="Palatino Linotype" w:hAnsi="Palatino Linotype" w:cs="Palatino Linotype"/>
        <w:b/>
        <w:color w:val="000000"/>
        <w:sz w:val="20"/>
        <w:szCs w:val="20"/>
      </w:rPr>
      <w:t>4756</w:t>
    </w:r>
    <w:r w:rsidRPr="00AB62C5">
      <w:rPr>
        <w:rFonts w:ascii="Palatino Linotype" w:eastAsia="Palatino Linotype" w:hAnsi="Palatino Linotype" w:cs="Palatino Linotype"/>
        <w:b/>
        <w:color w:val="000000"/>
        <w:sz w:val="20"/>
        <w:szCs w:val="20"/>
      </w:rPr>
      <w:t>/INFOEM/IP/RR/202</w:t>
    </w:r>
    <w:r w:rsidR="00525FC6">
      <w:rPr>
        <w:rFonts w:ascii="Palatino Linotype" w:eastAsia="Palatino Linotype" w:hAnsi="Palatino Linotype" w:cs="Palatino Linotype"/>
        <w:b/>
        <w:color w:val="000000"/>
        <w:sz w:val="20"/>
        <w:szCs w:val="20"/>
      </w:rPr>
      <w:t>4</w:t>
    </w:r>
  </w:p>
  <w:p w:rsidR="00AB62C5" w:rsidRDefault="00AB62C5" w:rsidP="00AB62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525FC6">
      <w:rPr>
        <w:rFonts w:ascii="Palatino Linotype" w:eastAsia="Palatino Linotype" w:hAnsi="Palatino Linotype" w:cs="Palatino Linotype"/>
        <w:b/>
        <w:color w:val="000000"/>
        <w:sz w:val="20"/>
        <w:szCs w:val="20"/>
        <w:lang w:val="es-ES_tradnl"/>
      </w:rPr>
      <w:t>Poder Judicial</w:t>
    </w:r>
  </w:p>
  <w:p w:rsidR="00D465A1" w:rsidRDefault="00AB62C5" w:rsidP="00AB62C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w:t>
    </w:r>
    <w:r w:rsidR="00525FC6">
      <w:rPr>
        <w:rFonts w:ascii="Palatino Linotype" w:eastAsia="Palatino Linotype" w:hAnsi="Palatino Linotype" w:cs="Palatino Linotype"/>
        <w:b/>
        <w:color w:val="000000"/>
        <w:sz w:val="20"/>
        <w:szCs w:val="20"/>
      </w:rPr>
      <w:t>o</w:t>
    </w:r>
    <w:r>
      <w:rPr>
        <w:rFonts w:ascii="Palatino Linotype" w:eastAsia="Palatino Linotype" w:hAnsi="Palatino Linotype" w:cs="Palatino Linotype"/>
        <w:b/>
        <w:color w:val="000000"/>
        <w:sz w:val="20"/>
        <w:szCs w:val="20"/>
      </w:rPr>
      <w:t xml:space="preserve"> Ponente</w:t>
    </w:r>
    <w:r w:rsidR="006F7E15">
      <w:rPr>
        <w:rFonts w:ascii="Palatino Linotype" w:eastAsia="Palatino Linotype" w:hAnsi="Palatino Linotype" w:cs="Palatino Linotype"/>
        <w:b/>
        <w:color w:val="000000"/>
        <w:sz w:val="20"/>
        <w:szCs w:val="20"/>
      </w:rPr>
      <w:t>:</w:t>
    </w:r>
    <w:r w:rsidR="006F7E15" w:rsidRPr="006F7E15">
      <w:t xml:space="preserve"> </w:t>
    </w:r>
    <w:r w:rsidR="003212A1">
      <w:rPr>
        <w:rFonts w:ascii="Palatino Linotype" w:eastAsia="Palatino Linotype" w:hAnsi="Palatino Linotype" w:cs="Palatino Linotype"/>
        <w:b/>
        <w:color w:val="000000"/>
        <w:sz w:val="20"/>
        <w:szCs w:val="20"/>
      </w:rPr>
      <w:t>Luis Gustavo Parra Noriega</w:t>
    </w:r>
    <w:r w:rsidR="006F7E15">
      <w:rPr>
        <w:rFonts w:ascii="Palatino Linotype" w:eastAsia="Palatino Linotype" w:hAnsi="Palatino Linotype" w:cs="Palatino Linotype"/>
        <w:b/>
        <w:color w:val="000000"/>
        <w:sz w:val="20"/>
        <w:szCs w:val="20"/>
      </w:rPr>
      <w:t xml:space="preserve"> </w:t>
    </w:r>
    <w:r w:rsidRPr="00AB62C5">
      <w:t xml:space="preserve"> </w:t>
    </w:r>
  </w:p>
  <w:p w:rsidR="00D465A1" w:rsidRDefault="00D465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BE" w:rsidRDefault="00F56FBE" w:rsidP="00F56F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lang w:val="es-MX"/>
      </w:rPr>
      <w:drawing>
        <wp:anchor distT="0" distB="0" distL="0" distR="0" simplePos="0" relativeHeight="251659264" behindDoc="1" locked="0" layoutInCell="1" hidden="0" allowOverlap="1">
          <wp:simplePos x="0" y="0"/>
          <wp:positionH relativeFrom="page">
            <wp:align>center</wp:align>
          </wp:positionH>
          <wp:positionV relativeFrom="paragraph">
            <wp:posOffset>-235585</wp:posOffset>
          </wp:positionV>
          <wp:extent cx="7521053" cy="9897494"/>
          <wp:effectExtent l="0" t="0" r="3810" b="8890"/>
          <wp:wrapNone/>
          <wp:docPr id="2716407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r w:rsidRPr="00F56FBE">
      <w:rPr>
        <w:rFonts w:ascii="Palatino Linotype" w:eastAsia="Palatino Linotype" w:hAnsi="Palatino Linotype" w:cs="Palatino Linotype"/>
        <w:b/>
        <w:color w:val="000000"/>
        <w:sz w:val="20"/>
        <w:szCs w:val="20"/>
      </w:rPr>
      <w:t>VOTO PARTICULAR</w:t>
    </w:r>
    <w:r>
      <w:rPr>
        <w:rFonts w:ascii="Palatino Linotype" w:eastAsia="Palatino Linotype" w:hAnsi="Palatino Linotype" w:cs="Palatino Linotype"/>
        <w:b/>
        <w:color w:val="000000"/>
        <w:sz w:val="20"/>
        <w:szCs w:val="20"/>
      </w:rPr>
      <w:t xml:space="preserve"> </w:t>
    </w:r>
  </w:p>
  <w:p w:rsidR="00525FC6" w:rsidRDefault="00F56FBE" w:rsidP="00525FC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6260EA">
      <w:rPr>
        <w:rFonts w:ascii="Palatino Linotype" w:eastAsia="Palatino Linotype" w:hAnsi="Palatino Linotype" w:cs="Palatino Linotype"/>
        <w:b/>
        <w:color w:val="000000"/>
        <w:sz w:val="20"/>
        <w:szCs w:val="20"/>
      </w:rPr>
      <w:t xml:space="preserve">Recurso de Revisión: </w:t>
    </w:r>
    <w:r w:rsidR="00525FC6" w:rsidRPr="00AB62C5">
      <w:rPr>
        <w:rFonts w:ascii="Palatino Linotype" w:eastAsia="Palatino Linotype" w:hAnsi="Palatino Linotype" w:cs="Palatino Linotype"/>
        <w:b/>
        <w:color w:val="000000"/>
        <w:sz w:val="20"/>
        <w:szCs w:val="20"/>
      </w:rPr>
      <w:t>0</w:t>
    </w:r>
    <w:r w:rsidR="00525FC6">
      <w:rPr>
        <w:rFonts w:ascii="Palatino Linotype" w:eastAsia="Palatino Linotype" w:hAnsi="Palatino Linotype" w:cs="Palatino Linotype"/>
        <w:b/>
        <w:color w:val="000000"/>
        <w:sz w:val="20"/>
        <w:szCs w:val="20"/>
      </w:rPr>
      <w:t>4756</w:t>
    </w:r>
    <w:r w:rsidR="00525FC6" w:rsidRPr="00AB62C5">
      <w:rPr>
        <w:rFonts w:ascii="Palatino Linotype" w:eastAsia="Palatino Linotype" w:hAnsi="Palatino Linotype" w:cs="Palatino Linotype"/>
        <w:b/>
        <w:color w:val="000000"/>
        <w:sz w:val="20"/>
        <w:szCs w:val="20"/>
      </w:rPr>
      <w:t>/INFOEM/IP/RR/202</w:t>
    </w:r>
    <w:r w:rsidR="00525FC6">
      <w:rPr>
        <w:rFonts w:ascii="Palatino Linotype" w:eastAsia="Palatino Linotype" w:hAnsi="Palatino Linotype" w:cs="Palatino Linotype"/>
        <w:b/>
        <w:color w:val="000000"/>
        <w:sz w:val="20"/>
        <w:szCs w:val="20"/>
      </w:rPr>
      <w:t>4</w:t>
    </w:r>
  </w:p>
  <w:p w:rsidR="00525FC6" w:rsidRDefault="00525FC6" w:rsidP="00525FC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Pr>
        <w:rFonts w:ascii="Palatino Linotype" w:eastAsia="Palatino Linotype" w:hAnsi="Palatino Linotype" w:cs="Palatino Linotype"/>
        <w:b/>
        <w:color w:val="000000"/>
        <w:sz w:val="20"/>
        <w:szCs w:val="20"/>
        <w:lang w:val="es-ES_tradnl"/>
      </w:rPr>
      <w:t>Poder Judicial</w:t>
    </w:r>
  </w:p>
  <w:p w:rsidR="006260EA" w:rsidRDefault="00525FC6" w:rsidP="00525FC6">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Comisionado Ponente:</w:t>
    </w:r>
    <w:r w:rsidRPr="006F7E15">
      <w:t xml:space="preserve"> </w:t>
    </w:r>
    <w:r>
      <w:rPr>
        <w:rFonts w:ascii="Palatino Linotype" w:eastAsia="Palatino Linotype" w:hAnsi="Palatino Linotype" w:cs="Palatino Linotype"/>
        <w:b/>
        <w:color w:val="000000"/>
        <w:sz w:val="20"/>
        <w:szCs w:val="20"/>
      </w:rPr>
      <w:t>Luis Gustavo Parra Noriega</w:t>
    </w:r>
    <w:r w:rsidR="006260EA">
      <w:rPr>
        <w:rFonts w:ascii="Palatino Linotype" w:eastAsia="Palatino Linotype" w:hAnsi="Palatino Linotype" w:cs="Palatino Linotype"/>
        <w:b/>
        <w:color w:val="000000"/>
        <w:sz w:val="20"/>
        <w:szCs w:val="20"/>
      </w:rPr>
      <w:t xml:space="preserve"> </w:t>
    </w:r>
    <w:r w:rsidR="006260EA" w:rsidRPr="00AB62C5">
      <w:t xml:space="preserve"> </w:t>
    </w:r>
  </w:p>
  <w:p w:rsidR="0065268B" w:rsidRDefault="0065268B" w:rsidP="006260EA">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p>
  <w:p w:rsidR="0065268B" w:rsidRDefault="0065268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5268B" w:rsidRDefault="006526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6C4"/>
    <w:multiLevelType w:val="multilevel"/>
    <w:tmpl w:val="5D40D888"/>
    <w:lvl w:ilvl="0">
      <w:start w:val="1"/>
      <w:numFmt w:val="bullet"/>
      <w:lvlText w:val="●"/>
      <w:lvlJc w:val="left"/>
      <w:pPr>
        <w:ind w:left="567" w:hanging="360"/>
      </w:pPr>
      <w:rPr>
        <w:rFonts w:ascii="Noto Sans Symbols" w:eastAsia="Noto Sans Symbols" w:hAnsi="Noto Sans Symbols" w:cs="Noto Sans Symbols"/>
      </w:rPr>
    </w:lvl>
    <w:lvl w:ilvl="1">
      <w:start w:val="1"/>
      <w:numFmt w:val="bullet"/>
      <w:lvlText w:val="o"/>
      <w:lvlJc w:val="left"/>
      <w:pPr>
        <w:ind w:left="1287" w:hanging="360"/>
      </w:pPr>
      <w:rPr>
        <w:rFonts w:ascii="Courier New" w:eastAsia="Courier New" w:hAnsi="Courier New" w:cs="Courier New"/>
      </w:rPr>
    </w:lvl>
    <w:lvl w:ilvl="2">
      <w:start w:val="1"/>
      <w:numFmt w:val="bullet"/>
      <w:lvlText w:val="▪"/>
      <w:lvlJc w:val="left"/>
      <w:pPr>
        <w:ind w:left="2007" w:hanging="360"/>
      </w:pPr>
      <w:rPr>
        <w:rFonts w:ascii="Noto Sans Symbols" w:eastAsia="Noto Sans Symbols" w:hAnsi="Noto Sans Symbols" w:cs="Noto Sans Symbols"/>
      </w:rPr>
    </w:lvl>
    <w:lvl w:ilvl="3">
      <w:start w:val="1"/>
      <w:numFmt w:val="bullet"/>
      <w:lvlText w:val="●"/>
      <w:lvlJc w:val="left"/>
      <w:pPr>
        <w:ind w:left="2727" w:hanging="360"/>
      </w:pPr>
      <w:rPr>
        <w:rFonts w:ascii="Noto Sans Symbols" w:eastAsia="Noto Sans Symbols" w:hAnsi="Noto Sans Symbols" w:cs="Noto Sans Symbols"/>
      </w:rPr>
    </w:lvl>
    <w:lvl w:ilvl="4">
      <w:start w:val="1"/>
      <w:numFmt w:val="bullet"/>
      <w:lvlText w:val="o"/>
      <w:lvlJc w:val="left"/>
      <w:pPr>
        <w:ind w:left="3447" w:hanging="360"/>
      </w:pPr>
      <w:rPr>
        <w:rFonts w:ascii="Courier New" w:eastAsia="Courier New" w:hAnsi="Courier New" w:cs="Courier New"/>
      </w:rPr>
    </w:lvl>
    <w:lvl w:ilvl="5">
      <w:start w:val="1"/>
      <w:numFmt w:val="bullet"/>
      <w:lvlText w:val="▪"/>
      <w:lvlJc w:val="left"/>
      <w:pPr>
        <w:ind w:left="4167" w:hanging="360"/>
      </w:pPr>
      <w:rPr>
        <w:rFonts w:ascii="Noto Sans Symbols" w:eastAsia="Noto Sans Symbols" w:hAnsi="Noto Sans Symbols" w:cs="Noto Sans Symbols"/>
      </w:rPr>
    </w:lvl>
    <w:lvl w:ilvl="6">
      <w:start w:val="1"/>
      <w:numFmt w:val="bullet"/>
      <w:lvlText w:val="●"/>
      <w:lvlJc w:val="left"/>
      <w:pPr>
        <w:ind w:left="4887" w:hanging="360"/>
      </w:pPr>
      <w:rPr>
        <w:rFonts w:ascii="Noto Sans Symbols" w:eastAsia="Noto Sans Symbols" w:hAnsi="Noto Sans Symbols" w:cs="Noto Sans Symbols"/>
      </w:rPr>
    </w:lvl>
    <w:lvl w:ilvl="7">
      <w:start w:val="1"/>
      <w:numFmt w:val="bullet"/>
      <w:lvlText w:val="o"/>
      <w:lvlJc w:val="left"/>
      <w:pPr>
        <w:ind w:left="5607" w:hanging="360"/>
      </w:pPr>
      <w:rPr>
        <w:rFonts w:ascii="Courier New" w:eastAsia="Courier New" w:hAnsi="Courier New" w:cs="Courier New"/>
      </w:rPr>
    </w:lvl>
    <w:lvl w:ilvl="8">
      <w:start w:val="1"/>
      <w:numFmt w:val="bullet"/>
      <w:lvlText w:val="▪"/>
      <w:lvlJc w:val="left"/>
      <w:pPr>
        <w:ind w:left="6327" w:hanging="360"/>
      </w:pPr>
      <w:rPr>
        <w:rFonts w:ascii="Noto Sans Symbols" w:eastAsia="Noto Sans Symbols" w:hAnsi="Noto Sans Symbols" w:cs="Noto Sans Symbols"/>
      </w:rPr>
    </w:lvl>
  </w:abstractNum>
  <w:abstractNum w:abstractNumId="1" w15:restartNumberingAfterBreak="0">
    <w:nsid w:val="17D45945"/>
    <w:multiLevelType w:val="multilevel"/>
    <w:tmpl w:val="B34CE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B7371"/>
    <w:multiLevelType w:val="hybridMultilevel"/>
    <w:tmpl w:val="53CAFD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83172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4901C6"/>
    <w:multiLevelType w:val="multilevel"/>
    <w:tmpl w:val="6A189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402A52"/>
    <w:multiLevelType w:val="multilevel"/>
    <w:tmpl w:val="9E56C8F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9D54BA"/>
    <w:multiLevelType w:val="multilevel"/>
    <w:tmpl w:val="50F893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4E444EA5"/>
    <w:multiLevelType w:val="multilevel"/>
    <w:tmpl w:val="B34CE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6767B"/>
    <w:multiLevelType w:val="multilevel"/>
    <w:tmpl w:val="3C62D94A"/>
    <w:lvl w:ilvl="0">
      <w:start w:val="1"/>
      <w:numFmt w:val="decimal"/>
      <w:lvlText w:val="%1."/>
      <w:lvlJc w:val="left"/>
      <w:pPr>
        <w:ind w:left="72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0"/>
  </w:num>
  <w:num w:numId="4">
    <w:abstractNumId w:val="5"/>
  </w:num>
  <w:num w:numId="5">
    <w:abstractNumId w:val="10"/>
  </w:num>
  <w:num w:numId="6">
    <w:abstractNumId w:val="7"/>
  </w:num>
  <w:num w:numId="7">
    <w:abstractNumId w:val="2"/>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8B"/>
    <w:rsid w:val="0002246C"/>
    <w:rsid w:val="00091357"/>
    <w:rsid w:val="000E173F"/>
    <w:rsid w:val="000E2357"/>
    <w:rsid w:val="002405E4"/>
    <w:rsid w:val="002819E9"/>
    <w:rsid w:val="002B7BBC"/>
    <w:rsid w:val="002D49AD"/>
    <w:rsid w:val="003212A1"/>
    <w:rsid w:val="003D7F26"/>
    <w:rsid w:val="003E0F29"/>
    <w:rsid w:val="00424501"/>
    <w:rsid w:val="00443F7B"/>
    <w:rsid w:val="004679DD"/>
    <w:rsid w:val="004919D2"/>
    <w:rsid w:val="004D6E24"/>
    <w:rsid w:val="00504AC2"/>
    <w:rsid w:val="00525FC6"/>
    <w:rsid w:val="005414D2"/>
    <w:rsid w:val="005A021B"/>
    <w:rsid w:val="005C711E"/>
    <w:rsid w:val="00613A17"/>
    <w:rsid w:val="00621EC6"/>
    <w:rsid w:val="006260EA"/>
    <w:rsid w:val="0065268B"/>
    <w:rsid w:val="00697DB7"/>
    <w:rsid w:val="006B7855"/>
    <w:rsid w:val="006C1C35"/>
    <w:rsid w:val="006F7E15"/>
    <w:rsid w:val="007E712A"/>
    <w:rsid w:val="00817287"/>
    <w:rsid w:val="00877941"/>
    <w:rsid w:val="008E2A4C"/>
    <w:rsid w:val="00903F2A"/>
    <w:rsid w:val="009E78A8"/>
    <w:rsid w:val="00A93CCB"/>
    <w:rsid w:val="00AB62C5"/>
    <w:rsid w:val="00AF6649"/>
    <w:rsid w:val="00B338E6"/>
    <w:rsid w:val="00C93317"/>
    <w:rsid w:val="00CB69EB"/>
    <w:rsid w:val="00CC598B"/>
    <w:rsid w:val="00D465A1"/>
    <w:rsid w:val="00D71DAC"/>
    <w:rsid w:val="00E07331"/>
    <w:rsid w:val="00E27C8C"/>
    <w:rsid w:val="00E44F76"/>
    <w:rsid w:val="00E91CF4"/>
    <w:rsid w:val="00E944D6"/>
    <w:rsid w:val="00EC6BF5"/>
    <w:rsid w:val="00F56FBE"/>
    <w:rsid w:val="00F64E9B"/>
    <w:rsid w:val="00FA1307"/>
    <w:rsid w:val="00FC2A82"/>
    <w:rsid w:val="00FC2D61"/>
    <w:rsid w:val="00FF0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9514E-4EE4-4B98-8F23-9805FAAD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lcu3EHdQY8RsMOrTzgJ1ILb8w==">CgMxLjAyCGguZ2pkZ3hzMgloLjFmb2I5dGUyCWguMzBqMHpsbDIIaC50eWpjd3QyCWguMmV0OTJwMDIOaC5zZXpuazB2M2t3ZHAyCWguMXQzaDVzZjIOaC54ZXpyMG9rZDU3dG4yCWguM3pueXNoNzgAciExR19CLVBwN25NOC1VVHVwb0Y2aUViTGU1LVFybkc2Szg=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2738</Words>
  <Characters>15064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2024-11-08T17:50:00Z</cp:lastPrinted>
  <dcterms:created xsi:type="dcterms:W3CDTF">2024-11-08T17:49:00Z</dcterms:created>
  <dcterms:modified xsi:type="dcterms:W3CDTF">2024-11-08T17:50:00Z</dcterms:modified>
</cp:coreProperties>
</file>