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9B" w:rsidRDefault="00B8093B">
      <w:pPr>
        <w:widowControl w:val="0"/>
        <w:pBdr>
          <w:top w:val="nil"/>
          <w:left w:val="nil"/>
          <w:bottom w:val="nil"/>
          <w:right w:val="nil"/>
          <w:between w:val="nil"/>
        </w:pBdr>
        <w:spacing w:after="0" w:line="276" w:lineRule="auto"/>
      </w:pPr>
      <w:r>
        <w:pict w14:anchorId="0429F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7216;visibility:hidden">
            <o:lock v:ext="edit" selection="t"/>
          </v:shape>
        </w:pict>
      </w:r>
      <w:r>
        <w:pict w14:anchorId="58415D65">
          <v:shape id="_x0000_s1028" type="#_x0000_t136" style="position:absolute;margin-left:0;margin-top:0;width:50pt;height:50pt;z-index:251658240;visibility:hidden">
            <o:lock v:ext="edit" selection="t"/>
          </v:shape>
        </w:pict>
      </w:r>
      <w:r>
        <w:pict w14:anchorId="0EF33E73">
          <v:shape id="_x0000_s1027" type="#_x0000_t136" style="position:absolute;margin-left:0;margin-top:0;width:50pt;height:50pt;z-index:251659264;visibility:hidden">
            <o:lock v:ext="edit" selection="t"/>
          </v:shape>
        </w:pict>
      </w:r>
      <w:r>
        <w:pict w14:anchorId="78A28242">
          <v:shape id="_x0000_s1026" type="#_x0000_t136" style="position:absolute;margin-left:0;margin-top:0;width:50pt;height:50pt;z-index:251660288;visibility:hidden">
            <o:lock v:ext="edit" selection="t"/>
          </v:shape>
        </w:pict>
      </w:r>
    </w:p>
    <w:p w:rsidR="0018039B" w:rsidRDefault="00B8093B">
      <w:pPr>
        <w:widowControl w:val="0"/>
        <w:pBdr>
          <w:top w:val="nil"/>
          <w:left w:val="nil"/>
          <w:bottom w:val="nil"/>
          <w:right w:val="nil"/>
          <w:between w:val="nil"/>
        </w:pBdr>
        <w:spacing w:after="0" w:line="360" w:lineRule="auto"/>
        <w:jc w:val="both"/>
      </w:pPr>
      <w:r>
        <w:rPr>
          <w:rFonts w:ascii="Palatino Linotype" w:eastAsia="Palatino Linotype" w:hAnsi="Palatino Linotype" w:cs="Palatino Linotype"/>
          <w:b/>
        </w:rPr>
        <w:t>V</w:t>
      </w:r>
      <w:r>
        <w:rPr>
          <w:rFonts w:ascii="Palatino Linotype" w:eastAsia="Palatino Linotype" w:hAnsi="Palatino Linotype" w:cs="Palatino Linotype"/>
          <w:b/>
        </w:rPr>
        <w:t>OTO PARTICULAR QUE FORMULA LA COMISIONADA GUADALUPE RAMÍREZ PEÑA EN RELACIÓN CON LA RESOLUCIÓN DICTADA POR EL PLENO DEL INSTITUTO DE TRANSPARENCIA, ACCESO A LA INFORMACIÓN PÚBLICA Y PROTECCIÓN DE DATOS PERSONALES DEL ESTADO DE MÉXICO Y MUNICIPIOS, EN LA TR</w:t>
      </w:r>
      <w:r>
        <w:rPr>
          <w:rFonts w:ascii="Palatino Linotype" w:eastAsia="Palatino Linotype" w:hAnsi="Palatino Linotype" w:cs="Palatino Linotype"/>
          <w:b/>
        </w:rPr>
        <w:t>IGÉSIMA QUINTA SESIÓN ORDINARIA DEL TRES DE OCTUBRE DE DOS MIL VEINTICUATRO, EN LO RELATIVO AL RECURSO DE REVISIÓN 03330/INFOEM/IP/RR/2024.</w:t>
      </w:r>
    </w:p>
    <w:p w:rsidR="0018039B" w:rsidRDefault="00B8093B">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w:t>
      </w:r>
      <w:r>
        <w:rPr>
          <w:rFonts w:ascii="Palatino Linotype" w:eastAsia="Palatino Linotype" w:hAnsi="Palatino Linotype" w:cs="Palatino Linotype"/>
        </w:rPr>
        <w:t xml:space="preserve"> de México y Municipios, aprobó por unanimidad de votos, la resolución relativa </w:t>
      </w:r>
      <w:r>
        <w:rPr>
          <w:rFonts w:ascii="Palatino Linotype" w:eastAsia="Palatino Linotype" w:hAnsi="Palatino Linotype" w:cs="Palatino Linotype"/>
          <w:color w:val="000000"/>
        </w:rPr>
        <w:t xml:space="preserve">al recurso </w:t>
      </w:r>
      <w:r>
        <w:rPr>
          <w:rFonts w:ascii="Palatino Linotype" w:eastAsia="Palatino Linotype" w:hAnsi="Palatino Linotype" w:cs="Palatino Linotype"/>
        </w:rPr>
        <w:t xml:space="preserve">de revisión </w:t>
      </w:r>
      <w:r>
        <w:rPr>
          <w:rFonts w:ascii="Palatino Linotype" w:eastAsia="Palatino Linotype" w:hAnsi="Palatino Linotype" w:cs="Palatino Linotype"/>
          <w:b/>
        </w:rPr>
        <w:t>03330/INFOEM/IP/RR/2024</w:t>
      </w:r>
      <w:r>
        <w:rPr>
          <w:rFonts w:ascii="Palatino Linotype" w:eastAsia="Palatino Linotype" w:hAnsi="Palatino Linotype" w:cs="Palatino Linotype"/>
        </w:rPr>
        <w:t xml:space="preserve">, presentada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respecto de la cual, la suscrita formula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 con f</w:t>
      </w:r>
      <w:r>
        <w:rPr>
          <w:rFonts w:ascii="Palatino Linotype" w:eastAsia="Palatino Linotype" w:hAnsi="Palatino Linotype" w:cs="Palatino Linotype"/>
        </w:rPr>
        <w:t>undamento en el artículo 14 fracción XI del Reglamento Interior del Instituto de Transparencia, Acceso a la Información Pública y Protección de Datos Personales del Estado de México y Municipios.</w:t>
      </w:r>
    </w:p>
    <w:p w:rsidR="0018039B" w:rsidRDefault="00B8093B">
      <w:pPr>
        <w:spacing w:before="240"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rPr>
        <w:t>Es preciso señalar que respecto al estudio realizado en la r</w:t>
      </w:r>
      <w:r>
        <w:rPr>
          <w:rFonts w:ascii="Palatino Linotype" w:eastAsia="Palatino Linotype" w:hAnsi="Palatino Linotype" w:cs="Palatino Linotype"/>
        </w:rPr>
        <w:t xml:space="preserve">esolución emitida resulta necesario destacar ciertas consideraciones de hecho y derecho que debieron ser valoradas. </w:t>
      </w:r>
      <w:r>
        <w:rPr>
          <w:rFonts w:ascii="Palatino Linotype" w:eastAsia="Palatino Linotype" w:hAnsi="Palatino Linotype" w:cs="Palatino Linotype"/>
          <w:b/>
          <w:color w:val="000000"/>
        </w:rPr>
        <w:t xml:space="preserve"> </w:t>
      </w:r>
    </w:p>
    <w:p w:rsidR="0018039B" w:rsidRDefault="00B8093B">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Antecedentes</w:t>
      </w:r>
    </w:p>
    <w:p w:rsidR="0018039B" w:rsidRDefault="00B8093B">
      <w:pPr>
        <w:pBdr>
          <w:top w:val="nil"/>
          <w:left w:val="nil"/>
          <w:bottom w:val="nil"/>
          <w:right w:val="nil"/>
          <w:between w:val="nil"/>
        </w:pBdr>
        <w:spacing w:after="240"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En primera instancia, debe precisarse que la parte Recurrente requirió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le proporcionara </w:t>
      </w:r>
      <w:r>
        <w:rPr>
          <w:rFonts w:ascii="Palatino Linotype" w:eastAsia="Palatino Linotype" w:hAnsi="Palatino Linotype" w:cs="Palatino Linotype"/>
          <w:b/>
          <w:color w:val="000000"/>
          <w:u w:val="single"/>
        </w:rPr>
        <w:t>los convenios o a</w:t>
      </w:r>
      <w:r>
        <w:rPr>
          <w:rFonts w:ascii="Palatino Linotype" w:eastAsia="Palatino Linotype" w:hAnsi="Palatino Linotype" w:cs="Palatino Linotype"/>
          <w:b/>
          <w:color w:val="000000"/>
          <w:u w:val="single"/>
        </w:rPr>
        <w:t>cuerdos que suscribió el COPLADEM</w:t>
      </w:r>
      <w:r>
        <w:rPr>
          <w:rFonts w:ascii="Palatino Linotype" w:eastAsia="Palatino Linotype" w:hAnsi="Palatino Linotype" w:cs="Palatino Linotype"/>
          <w:color w:val="000000"/>
        </w:rPr>
        <w:t xml:space="preserve"> con instituciones, dependencias, instituciones académicas y organizaciones; así como también </w:t>
      </w:r>
      <w:r>
        <w:rPr>
          <w:rFonts w:ascii="Palatino Linotype" w:eastAsia="Palatino Linotype" w:hAnsi="Palatino Linotype" w:cs="Palatino Linotype"/>
          <w:b/>
          <w:color w:val="000000"/>
          <w:u w:val="single"/>
        </w:rPr>
        <w:t xml:space="preserve">los documentos </w:t>
      </w:r>
      <w:r>
        <w:rPr>
          <w:rFonts w:ascii="Palatino Linotype" w:eastAsia="Palatino Linotype" w:hAnsi="Palatino Linotype" w:cs="Palatino Linotype"/>
          <w:b/>
          <w:color w:val="000000"/>
          <w:u w:val="single"/>
        </w:rPr>
        <w:lastRenderedPageBreak/>
        <w:t>que acrediten el cumplimiento del objeto de cada uno de los convenios o acuerdos</w:t>
      </w:r>
      <w:r>
        <w:rPr>
          <w:rFonts w:ascii="Palatino Linotype" w:eastAsia="Palatino Linotype" w:hAnsi="Palatino Linotype" w:cs="Palatino Linotype"/>
          <w:color w:val="000000"/>
        </w:rPr>
        <w:t xml:space="preserve"> del año 2019, 2020, 2021, 2022 y </w:t>
      </w:r>
      <w:r>
        <w:rPr>
          <w:rFonts w:ascii="Palatino Linotype" w:eastAsia="Palatino Linotype" w:hAnsi="Palatino Linotype" w:cs="Palatino Linotype"/>
          <w:color w:val="000000"/>
        </w:rPr>
        <w:t>2023</w:t>
      </w:r>
      <w:r>
        <w:rPr>
          <w:rFonts w:ascii="Palatino Linotype" w:eastAsia="Palatino Linotype" w:hAnsi="Palatino Linotype" w:cs="Palatino Linotype"/>
          <w:b/>
          <w:color w:val="000000"/>
        </w:rPr>
        <w:t>.</w:t>
      </w:r>
    </w:p>
    <w:p w:rsidR="0018039B" w:rsidRDefault="00B8093B">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 precisar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respondió al solicitante que la documentación compete a la que obra en los archivos de la Unidad Jurídica y de Igualdad de Género, por lo que los datos solicitados se encuentran disponibles en el portal de Inform</w:t>
      </w:r>
      <w:r>
        <w:rPr>
          <w:rFonts w:ascii="Palatino Linotype" w:eastAsia="Palatino Linotype" w:hAnsi="Palatino Linotype" w:cs="Palatino Linotype"/>
        </w:rPr>
        <w:t xml:space="preserve">ación Pública de Oficio Mexiquense (IPOMEX), en específico, en  el enlace electrónico </w:t>
      </w:r>
      <w:hyperlink r:id="rId8">
        <w:r>
          <w:rPr>
            <w:rFonts w:ascii="Palatino Linotype" w:eastAsia="Palatino Linotype" w:hAnsi="Palatino Linotype" w:cs="Palatino Linotype"/>
            <w:color w:val="0563C1"/>
            <w:u w:val="single"/>
          </w:rPr>
          <w:t>https://ipomex.org.mx/ipo3/lgt/indice/COPLADEM/art_92_xxxvii.web</w:t>
        </w:r>
      </w:hyperlink>
      <w:r>
        <w:rPr>
          <w:rFonts w:ascii="Palatino Linotype" w:eastAsia="Palatino Linotype" w:hAnsi="Palatino Linotype" w:cs="Palatino Linotype"/>
        </w:rPr>
        <w:t xml:space="preserve"> , relativo a la fracción XXXI «Convenios de coordinación, de concertación con el sector social o privado» del artículo 92 de la Ley de Transparencia estatal, no obstante, en el texto del oficio de respuesta se aprecia que el Sujeto Obligado hace referenci</w:t>
      </w:r>
      <w:r>
        <w:rPr>
          <w:rFonts w:ascii="Palatino Linotype" w:eastAsia="Palatino Linotype" w:hAnsi="Palatino Linotype" w:cs="Palatino Linotype"/>
        </w:rPr>
        <w:t>a a una solicitud diversa, por lo que una vez conocida dicha respuesta, la parte Recurrente interpuso el recurso de revisión citado al rubro, expresando como inconformidad que se le estaba negando la información de manera ventajosa ya que a su consideració</w:t>
      </w:r>
      <w:r>
        <w:rPr>
          <w:rFonts w:ascii="Palatino Linotype" w:eastAsia="Palatino Linotype" w:hAnsi="Palatino Linotype" w:cs="Palatino Linotype"/>
        </w:rPr>
        <w:t xml:space="preserve">n le respondieron sobre una solicitud diversa. </w:t>
      </w:r>
    </w:p>
    <w:p w:rsidR="0018039B" w:rsidRDefault="00B8093B">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Posteriormente se admitió el recurso de revisión y en la etapa de manifestaciones, se advierte que el Sujeto Obligado precisa que subsana dicho error al resaltar el extracto que por error humano de transcripc</w:t>
      </w:r>
      <w:r>
        <w:rPr>
          <w:rFonts w:ascii="Palatino Linotype" w:eastAsia="Palatino Linotype" w:hAnsi="Palatino Linotype" w:cs="Palatino Linotype"/>
        </w:rPr>
        <w:t>ión y m</w:t>
      </w:r>
      <w:r w:rsidR="00C4728F">
        <w:rPr>
          <w:rFonts w:ascii="Palatino Linotype" w:eastAsia="Palatino Linotype" w:hAnsi="Palatino Linotype" w:cs="Palatino Linotype"/>
        </w:rPr>
        <w:t>ecanográfico se realizó pero</w:t>
      </w:r>
      <w:r>
        <w:rPr>
          <w:rFonts w:ascii="Palatino Linotype" w:eastAsia="Palatino Linotype" w:hAnsi="Palatino Linotype" w:cs="Palatino Linotype"/>
        </w:rPr>
        <w:t xml:space="preserve"> destacando que la información proporcionada en la liga electrónica si es la que corresponde con el requerimiento del particular. </w:t>
      </w:r>
      <w:bookmarkStart w:id="0" w:name="_GoBack"/>
      <w:bookmarkEnd w:id="0"/>
    </w:p>
    <w:p w:rsidR="0018039B" w:rsidRDefault="00B8093B">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el Instituto determinó </w:t>
      </w:r>
      <w:r>
        <w:rPr>
          <w:rFonts w:ascii="Palatino Linotype" w:eastAsia="Palatino Linotype" w:hAnsi="Palatino Linotype" w:cs="Palatino Linotype"/>
          <w:b/>
        </w:rPr>
        <w:t>SOBRESEER</w:t>
      </w:r>
      <w:r>
        <w:rPr>
          <w:rFonts w:ascii="Palatino Linotype" w:eastAsia="Palatino Linotype" w:hAnsi="Palatino Linotype" w:cs="Palatino Linotype"/>
        </w:rPr>
        <w:t xml:space="preserve"> el presente asunto, ello bajo las siguientes consideraciones: </w:t>
      </w:r>
    </w:p>
    <w:p w:rsidR="0018039B" w:rsidRDefault="00B8093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“Por lo anterior, este Instituto estima que el Sujeto Obligado al informar al Recurrente el motivo del error en la referencia a la solicitud y aclarar que dicha equivocación se debió a un erro</w:t>
      </w:r>
      <w:r>
        <w:rPr>
          <w:rFonts w:ascii="Palatino Linotype" w:eastAsia="Palatino Linotype" w:hAnsi="Palatino Linotype" w:cs="Palatino Linotype"/>
          <w:i/>
          <w:color w:val="000000"/>
        </w:rPr>
        <w:t>r humano de transcripción y mecanográfico, se subsana dicho error, máxime que la liga proporcionada sí dirige al medio electrónico en el que el Recurrente puede consultar la información referida en su solicitud.</w:t>
      </w:r>
    </w:p>
    <w:p w:rsidR="0018039B" w:rsidRDefault="0018039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18039B" w:rsidRDefault="00B8093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se tiene que el Sujeto Obligado hizo d</w:t>
      </w:r>
      <w:r>
        <w:rPr>
          <w:rFonts w:ascii="Palatino Linotype" w:eastAsia="Palatino Linotype" w:hAnsi="Palatino Linotype" w:cs="Palatino Linotype"/>
          <w:i/>
          <w:color w:val="000000"/>
        </w:rPr>
        <w:t>el conocimiento al Recurrente que en su respuesta hubo un error de referencia a la solicitud; no obstante, para acceder a la información solicitada puede seguir la liga referida.</w:t>
      </w:r>
    </w:p>
    <w:p w:rsidR="0018039B" w:rsidRDefault="0018039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18039B" w:rsidRDefault="00B8093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Ahora bien, no pasa desapercibido a este Instituto que es en el escrito de m</w:t>
      </w:r>
      <w:r>
        <w:rPr>
          <w:rFonts w:ascii="Palatino Linotype" w:eastAsia="Palatino Linotype" w:hAnsi="Palatino Linotype" w:cs="Palatino Linotype"/>
          <w:i/>
          <w:color w:val="000000"/>
        </w:rPr>
        <w:t>anifestaciones en donde el Recurrente se agravia de que la respuesta no se proporcionó dentro del término de cinco días que establece el artículo 161 de la Ley de la materia cuando la información ya esté disponible al público en cualquier medio; así como q</w:t>
      </w:r>
      <w:r>
        <w:rPr>
          <w:rFonts w:ascii="Palatino Linotype" w:eastAsia="Palatino Linotype" w:hAnsi="Palatino Linotype" w:cs="Palatino Linotype"/>
          <w:i/>
          <w:color w:val="000000"/>
        </w:rPr>
        <w:t>ue considera que no se hizo una búsqueda exhaustiva en todas las áreas del Sujeto Obligado y que en la información que obra en la liga referida no se encuentran todos los convenios y acuerdos ni los documentos que acrediten el cumplimiento de estos.</w:t>
      </w:r>
    </w:p>
    <w:p w:rsidR="0018039B" w:rsidRDefault="0018039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18039B" w:rsidRDefault="00B8093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Emper</w:t>
      </w:r>
      <w:r>
        <w:rPr>
          <w:rFonts w:ascii="Palatino Linotype" w:eastAsia="Palatino Linotype" w:hAnsi="Palatino Linotype" w:cs="Palatino Linotype"/>
          <w:i/>
          <w:color w:val="000000"/>
        </w:rPr>
        <w:t>o, dichas aseveraciones no pueden ser consideradas como motivos de inconformidad toda vez que no fueron planteadas oportunamente al momento de interponer el medio de impugnación, sino que forman parte de las manifestaciones del particular expresadas durant</w:t>
      </w:r>
      <w:r>
        <w:rPr>
          <w:rFonts w:ascii="Palatino Linotype" w:eastAsia="Palatino Linotype" w:hAnsi="Palatino Linotype" w:cs="Palatino Linotype"/>
          <w:i/>
          <w:color w:val="000000"/>
        </w:rPr>
        <w:t>e la etapa de instrucción del recurso de revisión y, por ende, al no formar parte de la litis principal, no se califican como agravios a su derecho de acceso a la información pública.</w:t>
      </w:r>
    </w:p>
    <w:p w:rsidR="0018039B" w:rsidRDefault="0018039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18039B" w:rsidRDefault="00B8093B">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 xml:space="preserve">Por lo argumentado en los párrafos que anteceden, se estima que con la </w:t>
      </w:r>
      <w:r>
        <w:rPr>
          <w:rFonts w:ascii="Palatino Linotype" w:eastAsia="Palatino Linotype" w:hAnsi="Palatino Linotype" w:cs="Palatino Linotype"/>
          <w:i/>
          <w:color w:val="000000"/>
        </w:rPr>
        <w:t>aclaración realizada por el Sujeto Obligado se modificó la respuesta originalmente proporcionada y que no existen ya extremos legales para la procedencia del recurso, lo que conlleva a decretar el sobreseimiento. Es así como se advierte que en el caso en c</w:t>
      </w:r>
      <w:r>
        <w:rPr>
          <w:rFonts w:ascii="Palatino Linotype" w:eastAsia="Palatino Linotype" w:hAnsi="Palatino Linotype" w:cs="Palatino Linotype"/>
          <w:i/>
          <w:color w:val="000000"/>
        </w:rPr>
        <w:t>oncreto se actualiza la causal de sobreseimiento prevista en la fracción III del artículo 192 de la Ley de Transparencia y Acceso a la Información Pública del Estado de México y Municipios”</w:t>
      </w:r>
    </w:p>
    <w:p w:rsidR="0018039B" w:rsidRDefault="0018039B">
      <w:pPr>
        <w:pBdr>
          <w:top w:val="nil"/>
          <w:left w:val="nil"/>
          <w:bottom w:val="nil"/>
          <w:right w:val="nil"/>
          <w:between w:val="nil"/>
        </w:pBdr>
        <w:spacing w:after="0" w:line="360" w:lineRule="auto"/>
        <w:rPr>
          <w:rFonts w:ascii="Palatino Linotype" w:eastAsia="Palatino Linotype" w:hAnsi="Palatino Linotype" w:cs="Palatino Linotype"/>
          <w:i/>
          <w:color w:val="000000"/>
          <w:sz w:val="24"/>
          <w:szCs w:val="24"/>
        </w:rPr>
      </w:pPr>
    </w:p>
    <w:p w:rsidR="0018039B" w:rsidRDefault="00B8093B">
      <w:pPr>
        <w:numPr>
          <w:ilvl w:val="0"/>
          <w:numId w:val="1"/>
        </w:numPr>
        <w:pBdr>
          <w:top w:val="nil"/>
          <w:left w:val="nil"/>
          <w:bottom w:val="nil"/>
          <w:right w:val="nil"/>
          <w:between w:val="nil"/>
        </w:pBdr>
        <w:spacing w:after="0" w:line="360" w:lineRule="auto"/>
        <w:ind w:left="567" w:hanging="283"/>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Razones del Voto Particular</w:t>
      </w:r>
    </w:p>
    <w:p w:rsidR="0018039B" w:rsidRDefault="0018039B">
      <w:pPr>
        <w:pBdr>
          <w:top w:val="nil"/>
          <w:left w:val="nil"/>
          <w:bottom w:val="nil"/>
          <w:right w:val="nil"/>
          <w:between w:val="nil"/>
        </w:pBdr>
        <w:spacing w:after="0" w:line="360" w:lineRule="auto"/>
        <w:ind w:left="426"/>
        <w:rPr>
          <w:rFonts w:ascii="Palatino Linotype" w:eastAsia="Palatino Linotype" w:hAnsi="Palatino Linotype" w:cs="Palatino Linotype"/>
          <w:b/>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Acotado lo anterior, resulta importante señalar que a mi consideración, debieron analizarse las ligas electrónicas proporcionadas por el Sujeto Obligado en respuesta para efecto de determinar si en estas obran los documentos que den cuenta del cumplimiento</w:t>
      </w:r>
      <w:r>
        <w:rPr>
          <w:rFonts w:ascii="Palatino Linotype" w:eastAsia="Palatino Linotype" w:hAnsi="Palatino Linotype" w:cs="Palatino Linotype"/>
          <w:color w:val="000000"/>
        </w:rPr>
        <w:t xml:space="preserve"> de los convenios y acuerdos, por las razones que se expondrán en las siguientes consideraciones: </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primera instancia, debemos tener en cuenta que en el apartado de manifestaciones, la parte Recurrente señaló lo siguiente:</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“También solicite los documentos que acrediten el cumplimiento del objeto de cada uno de los convenios y aunque fuera de tiempo se me proporciono la liga en donde supuestamente se encuentran todos los convenios y acuerdos </w:t>
      </w:r>
      <w:r>
        <w:rPr>
          <w:rFonts w:ascii="Palatino Linotype" w:eastAsia="Palatino Linotype" w:hAnsi="Palatino Linotype" w:cs="Palatino Linotype"/>
          <w:b/>
          <w:i/>
          <w:color w:val="000000"/>
          <w:u w:val="single"/>
        </w:rPr>
        <w:t xml:space="preserve">en dicha liga no se aprecia algún </w:t>
      </w:r>
      <w:r>
        <w:rPr>
          <w:rFonts w:ascii="Palatino Linotype" w:eastAsia="Palatino Linotype" w:hAnsi="Palatino Linotype" w:cs="Palatino Linotype"/>
          <w:b/>
          <w:i/>
          <w:color w:val="000000"/>
          <w:u w:val="single"/>
        </w:rPr>
        <w:t>documento que acredite el cumplimiento de los convenios y acuerdos</w:t>
      </w:r>
      <w:r>
        <w:rPr>
          <w:rFonts w:ascii="Palatino Linotype" w:eastAsia="Palatino Linotype" w:hAnsi="Palatino Linotype" w:cs="Palatino Linotype"/>
          <w:i/>
          <w:color w:val="000000"/>
        </w:rPr>
        <w:t>.”</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premisa cobra relevancia al observar que de conformidad con los Lineamientos Técnicos Generales para la publicación, homologación y estandarización de la información de las obligac</w:t>
      </w:r>
      <w:r>
        <w:rPr>
          <w:rFonts w:ascii="Palatino Linotype" w:eastAsia="Palatino Linotype" w:hAnsi="Palatino Linotype" w:cs="Palatino Linotype"/>
          <w:color w:val="000000"/>
        </w:rPr>
        <w:t>iones establecidas en el Título Quinto y en la fracción IV del artículo 31 de la Ley General de Transparencia y Acceso a la Información Pública, que deben de difundir los sujetos obligados en los portales de Internet y en la Plataforma Nacional de Transpar</w:t>
      </w:r>
      <w:r>
        <w:rPr>
          <w:rFonts w:ascii="Palatino Linotype" w:eastAsia="Palatino Linotype" w:hAnsi="Palatino Linotype" w:cs="Palatino Linotype"/>
          <w:color w:val="000000"/>
        </w:rPr>
        <w:t xml:space="preserve">encia, en la fracción relativa a </w:t>
      </w:r>
      <w:r>
        <w:rPr>
          <w:rFonts w:ascii="Palatino Linotype" w:eastAsia="Palatino Linotype" w:hAnsi="Palatino Linotype" w:cs="Palatino Linotype"/>
          <w:i/>
          <w:color w:val="000000"/>
        </w:rPr>
        <w:t>XXXIII.</w:t>
      </w:r>
      <w:r>
        <w:rPr>
          <w:rFonts w:ascii="Palatino Linotype" w:eastAsia="Palatino Linotype" w:hAnsi="Palatino Linotype" w:cs="Palatino Linotype"/>
          <w:b/>
          <w:i/>
          <w:color w:val="000000"/>
        </w:rPr>
        <w:t>Los convenios de coordinación de concertación con los sectores social y privado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los sujetos obligados deberán cargar la siguiente información: </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noProof/>
        </w:rPr>
        <w:lastRenderedPageBreak/>
        <w:drawing>
          <wp:inline distT="0" distB="0" distL="0" distR="0">
            <wp:extent cx="5669280" cy="2999105"/>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69280" cy="2999105"/>
                    </a:xfrm>
                    <a:prstGeom prst="rect">
                      <a:avLst/>
                    </a:prstGeom>
                    <a:ln/>
                  </pic:spPr>
                </pic:pic>
              </a:graphicData>
            </a:graphic>
          </wp:inline>
        </w:drawing>
      </w: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noProof/>
        </w:rPr>
        <w:lastRenderedPageBreak/>
        <w:drawing>
          <wp:inline distT="0" distB="0" distL="0" distR="0">
            <wp:extent cx="5669280" cy="585597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69280" cy="5855970"/>
                    </a:xfrm>
                    <a:prstGeom prst="rect">
                      <a:avLst/>
                    </a:prstGeom>
                    <a:ln/>
                  </pic:spPr>
                </pic:pic>
              </a:graphicData>
            </a:graphic>
          </wp:inline>
        </w:drawing>
      </w: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anteriormente ilustrado, no se aprecia que deba publicarse d</w:t>
      </w:r>
      <w:r>
        <w:rPr>
          <w:rFonts w:ascii="Palatino Linotype" w:eastAsia="Palatino Linotype" w:hAnsi="Palatino Linotype" w:cs="Palatino Linotype"/>
          <w:color w:val="000000"/>
        </w:rPr>
        <w:t xml:space="preserve">ocumento alguno en el que dé cuenta del cumplimiento a los convenios celebrados, por lo tanto, le asiste la razón al </w:t>
      </w:r>
      <w:r>
        <w:rPr>
          <w:rFonts w:ascii="Palatino Linotype" w:eastAsia="Palatino Linotype" w:hAnsi="Palatino Linotype" w:cs="Palatino Linotype"/>
          <w:color w:val="000000"/>
        </w:rPr>
        <w:lastRenderedPageBreak/>
        <w:t>particular sobre esta manifestación pues se insiste, dentro de esta fracción no se mandata que se publique el cumplimiento a los instrument</w:t>
      </w:r>
      <w:r>
        <w:rPr>
          <w:rFonts w:ascii="Palatino Linotype" w:eastAsia="Palatino Linotype" w:hAnsi="Palatino Linotype" w:cs="Palatino Linotype"/>
          <w:color w:val="000000"/>
        </w:rPr>
        <w:t xml:space="preserve">os jurídicos en referencia. </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resulta importante señalar que de la revisión practicada a uno de los convenios que obran en la liga electrónica proporcionada por el Sujeto Obligado en respuesta, se advirtió que dentro de las clausulas, se re</w:t>
      </w:r>
      <w:r>
        <w:rPr>
          <w:rFonts w:ascii="Palatino Linotype" w:eastAsia="Palatino Linotype" w:hAnsi="Palatino Linotype" w:cs="Palatino Linotype"/>
          <w:color w:val="000000"/>
        </w:rPr>
        <w:t>porta  lo siguiente:</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noProof/>
        </w:rPr>
        <w:drawing>
          <wp:inline distT="0" distB="0" distL="0" distR="0">
            <wp:extent cx="5581650" cy="1371600"/>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581650" cy="1371600"/>
                    </a:xfrm>
                    <a:prstGeom prst="rect">
                      <a:avLst/>
                    </a:prstGeom>
                    <a:ln/>
                  </pic:spPr>
                </pic:pic>
              </a:graphicData>
            </a:graphic>
          </wp:inline>
        </w:drawing>
      </w:r>
      <w:r>
        <w:rPr>
          <w:noProof/>
        </w:rPr>
        <mc:AlternateContent>
          <mc:Choice Requires="wpg">
            <w:drawing>
              <wp:anchor distT="0" distB="0" distL="114300" distR="114300" simplePos="0" relativeHeight="251655168" behindDoc="0" locked="0" layoutInCell="1" hidden="0" allowOverlap="1">
                <wp:simplePos x="0" y="0"/>
                <wp:positionH relativeFrom="column">
                  <wp:posOffset>76201</wp:posOffset>
                </wp:positionH>
                <wp:positionV relativeFrom="paragraph">
                  <wp:posOffset>50800</wp:posOffset>
                </wp:positionV>
                <wp:extent cx="5419725" cy="400050"/>
                <wp:effectExtent l="0" t="0" r="0" b="0"/>
                <wp:wrapNone/>
                <wp:docPr id="21" name=""/>
                <wp:cNvGraphicFramePr/>
                <a:graphic xmlns:a="http://schemas.openxmlformats.org/drawingml/2006/main">
                  <a:graphicData uri="http://schemas.microsoft.com/office/word/2010/wordprocessingShape">
                    <wps:wsp>
                      <wps:cNvSpPr/>
                      <wps:spPr>
                        <a:xfrm>
                          <a:off x="2650425" y="3594263"/>
                          <a:ext cx="5391150" cy="371475"/>
                        </a:xfrm>
                        <a:prstGeom prst="rect">
                          <a:avLst/>
                        </a:prstGeom>
                        <a:noFill/>
                        <a:ln w="28575" cap="flat" cmpd="sng">
                          <a:solidFill>
                            <a:srgbClr val="FF0000"/>
                          </a:solidFill>
                          <a:prstDash val="solid"/>
                          <a:miter lim="800000"/>
                          <a:headEnd type="none" w="sm" len="sm"/>
                          <a:tailEnd type="none" w="sm" len="sm"/>
                        </a:ln>
                      </wps:spPr>
                      <wps:txbx>
                        <w:txbxContent>
                          <w:p w:rsidR="0018039B" w:rsidRDefault="001803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419725" cy="400050"/>
                <wp:effectExtent b="0" l="0" r="0" t="0"/>
                <wp:wrapNone/>
                <wp:docPr id="2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419725" cy="400050"/>
                        </a:xfrm>
                        <a:prstGeom prst="rect"/>
                        <a:ln/>
                      </pic:spPr>
                    </pic:pic>
                  </a:graphicData>
                </a:graphic>
              </wp:anchor>
            </w:drawing>
          </mc:Fallback>
        </mc:AlternateContent>
      </w: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p>
    <w:p w:rsidR="0018039B" w:rsidRDefault="00B8093B">
      <w:pPr>
        <w:pBdr>
          <w:top w:val="nil"/>
          <w:left w:val="nil"/>
          <w:bottom w:val="nil"/>
          <w:right w:val="nil"/>
          <w:between w:val="nil"/>
        </w:pBdr>
        <w:spacing w:after="0" w:line="360" w:lineRule="auto"/>
        <w:jc w:val="center"/>
        <w:rPr>
          <w:rFonts w:ascii="Palatino Linotype" w:eastAsia="Palatino Linotype" w:hAnsi="Palatino Linotype" w:cs="Palatino Linotype"/>
          <w:color w:val="000000"/>
        </w:rPr>
      </w:pPr>
      <w:r>
        <w:rPr>
          <w:noProof/>
        </w:rPr>
        <w:drawing>
          <wp:inline distT="0" distB="0" distL="0" distR="0">
            <wp:extent cx="5737324" cy="1296202"/>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7324" cy="1296202"/>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190500</wp:posOffset>
                </wp:positionH>
                <wp:positionV relativeFrom="paragraph">
                  <wp:posOffset>889000</wp:posOffset>
                </wp:positionV>
                <wp:extent cx="0" cy="19050"/>
                <wp:effectExtent l="0" t="0" r="0" b="0"/>
                <wp:wrapNone/>
                <wp:docPr id="23" name=""/>
                <wp:cNvGraphicFramePr/>
                <a:graphic xmlns:a="http://schemas.openxmlformats.org/drawingml/2006/main">
                  <a:graphicData uri="http://schemas.microsoft.com/office/word/2010/wordprocessingShape">
                    <wps:wsp>
                      <wps:cNvCnPr/>
                      <wps:spPr>
                        <a:xfrm>
                          <a:off x="2683763" y="3780000"/>
                          <a:ext cx="5324475" cy="0"/>
                        </a:xfrm>
                        <a:prstGeom prst="straightConnector1">
                          <a:avLst/>
                        </a:prstGeom>
                        <a:noFill/>
                        <a:ln w="19050" cap="flat" cmpd="sng">
                          <a:solidFill>
                            <a:srgbClr val="FF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889000</wp:posOffset>
                </wp:positionV>
                <wp:extent cx="0" cy="19050"/>
                <wp:effectExtent b="0" l="0" r="0" t="0"/>
                <wp:wrapNone/>
                <wp:docPr id="2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tal suerte que el COPLADEM si cuenta con competencia para dar seguimiento al cumplimiento de los compromisos a los que se sujeta en los convenios de coordinación, ello a través de la Dirección de Evaluación y Seguimiento, la cual de conformidad con el M</w:t>
      </w:r>
      <w:r>
        <w:rPr>
          <w:rFonts w:ascii="Palatino Linotype" w:eastAsia="Palatino Linotype" w:hAnsi="Palatino Linotype" w:cs="Palatino Linotype"/>
          <w:color w:val="000000"/>
        </w:rPr>
        <w:t xml:space="preserve">anual </w:t>
      </w:r>
      <w:r>
        <w:rPr>
          <w:rFonts w:ascii="Palatino Linotype" w:eastAsia="Palatino Linotype" w:hAnsi="Palatino Linotype" w:cs="Palatino Linotype"/>
          <w:color w:val="000000"/>
        </w:rPr>
        <w:lastRenderedPageBreak/>
        <w:t>General de Organización del Comité de Planeación para el Desarrollo del Estado de México, cuenta con las siguientes atribuciones:</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“207C0201020000L DIRECCIÓN DE EVALUACIÓN Y SEGUIMIENTO</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OBJETIVO:</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Diseñar y difundir criterios técnicos metodológicos par</w:t>
      </w:r>
      <w:r>
        <w:rPr>
          <w:rFonts w:ascii="Palatino Linotype" w:eastAsia="Palatino Linotype" w:hAnsi="Palatino Linotype" w:cs="Palatino Linotype"/>
          <w:i/>
          <w:color w:val="000000"/>
        </w:rPr>
        <w:t>a la formulación, seguimiento y evaluación de los Planes de Desarrollo Municipal, de los Comités de Planeación para el Desarrollo Municipal, así como de los objetivos y metas del Comité de Planeación para el Desarrollo del Estado de México.</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FUNCIONES:</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18039B" w:rsidRDefault="00B8093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t xml:space="preserve">Impulsar y en su caso, </w:t>
      </w:r>
      <w:r>
        <w:rPr>
          <w:rFonts w:ascii="Palatino Linotype" w:eastAsia="Palatino Linotype" w:hAnsi="Palatino Linotype" w:cs="Palatino Linotype"/>
          <w:b/>
          <w:i/>
          <w:color w:val="000000"/>
          <w:u w:val="single"/>
        </w:rPr>
        <w:t xml:space="preserve">ejecutar en el ámbito de su competencia los acuerdos y convenios de colaboración y coordinación que celebre la Dirección General del COPLADEM.” </w:t>
      </w:r>
      <w:r>
        <w:rPr>
          <w:rFonts w:ascii="Palatino Linotype" w:eastAsia="Palatino Linotype" w:hAnsi="Palatino Linotype" w:cs="Palatino Linotype"/>
          <w:i/>
          <w:color w:val="000000"/>
        </w:rPr>
        <w:t>(Énfasis añadido)</w:t>
      </w:r>
    </w:p>
    <w:p w:rsidR="0018039B" w:rsidRDefault="001803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18039B" w:rsidRDefault="00B8093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nos encontramos con el hecho de que debió analizarse el contenido de la liga electrónica para efecto de determinar si el requerimiento consistente en los documentos que den cuenta del cumplimiento de los convenios y acuerdos obraba dentro </w:t>
      </w:r>
      <w:r>
        <w:rPr>
          <w:rFonts w:ascii="Palatino Linotype" w:eastAsia="Palatino Linotype" w:hAnsi="Palatino Linotype" w:cs="Palatino Linotype"/>
          <w:color w:val="000000"/>
        </w:rPr>
        <w:t>de este enlace y en el caso de que no hubiere sido así, ordenarse una búsqueda exhaustiva y razonable pues como se observó en las citas previamente realizadas, la Unidad Jurídica y de Igualdad de Género no es competente para conocer del cumplimiento a dich</w:t>
      </w:r>
      <w:r>
        <w:rPr>
          <w:rFonts w:ascii="Palatino Linotype" w:eastAsia="Palatino Linotype" w:hAnsi="Palatino Linotype" w:cs="Palatino Linotype"/>
          <w:color w:val="000000"/>
        </w:rPr>
        <w:t>os convenios, por lo que a consideración de la  emisora del voto no se siguió el procedimiento para la atención a las solicitudes de acceso a la información, establecido en los artículos 151, 160, 162, 163, 164, 165 y 166, de la Ley de Transparencia y Acce</w:t>
      </w:r>
      <w:r>
        <w:rPr>
          <w:rFonts w:ascii="Palatino Linotype" w:eastAsia="Palatino Linotype" w:hAnsi="Palatino Linotype" w:cs="Palatino Linotype"/>
          <w:color w:val="000000"/>
        </w:rPr>
        <w:t>so a la Información Pública del Estado de México y Municipios, el cual es el siguiente: </w:t>
      </w:r>
    </w:p>
    <w:p w:rsidR="0018039B" w:rsidRDefault="0018039B">
      <w:pPr>
        <w:spacing w:after="0" w:line="360" w:lineRule="auto"/>
        <w:jc w:val="both"/>
        <w:rPr>
          <w:rFonts w:ascii="Palatino Linotype" w:eastAsia="Palatino Linotype" w:hAnsi="Palatino Linotype" w:cs="Palatino Linotype"/>
          <w:color w:val="000000"/>
        </w:rPr>
      </w:pP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lastRenderedPageBreak/>
        <w:t>• Las Unidades de Transparencia de los sujetos obligados deben garantizar las medidas y condiciones de accesibilidad para que toda persona pueda ejercer el derecho de</w:t>
      </w:r>
      <w:r>
        <w:rPr>
          <w:rFonts w:ascii="Palatino Linotype" w:eastAsia="Palatino Linotype" w:hAnsi="Palatino Linotype" w:cs="Palatino Linotype"/>
          <w:color w:val="000000"/>
        </w:rPr>
        <w:t xml:space="preserve"> acceso a la información; por lo que, son las responsables de hacer las notificaciones correspondientes, además de llevar a cabo todas las gestiones necesarias para facilitar el acceso de la información; </w:t>
      </w: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La respuesta a los requerimientos informativos, d</w:t>
      </w:r>
      <w:r>
        <w:rPr>
          <w:rFonts w:ascii="Palatino Linotype" w:eastAsia="Palatino Linotype" w:hAnsi="Palatino Linotype" w:cs="Palatino Linotype"/>
          <w:color w:val="000000"/>
        </w:rPr>
        <w:t>eberá notificarse al interesado en el menor tiempo posible, que no podrá exceder de quince días hábiles, contados a partir del día siguiente a la presentación de esta. </w:t>
      </w: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xml:space="preserve">Excepcionalmente, el plazo referido podrá ampliarse por siete días hábiles más, cuando </w:t>
      </w:r>
      <w:r>
        <w:rPr>
          <w:rFonts w:ascii="Palatino Linotype" w:eastAsia="Palatino Linotype" w:hAnsi="Palatino Linotype" w:cs="Palatino Linotype"/>
          <w:color w:val="000000"/>
        </w:rPr>
        <w:t>existan razones fundadas y motivadas, a través del Comité de Transparencia; </w:t>
      </w: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Las Unidades de Transparencia garantizarán que las solicitudes se turnen a todas las áreas competentes que cuenten con la información o deban tenerla de acuerdo a sus facultades</w:t>
      </w:r>
      <w:r>
        <w:rPr>
          <w:rFonts w:ascii="Palatino Linotype" w:eastAsia="Palatino Linotype" w:hAnsi="Palatino Linotype" w:cs="Palatino Linotype"/>
          <w:color w:val="000000"/>
        </w:rPr>
        <w:t>, funciones y atribuciones, para que realicen una búsqueda exhaustiva y razonable de la documentación solicitada, con el fin de que proporcionen las expresiones documentales que se encuentren en sus archivos o que estén constreñidos a elaborar; </w:t>
      </w: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t>• El acces</w:t>
      </w:r>
      <w:r>
        <w:rPr>
          <w:rFonts w:ascii="Palatino Linotype" w:eastAsia="Palatino Linotype" w:hAnsi="Palatino Linotype" w:cs="Palatino Linotype"/>
          <w:color w:val="000000"/>
        </w:rPr>
        <w:t xml:space="preserve">o se dará en la modalidad de entrega y en su caso, de envío elegido por la solicitante, cuando no pueda entregarse en dicha modalidad,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ofrecer otras; por lo cual, deberá fundar y motivar la necesidad de modificar el medio de entre</w:t>
      </w:r>
      <w:r>
        <w:rPr>
          <w:rFonts w:ascii="Palatino Linotype" w:eastAsia="Palatino Linotype" w:hAnsi="Palatino Linotype" w:cs="Palatino Linotype"/>
          <w:color w:val="000000"/>
        </w:rPr>
        <w:t>ga, y </w:t>
      </w:r>
    </w:p>
    <w:p w:rsidR="0018039B" w:rsidRDefault="00B8093B">
      <w:pPr>
        <w:spacing w:after="240" w:line="360" w:lineRule="auto"/>
        <w:jc w:val="both"/>
        <w:rPr>
          <w:rFonts w:ascii="Times New Roman" w:eastAsia="Times New Roman" w:hAnsi="Times New Roman" w:cs="Times New Roman"/>
        </w:rPr>
      </w:pPr>
      <w:r>
        <w:rPr>
          <w:rFonts w:ascii="Palatino Linotype" w:eastAsia="Palatino Linotype" w:hAnsi="Palatino Linotype" w:cs="Palatino Linotype"/>
          <w:color w:val="000000"/>
        </w:rPr>
        <w:lastRenderedPageBreak/>
        <w:t xml:space="preserve">• Las Unidades de Transparencia, tendrán disponible la información requerida durante un plazo mínimo de sesenta días hábiles, contados a partir de que la solicitante hubiere realizado, en su caso, el pago respectivo, el cual deberá efectuarse en un </w:t>
      </w:r>
      <w:r>
        <w:rPr>
          <w:rFonts w:ascii="Palatino Linotype" w:eastAsia="Palatino Linotype" w:hAnsi="Palatino Linotype" w:cs="Palatino Linotype"/>
          <w:color w:val="000000"/>
        </w:rPr>
        <w:t>plazo no mayor a treinta días hábiles; por lo que, una vez trascurrida dicha temporalidad, los Sujetos Obligados darán por concluida la solicitud y procederán de ser el caso, a la destrucción del material;</w:t>
      </w:r>
    </w:p>
    <w:p w:rsidR="0018039B" w:rsidRDefault="00B8093B">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lo insertado con anterioridad, se determina qu</w:t>
      </w:r>
      <w:r>
        <w:rPr>
          <w:rFonts w:ascii="Palatino Linotype" w:eastAsia="Palatino Linotype" w:hAnsi="Palatino Linotype" w:cs="Palatino Linotype"/>
        </w:rPr>
        <w:t xml:space="preserve">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la obligación de turnar a todas las áreas que se consideren competentes para que realicen una búsqueda exhaustiva y razonable de la información solicitada a fin de que esta sea entregada a los solicitantes.</w:t>
      </w:r>
    </w:p>
    <w:p w:rsidR="0018039B" w:rsidRDefault="00B8093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se debe ente</w:t>
      </w:r>
      <w:r>
        <w:rPr>
          <w:rFonts w:ascii="Palatino Linotype" w:eastAsia="Palatino Linotype" w:hAnsi="Palatino Linotype" w:cs="Palatino Linotype"/>
        </w:rPr>
        <w:t>nder que el trámite interno que se realice a las solicitudes de acceso a la información, es con el propósito de que se realice una búsqueda exhaustiva y razonable de la información entre sus archivos y, en su caso, se entregue la información de interés par</w:t>
      </w:r>
      <w:r>
        <w:rPr>
          <w:rFonts w:ascii="Palatino Linotype" w:eastAsia="Palatino Linotype" w:hAnsi="Palatino Linotype" w:cs="Palatino Linotype"/>
        </w:rPr>
        <w:t>a el particular.</w:t>
      </w:r>
    </w:p>
    <w:p w:rsidR="0018039B" w:rsidRDefault="00B8093B">
      <w:pPr>
        <w:spacing w:before="240" w:after="240" w:line="360" w:lineRule="auto"/>
        <w:jc w:val="both"/>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rPr>
        <w:t>Por las consideraciones expuestas, con fundamento en lo dispuesto por el artículo 14 fracciones X y XI del Reglamento Interior del Instituto de Transparencia, Acceso a la Información Pública y Protección de Datos Personales del Estado de M</w:t>
      </w:r>
      <w:r>
        <w:rPr>
          <w:rFonts w:ascii="Palatino Linotype" w:eastAsia="Palatino Linotype" w:hAnsi="Palatino Linotype" w:cs="Palatino Linotype"/>
        </w:rPr>
        <w:t xml:space="preserve">éxico y Municipios, la suscrita Comisionada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en los términos precisados.</w:t>
      </w:r>
    </w:p>
    <w:p w:rsidR="0018039B" w:rsidRDefault="00B8093B">
      <w:pPr>
        <w:tabs>
          <w:tab w:val="left" w:pos="2730"/>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18039B" w:rsidRDefault="00B8093B">
      <w:pPr>
        <w:spacing w:before="240" w:after="240" w:line="360" w:lineRule="auto"/>
        <w:rPr>
          <w:rFonts w:ascii="Palatino Linotype" w:eastAsia="Palatino Linotype" w:hAnsi="Palatino Linotype" w:cs="Palatino Linotype"/>
          <w:b/>
          <w:sz w:val="24"/>
          <w:szCs w:val="24"/>
        </w:rPr>
        <w:sectPr w:rsidR="0018039B">
          <w:headerReference w:type="even" r:id="rId15"/>
          <w:headerReference w:type="default" r:id="rId16"/>
          <w:footerReference w:type="even" r:id="rId17"/>
          <w:footerReference w:type="default" r:id="rId18"/>
          <w:headerReference w:type="first" r:id="rId19"/>
          <w:footerReference w:type="first" r:id="rId20"/>
          <w:pgSz w:w="12240" w:h="15840"/>
          <w:pgMar w:top="1871" w:right="1327" w:bottom="2836" w:left="1985" w:header="709" w:footer="586" w:gutter="0"/>
          <w:pgNumType w:start="1"/>
          <w:cols w:space="720"/>
        </w:sectPr>
      </w:pPr>
      <w:r>
        <w:rPr>
          <w:rFonts w:ascii="Palatino Linotype" w:eastAsia="Palatino Linotype" w:hAnsi="Palatino Linotype" w:cs="Palatino Linotype"/>
          <w:b/>
          <w:sz w:val="24"/>
          <w:szCs w:val="24"/>
        </w:rPr>
        <w:t xml:space="preserve"> </w:t>
      </w:r>
    </w:p>
    <w:p w:rsidR="0018039B" w:rsidRDefault="0018039B">
      <w:pPr>
        <w:spacing w:before="240" w:after="240" w:line="360" w:lineRule="auto"/>
        <w:rPr>
          <w:rFonts w:ascii="Palatino Linotype" w:eastAsia="Palatino Linotype" w:hAnsi="Palatino Linotype" w:cs="Palatino Linotype"/>
          <w:b/>
          <w:sz w:val="24"/>
          <w:szCs w:val="24"/>
        </w:rPr>
      </w:pPr>
    </w:p>
    <w:sectPr w:rsidR="0018039B">
      <w:headerReference w:type="even" r:id="rId21"/>
      <w:headerReference w:type="default" r:id="rId22"/>
      <w:headerReference w:type="first" r:id="rId2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093B">
      <w:pPr>
        <w:spacing w:after="0" w:line="240" w:lineRule="auto"/>
      </w:pPr>
      <w:r>
        <w:separator/>
      </w:r>
    </w:p>
  </w:endnote>
  <w:endnote w:type="continuationSeparator" w:id="0">
    <w:p w:rsidR="00000000" w:rsidRDefault="00B8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B8093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C4728F">
      <w:rPr>
        <w:rFonts w:ascii="Arial" w:eastAsia="Arial" w:hAnsi="Arial" w:cs="Arial"/>
        <w:b/>
        <w:color w:val="000000"/>
        <w:sz w:val="20"/>
        <w:szCs w:val="20"/>
      </w:rPr>
      <w:fldChar w:fldCharType="separate"/>
    </w:r>
    <w:r>
      <w:rPr>
        <w:rFonts w:ascii="Arial" w:eastAsia="Arial" w:hAnsi="Arial" w:cs="Arial"/>
        <w:b/>
        <w:noProof/>
        <w:color w:val="000000"/>
        <w:sz w:val="20"/>
        <w:szCs w:val="20"/>
      </w:rPr>
      <w:t>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C4728F">
      <w:rPr>
        <w:rFonts w:ascii="Arial" w:eastAsia="Arial" w:hAnsi="Arial" w:cs="Arial"/>
        <w:b/>
        <w:color w:val="000000"/>
        <w:sz w:val="20"/>
        <w:szCs w:val="20"/>
      </w:rPr>
      <w:fldChar w:fldCharType="separate"/>
    </w:r>
    <w:r>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rsidR="0018039B" w:rsidRDefault="0018039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093B">
      <w:pPr>
        <w:spacing w:after="0" w:line="240" w:lineRule="auto"/>
      </w:pPr>
      <w:r>
        <w:separator/>
      </w:r>
    </w:p>
  </w:footnote>
  <w:footnote w:type="continuationSeparator" w:id="0">
    <w:p w:rsidR="00000000" w:rsidRDefault="00B80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B8093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9367496" cy="9367496"/>
              <wp:effectExtent l="0" t="0" r="0" b="0"/>
              <wp:wrapNone/>
              <wp:docPr id="22"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18039B" w:rsidRDefault="00B8093B">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9367496" cy="9367496"/>
              <wp:effectExtent b="0" l="0" r="0" t="0"/>
              <wp:wrapNone/>
              <wp:docPr id="2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367496" cy="936749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B8093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-1260472</wp:posOffset>
          </wp:positionH>
          <wp:positionV relativeFrom="paragraph">
            <wp:posOffset>-293367</wp:posOffset>
          </wp:positionV>
          <wp:extent cx="7510780" cy="9882505"/>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780" cy="9882505"/>
                  </a:xfrm>
                  <a:prstGeom prst="rect">
                    <a:avLst/>
                  </a:prstGeom>
                  <a:ln/>
                </pic:spPr>
              </pic:pic>
            </a:graphicData>
          </a:graphic>
        </wp:anchor>
      </w:drawing>
    </w:r>
  </w:p>
  <w:p w:rsidR="0018039B" w:rsidRDefault="0018039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8039B" w:rsidRDefault="0018039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8039B" w:rsidRDefault="00B8093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18039B" w:rsidRDefault="00B8093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03330/INFOEM/IP/RR/2024</w:t>
    </w:r>
  </w:p>
  <w:p w:rsidR="0018039B" w:rsidRDefault="00B8093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Comité de Planeación para el Desarrollo del Estado de México</w:t>
    </w:r>
  </w:p>
  <w:p w:rsidR="0018039B" w:rsidRDefault="00B8093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p w:rsidR="0018039B" w:rsidRDefault="0018039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8039B" w:rsidRDefault="0018039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8039B" w:rsidRDefault="0018039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8039B" w:rsidRDefault="0018039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B" w:rsidRDefault="001803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D2E06"/>
    <w:multiLevelType w:val="multilevel"/>
    <w:tmpl w:val="9578A6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B"/>
    <w:rsid w:val="0018039B"/>
    <w:rsid w:val="00303CCC"/>
    <w:rsid w:val="00B8093B"/>
    <w:rsid w:val="00C4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EE8BE7B-AFDA-4253-A167-E91D1D0A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link w:val="Prrafodelista"/>
    <w:uiPriority w:val="34"/>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table" w:styleId="Tablaconcuadrcula">
    <w:name w:val="Table Grid"/>
    <w:basedOn w:val="Tablanormal"/>
    <w:uiPriority w:val="39"/>
    <w:rsid w:val="00C3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5760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5760C"/>
    <w:rPr>
      <w:rFonts w:ascii="Arial" w:eastAsia="Times New Roman" w:hAnsi="Arial" w:cs="Arial"/>
      <w:sz w:val="18"/>
      <w:szCs w:val="20"/>
      <w:lang w:val="es-ES" w:eastAsia="es-ES"/>
    </w:rPr>
  </w:style>
  <w:style w:type="paragraph" w:styleId="Textosinformato">
    <w:name w:val="Plain Text"/>
    <w:basedOn w:val="Normal"/>
    <w:link w:val="TextosinformatoCar"/>
    <w:unhideWhenUsed/>
    <w:rsid w:val="008576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5760C"/>
    <w:rPr>
      <w:rFonts w:ascii="Courier New" w:eastAsia="Times New Roman" w:hAnsi="Courier New"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9861E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861E6"/>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861E6"/>
    <w:rPr>
      <w:vertAlign w:val="superscript"/>
    </w:rPr>
  </w:style>
  <w:style w:type="paragraph" w:styleId="Sinespaciado">
    <w:name w:val="No Spacing"/>
    <w:aliases w:val="Francesa,INAI"/>
    <w:link w:val="SinespaciadoCar"/>
    <w:uiPriority w:val="1"/>
    <w:qFormat/>
    <w:rsid w:val="00AA49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4906"/>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C58A3"/>
    <w:rPr>
      <w:color w:val="0563C1" w:themeColor="hyperlink"/>
      <w:u w:val="single"/>
    </w:rPr>
  </w:style>
  <w:style w:type="character" w:styleId="Hipervnculovisitado">
    <w:name w:val="FollowedHyperlink"/>
    <w:basedOn w:val="Fuentedeprrafopredeter"/>
    <w:uiPriority w:val="99"/>
    <w:semiHidden/>
    <w:unhideWhenUsed/>
    <w:rsid w:val="00CC5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omex.org.mx/ipo3/lgt/indice/COPLADEM/art_92_xxxvii.web"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n9cAKVD04+ghHWqPWsw5n25Mg==">CgMxLjAyCGguZ2pkZ3hzOAByITFGMk1GRTFmSVZnZ0h3N09nNzNJN0NvWGlnZGJyT2FjaA==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1843</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2024-10-07T16:32:00Z</cp:lastPrinted>
  <dcterms:created xsi:type="dcterms:W3CDTF">2024-10-07T16:21:00Z</dcterms:created>
  <dcterms:modified xsi:type="dcterms:W3CDTF">2024-10-07T16:33:00Z</dcterms:modified>
</cp:coreProperties>
</file>