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CF" w:rsidRDefault="003B5CBF">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DÉCIMO PRIMERA SESIÓN ORDINARIA DEL TRES DE ABRIL DE DOS MIL VEINTICUATRO, EN EL RECURSO DE REVISIÓN 02556/INFOEM/IP/RR/2023 Y ACUMULADO. </w:t>
      </w:r>
    </w:p>
    <w:p w:rsidR="009305CF" w:rsidRDefault="009305CF">
      <w:pPr>
        <w:spacing w:after="0" w:line="360" w:lineRule="auto"/>
        <w:jc w:val="both"/>
        <w:rPr>
          <w:rFonts w:ascii="Palatino Linotype" w:eastAsia="Palatino Linotype" w:hAnsi="Palatino Linotype" w:cs="Palatino Linotype"/>
          <w:b/>
        </w:rPr>
      </w:pPr>
    </w:p>
    <w:p w:rsidR="009305CF" w:rsidRDefault="003B5C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w:t>
      </w:r>
      <w:r>
        <w:rPr>
          <w:rFonts w:ascii="Palatino Linotype" w:eastAsia="Palatino Linotype" w:hAnsi="Palatino Linotype" w:cs="Palatino Linotype"/>
        </w:rPr>
        <w:t xml:space="preserve">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02556/INFOEM/IP/RR/2023 y acumulado </w:t>
      </w:r>
      <w:r>
        <w:rPr>
          <w:rFonts w:ascii="Palatino Linotype" w:eastAsia="Palatino Linotype" w:hAnsi="Palatino Linotype" w:cs="Palatino Linotype"/>
        </w:rPr>
        <w:t>pronu</w:t>
      </w:r>
      <w:r>
        <w:rPr>
          <w:rFonts w:ascii="Palatino Linotype" w:eastAsia="Palatino Linotype" w:hAnsi="Palatino Linotype" w:cs="Palatino Linotype"/>
        </w:rPr>
        <w:t>nciada por el Pleno de este Instituto ante el proyecto presentado por el Comisionado Luis Gustavo Parra Noriega, el cual se formuló, al tenor siguiente:</w:t>
      </w:r>
    </w:p>
    <w:p w:rsidR="009305CF" w:rsidRDefault="009305CF">
      <w:pPr>
        <w:spacing w:after="0" w:line="360" w:lineRule="auto"/>
        <w:jc w:val="both"/>
        <w:rPr>
          <w:rFonts w:ascii="Palatino Linotype" w:eastAsia="Palatino Linotype" w:hAnsi="Palatino Linotype" w:cs="Palatino Linotype"/>
          <w:b/>
        </w:rPr>
      </w:pPr>
    </w:p>
    <w:p w:rsidR="009305CF" w:rsidRDefault="003B5CBF">
      <w:pPr>
        <w:numPr>
          <w:ilvl w:val="0"/>
          <w:numId w:val="1"/>
        </w:numPr>
        <w:spacing w:after="0" w:line="360" w:lineRule="auto"/>
        <w:ind w:left="284"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9305CF" w:rsidRDefault="009305CF">
      <w:pPr>
        <w:spacing w:after="0" w:line="360" w:lineRule="auto"/>
        <w:ind w:left="142"/>
        <w:jc w:val="both"/>
        <w:rPr>
          <w:rFonts w:ascii="Palatino Linotype" w:eastAsia="Palatino Linotype" w:hAnsi="Palatino Linotype" w:cs="Palatino Linotype"/>
          <w:b/>
        </w:rPr>
      </w:pPr>
    </w:p>
    <w:p w:rsidR="009305CF" w:rsidRDefault="003B5C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asunto que nos ocupa, la parte Recurrente solicitó al Sujeto Obligado, le proporc</w:t>
      </w:r>
      <w:r>
        <w:rPr>
          <w:rFonts w:ascii="Palatino Linotype" w:eastAsia="Palatino Linotype" w:hAnsi="Palatino Linotype" w:cs="Palatino Linotype"/>
        </w:rPr>
        <w:t>ionara lo siguiente:</w:t>
      </w:r>
    </w:p>
    <w:p w:rsidR="009305CF" w:rsidRDefault="009305CF">
      <w:pPr>
        <w:tabs>
          <w:tab w:val="left" w:pos="4667"/>
        </w:tabs>
        <w:spacing w:after="0" w:line="360" w:lineRule="auto"/>
        <w:ind w:right="567"/>
        <w:jc w:val="both"/>
        <w:rPr>
          <w:rFonts w:ascii="Palatino Linotype" w:eastAsia="Palatino Linotype" w:hAnsi="Palatino Linotype" w:cs="Palatino Linotype"/>
          <w:b/>
          <w:i/>
        </w:rPr>
      </w:pPr>
    </w:p>
    <w:p w:rsidR="009305CF" w:rsidRDefault="003B5CBF">
      <w:pPr>
        <w:tabs>
          <w:tab w:val="left" w:pos="4667"/>
        </w:tabs>
        <w:spacing w:after="0" w:line="276"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rPr>
        <w:t xml:space="preserve">Solicitud de Información </w:t>
      </w:r>
      <w:r>
        <w:rPr>
          <w:rFonts w:ascii="Palatino Linotype" w:eastAsia="Palatino Linotype" w:hAnsi="Palatino Linotype" w:cs="Palatino Linotype"/>
          <w:b/>
          <w:i/>
          <w:color w:val="000000"/>
        </w:rPr>
        <w:t>0086/ZUMPANGO/IP/2023</w:t>
      </w:r>
    </w:p>
    <w:p w:rsidR="009305CF" w:rsidRDefault="009305CF">
      <w:pPr>
        <w:tabs>
          <w:tab w:val="left" w:pos="4667"/>
        </w:tabs>
        <w:spacing w:after="0" w:line="276" w:lineRule="auto"/>
        <w:ind w:left="567" w:right="567"/>
        <w:jc w:val="both"/>
        <w:rPr>
          <w:rFonts w:ascii="Palatino Linotype" w:eastAsia="Palatino Linotype" w:hAnsi="Palatino Linotype" w:cs="Palatino Linotype"/>
          <w:b/>
          <w:i/>
        </w:rPr>
      </w:pPr>
    </w:p>
    <w:p w:rsidR="009305CF" w:rsidRDefault="003B5CBF">
      <w:pPr>
        <w:tabs>
          <w:tab w:val="left" w:pos="4667"/>
        </w:tabs>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“DESCRIPCIÓN CLARA Y PRECISA DE LA INFORMACIÓN SOLICITADA</w:t>
      </w:r>
    </w:p>
    <w:p w:rsidR="009305CF" w:rsidRDefault="003B5CBF">
      <w:pPr>
        <w:spacing w:after="0" w:line="276" w:lineRule="auto"/>
        <w:ind w:left="567" w:right="567"/>
        <w:jc w:val="both"/>
        <w:rPr>
          <w:rFonts w:ascii="Palatino Linotype" w:eastAsia="Palatino Linotype" w:hAnsi="Palatino Linotype" w:cs="Palatino Linotype"/>
          <w:i/>
        </w:rPr>
      </w:pPr>
      <w:bookmarkStart w:id="1" w:name="_heading=h.tyjcwt" w:colFirst="0" w:colLast="0"/>
      <w:bookmarkEnd w:id="1"/>
      <w:r>
        <w:rPr>
          <w:rFonts w:ascii="Palatino Linotype" w:eastAsia="Palatino Linotype" w:hAnsi="Palatino Linotype" w:cs="Palatino Linotype"/>
          <w:i/>
          <w:color w:val="000000"/>
        </w:rPr>
        <w:lastRenderedPageBreak/>
        <w:t xml:space="preserve">Solicito los recibos de nomina del personal del ayuntamiento de zumpango de los meses de octubre, noviembre, diciembre del año </w:t>
      </w:r>
      <w:r>
        <w:rPr>
          <w:rFonts w:ascii="Palatino Linotype" w:eastAsia="Palatino Linotype" w:hAnsi="Palatino Linotype" w:cs="Palatino Linotype"/>
          <w:i/>
          <w:color w:val="000000"/>
        </w:rPr>
        <w:t>2022 y de los meses de enero, febrero y marzo del año 2023.</w:t>
      </w:r>
      <w:r>
        <w:rPr>
          <w:rFonts w:ascii="Palatino Linotype" w:eastAsia="Palatino Linotype" w:hAnsi="Palatino Linotype" w:cs="Palatino Linotype"/>
          <w:i/>
        </w:rPr>
        <w:t>” (Sic)</w:t>
      </w:r>
    </w:p>
    <w:p w:rsidR="009305CF" w:rsidRDefault="009305CF">
      <w:pPr>
        <w:spacing w:after="0" w:line="276" w:lineRule="auto"/>
        <w:ind w:right="567"/>
        <w:jc w:val="both"/>
        <w:rPr>
          <w:rFonts w:ascii="Palatino Linotype" w:eastAsia="Palatino Linotype" w:hAnsi="Palatino Linotype" w:cs="Palatino Linotype"/>
          <w:i/>
        </w:rPr>
      </w:pPr>
    </w:p>
    <w:p w:rsidR="009305CF" w:rsidRDefault="003B5CBF">
      <w:pPr>
        <w:tabs>
          <w:tab w:val="left" w:pos="4667"/>
        </w:tabs>
        <w:spacing w:after="0" w:line="276"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rPr>
        <w:t xml:space="preserve">Solicitud de Información </w:t>
      </w:r>
      <w:r>
        <w:rPr>
          <w:rFonts w:ascii="Palatino Linotype" w:eastAsia="Palatino Linotype" w:hAnsi="Palatino Linotype" w:cs="Palatino Linotype"/>
          <w:b/>
          <w:i/>
          <w:color w:val="000000"/>
        </w:rPr>
        <w:t>0087/ZUMPANGO/IP/2023</w:t>
      </w:r>
    </w:p>
    <w:p w:rsidR="009305CF" w:rsidRDefault="009305CF">
      <w:pPr>
        <w:tabs>
          <w:tab w:val="left" w:pos="4667"/>
        </w:tabs>
        <w:spacing w:after="0" w:line="276" w:lineRule="auto"/>
        <w:ind w:left="567" w:right="567"/>
        <w:jc w:val="both"/>
        <w:rPr>
          <w:rFonts w:ascii="Palatino Linotype" w:eastAsia="Palatino Linotype" w:hAnsi="Palatino Linotype" w:cs="Palatino Linotype"/>
          <w:b/>
          <w:i/>
        </w:rPr>
      </w:pPr>
    </w:p>
    <w:p w:rsidR="009305CF" w:rsidRDefault="003B5CBF">
      <w:pPr>
        <w:tabs>
          <w:tab w:val="left" w:pos="4667"/>
        </w:tabs>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“DESCRIPCIÓN CLARA Y PRECISA DE LA INFORMACIÓN SOLICITADA</w:t>
      </w:r>
    </w:p>
    <w:p w:rsidR="009305CF" w:rsidRDefault="003B5CB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informe de los movimientos de alta y baja de personal de septiembre del año 2022 al mes de marzo del año 2023 la información la solito en excel por mes y por area.</w:t>
      </w:r>
      <w:r>
        <w:rPr>
          <w:rFonts w:ascii="Palatino Linotype" w:eastAsia="Palatino Linotype" w:hAnsi="Palatino Linotype" w:cs="Palatino Linotype"/>
          <w:i/>
        </w:rPr>
        <w:t>”  (Sic)</w:t>
      </w:r>
    </w:p>
    <w:p w:rsidR="009305CF" w:rsidRDefault="009305CF">
      <w:pPr>
        <w:spacing w:after="0" w:line="276" w:lineRule="auto"/>
        <w:ind w:right="567"/>
        <w:jc w:val="both"/>
        <w:rPr>
          <w:rFonts w:ascii="Palatino Linotype" w:eastAsia="Palatino Linotype" w:hAnsi="Palatino Linotype" w:cs="Palatino Linotype"/>
          <w:i/>
        </w:rPr>
      </w:pPr>
    </w:p>
    <w:p w:rsidR="009305CF" w:rsidRDefault="003B5CBF">
      <w:pPr>
        <w:tabs>
          <w:tab w:val="left" w:pos="4667"/>
        </w:tabs>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“Modalidad de Entrega: </w:t>
      </w:r>
    </w:p>
    <w:p w:rsidR="009305CF" w:rsidRDefault="003B5CBF">
      <w:pPr>
        <w:tabs>
          <w:tab w:val="left" w:pos="567"/>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A través de SAIMEX.”</w:t>
      </w:r>
    </w:p>
    <w:p w:rsidR="009305CF" w:rsidRDefault="009305CF">
      <w:pPr>
        <w:spacing w:after="0" w:line="360" w:lineRule="auto"/>
        <w:ind w:left="567" w:right="900"/>
        <w:jc w:val="both"/>
        <w:rPr>
          <w:rFonts w:ascii="Palatino Linotype" w:eastAsia="Palatino Linotype" w:hAnsi="Palatino Linotype" w:cs="Palatino Linotype"/>
          <w:i/>
          <w:sz w:val="24"/>
          <w:szCs w:val="24"/>
        </w:rPr>
      </w:pPr>
    </w:p>
    <w:p w:rsidR="009305CF" w:rsidRPr="003B5CBF" w:rsidRDefault="003B5CBF">
      <w:pPr>
        <w:spacing w:after="0" w:line="360" w:lineRule="auto"/>
        <w:jc w:val="both"/>
        <w:rPr>
          <w:rFonts w:ascii="Palatino Linotype" w:eastAsia="Palatino Linotype" w:hAnsi="Palatino Linotype" w:cs="Palatino Linotype"/>
        </w:rPr>
      </w:pPr>
      <w:r w:rsidRPr="003B5CBF">
        <w:rPr>
          <w:rFonts w:ascii="Palatino Linotype" w:eastAsia="Palatino Linotype" w:hAnsi="Palatino Linotype" w:cs="Palatino Linotype"/>
        </w:rPr>
        <w:t xml:space="preserve">El </w:t>
      </w:r>
      <w:r w:rsidRPr="003B5CBF">
        <w:rPr>
          <w:rFonts w:ascii="Palatino Linotype" w:eastAsia="Palatino Linotype" w:hAnsi="Palatino Linotype" w:cs="Palatino Linotype"/>
          <w:b/>
        </w:rPr>
        <w:t>Sujeto Obligado</w:t>
      </w:r>
      <w:r w:rsidRPr="003B5CBF">
        <w:rPr>
          <w:rFonts w:ascii="Palatino Linotype" w:eastAsia="Palatino Linotype" w:hAnsi="Palatino Linotype" w:cs="Palatino Linotype"/>
        </w:rPr>
        <w:t xml:space="preserve">, dio respuesta </w:t>
      </w:r>
      <w:r>
        <w:rPr>
          <w:rFonts w:ascii="Palatino Linotype" w:eastAsia="Palatino Linotype" w:hAnsi="Palatino Linotype" w:cs="Palatino Linotype"/>
        </w:rPr>
        <w:t xml:space="preserve">precisando que, la información podía ser consultada directamente en la Dirección de Administración, es decir, cambió la modalidad de entrega de la información a consulta directa. </w:t>
      </w:r>
    </w:p>
    <w:p w:rsidR="009305CF" w:rsidRDefault="009305CF">
      <w:pPr>
        <w:spacing w:after="0" w:line="360" w:lineRule="auto"/>
        <w:ind w:right="567"/>
        <w:jc w:val="both"/>
        <w:rPr>
          <w:rFonts w:ascii="Palatino Linotype" w:eastAsia="Palatino Linotype" w:hAnsi="Palatino Linotype" w:cs="Palatino Linotype"/>
          <w:i/>
        </w:rPr>
      </w:pPr>
    </w:p>
    <w:p w:rsidR="009305CF" w:rsidRDefault="003B5CBF">
      <w:pPr>
        <w:spacing w:after="0" w:line="360" w:lineRule="auto"/>
        <w:jc w:val="both"/>
        <w:rPr>
          <w:rFonts w:ascii="Palatino Linotype" w:eastAsia="Palatino Linotype" w:hAnsi="Palatino Linotype" w:cs="Palatino Linotype"/>
          <w:highlight w:val="yellow"/>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medularmente por el cambió de modalidad aprobado por el Sujeto Obligado. </w:t>
      </w:r>
      <w:r>
        <w:rPr>
          <w:rFonts w:ascii="Palatino Linotype" w:eastAsia="Palatino Linotype" w:hAnsi="Palatino Linotype" w:cs="Palatino Linotype"/>
        </w:rPr>
        <w:t xml:space="preserve"> </w:t>
      </w:r>
    </w:p>
    <w:p w:rsidR="009305CF" w:rsidRDefault="009305CF">
      <w:pPr>
        <w:spacing w:after="0" w:line="360" w:lineRule="auto"/>
        <w:jc w:val="both"/>
        <w:rPr>
          <w:rFonts w:ascii="Palatino Linotype" w:eastAsia="Palatino Linotype" w:hAnsi="Palatino Linotype" w:cs="Palatino Linotype"/>
        </w:rPr>
      </w:pPr>
    </w:p>
    <w:p w:rsidR="009305CF" w:rsidRDefault="003B5C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Las partes fueron omisas en rendir manifestaciones.</w:t>
      </w:r>
      <w:r>
        <w:rPr>
          <w:rFonts w:ascii="Palatino Linotype" w:eastAsia="Palatino Linotype" w:hAnsi="Palatino Linotype" w:cs="Palatino Linotype"/>
        </w:rPr>
        <w:t xml:space="preserve"> </w:t>
      </w:r>
    </w:p>
    <w:p w:rsidR="009305CF" w:rsidRDefault="009305CF">
      <w:pPr>
        <w:spacing w:after="0" w:line="360" w:lineRule="auto"/>
        <w:jc w:val="both"/>
        <w:rPr>
          <w:rFonts w:ascii="Palatino Linotype" w:eastAsia="Palatino Linotype" w:hAnsi="Palatino Linotype" w:cs="Palatino Linotype"/>
        </w:rPr>
      </w:pPr>
    </w:p>
    <w:p w:rsidR="009305CF" w:rsidRDefault="003B5CBF">
      <w:pPr>
        <w:spacing w:after="0" w:line="360" w:lineRule="auto"/>
        <w:ind w:right="-6"/>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Así las cosas, el Comisionado </w:t>
      </w:r>
      <w:r>
        <w:rPr>
          <w:rFonts w:ascii="Palatino Linotype" w:eastAsia="Palatino Linotype" w:hAnsi="Palatino Linotype" w:cs="Palatino Linotype"/>
        </w:rPr>
        <w:t xml:space="preserve">Ponente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las respuestas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9305CF" w:rsidRDefault="009305CF">
      <w:pPr>
        <w:pBdr>
          <w:top w:val="nil"/>
          <w:left w:val="nil"/>
          <w:bottom w:val="nil"/>
          <w:right w:val="nil"/>
          <w:between w:val="nil"/>
        </w:pBdr>
        <w:spacing w:after="0" w:line="360" w:lineRule="auto"/>
        <w:ind w:left="284"/>
        <w:jc w:val="both"/>
        <w:rPr>
          <w:rFonts w:ascii="Palatino Linotype" w:eastAsia="Palatino Linotype" w:hAnsi="Palatino Linotype" w:cs="Palatino Linotype"/>
          <w:b/>
          <w:i/>
        </w:rPr>
      </w:pPr>
    </w:p>
    <w:p w:rsidR="009305CF" w:rsidRDefault="003B5CBF">
      <w:pPr>
        <w:tabs>
          <w:tab w:val="left" w:pos="1845"/>
        </w:tabs>
        <w:spacing w:after="0"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rPr>
        <w:lastRenderedPageBreak/>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al </w:t>
      </w:r>
      <w:r>
        <w:rPr>
          <w:rFonts w:ascii="Palatino Linotype" w:eastAsia="Palatino Linotype" w:hAnsi="Palatino Linotype" w:cs="Palatino Linotype"/>
          <w:i/>
          <w:color w:val="0D0D0D"/>
        </w:rPr>
        <w:t>Sujeto Obligado</w:t>
      </w:r>
      <w:r>
        <w:rPr>
          <w:rFonts w:ascii="Palatino Linotype" w:eastAsia="Palatino Linotype" w:hAnsi="Palatino Linotype" w:cs="Palatino Linotype"/>
          <w:i/>
        </w:rPr>
        <w:t xml:space="preserve">, a efecto de que, previa búsqueda exhaustiva y razonable en los archivos de sus unidades administrativas competentes, entregue, a través del Sistema de Acceso a la Información Mexiquense (SAIMEX), en su caso, en versión pública, </w:t>
      </w:r>
      <w:r>
        <w:rPr>
          <w:rFonts w:ascii="Palatino Linotype" w:eastAsia="Palatino Linotype" w:hAnsi="Palatino Linotype" w:cs="Palatino Linotype"/>
          <w:i/>
          <w:color w:val="000000"/>
        </w:rPr>
        <w:t>l</w:t>
      </w:r>
      <w:r>
        <w:rPr>
          <w:rFonts w:ascii="Palatino Linotype" w:eastAsia="Palatino Linotype" w:hAnsi="Palatino Linotype" w:cs="Palatino Linotype"/>
          <w:i/>
          <w:color w:val="000000"/>
        </w:rPr>
        <w:t>o siguiente:</w:t>
      </w:r>
    </w:p>
    <w:p w:rsidR="009305CF" w:rsidRDefault="009305CF">
      <w:pPr>
        <w:spacing w:after="0" w:line="276" w:lineRule="auto"/>
        <w:ind w:left="567" w:right="616"/>
        <w:jc w:val="both"/>
        <w:rPr>
          <w:rFonts w:ascii="Palatino Linotype" w:eastAsia="Palatino Linotype" w:hAnsi="Palatino Linotype" w:cs="Palatino Linotype"/>
          <w:i/>
        </w:rPr>
      </w:pPr>
    </w:p>
    <w:p w:rsidR="009305CF" w:rsidRDefault="003B5CBF">
      <w:pPr>
        <w:numPr>
          <w:ilvl w:val="0"/>
          <w:numId w:val="2"/>
        </w:num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Los recibos de nómina de todos los servidores públicos adscritos al Ayuntamiento, de la primera quincena de octubre de dos mil veintidós a la primera de marzo de dos mil veintitrés, y </w:t>
      </w:r>
    </w:p>
    <w:p w:rsidR="009305CF" w:rsidRDefault="009305CF">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4"/>
          <w:szCs w:val="24"/>
        </w:rPr>
      </w:pPr>
    </w:p>
    <w:p w:rsidR="009305CF" w:rsidRDefault="003B5CBF">
      <w:pPr>
        <w:numPr>
          <w:ilvl w:val="0"/>
          <w:numId w:val="2"/>
        </w:num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Los documentos donde consten los movimientos de alta y baja de servidores públicos, del primero de septiembre de dos mil veintidós al diecisiete de marzo de dos mil veintitrés, preferentemente en formato “.xlsx”, o en aquel que hayan sido generados.</w:t>
      </w:r>
    </w:p>
    <w:p w:rsidR="009305CF" w:rsidRDefault="009305CF">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4"/>
          <w:szCs w:val="24"/>
        </w:rPr>
      </w:pPr>
    </w:p>
    <w:p w:rsidR="009305CF" w:rsidRDefault="003B5CBF">
      <w:pPr>
        <w:spacing w:after="0"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w:t>
      </w:r>
      <w:r>
        <w:rPr>
          <w:rFonts w:ascii="Palatino Linotype" w:eastAsia="Palatino Linotype" w:hAnsi="Palatino Linotype" w:cs="Palatino Linotype"/>
          <w:i/>
          <w:color w:val="000000"/>
        </w:rPr>
        <w:t>s, deberá proporcionar el Acuerdo de Clasificación donde el Comité de Transparencia, confirme la eliminación de los datos o información clasificada, en la versión pública, de conformidad con los artículos 49, fracciones II y VIII y 132, fracción II de la L</w:t>
      </w:r>
      <w:r>
        <w:rPr>
          <w:rFonts w:ascii="Palatino Linotype" w:eastAsia="Palatino Linotype" w:hAnsi="Palatino Linotype" w:cs="Palatino Linotype"/>
          <w:i/>
          <w:color w:val="000000"/>
        </w:rPr>
        <w:t>ey de Transparencia y Acceso a la Información Pública del Estado de México y Municipios.</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rsidR="009305CF" w:rsidRDefault="003B5CBF">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9305CF" w:rsidRDefault="009305CF">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este orden de ideas, resulta importante señalar que coincido con los términos generales planteados en la Resolución; debido a que por regla general la publicidad de lo</w:t>
      </w:r>
      <w:r>
        <w:rPr>
          <w:rFonts w:ascii="Palatino Linotype" w:eastAsia="Palatino Linotype" w:hAnsi="Palatino Linotype" w:cs="Palatino Linotype"/>
          <w:sz w:val="24"/>
          <w:szCs w:val="24"/>
        </w:rPr>
        <w:t xml:space="preserve">s nombres de </w:t>
      </w:r>
      <w:r>
        <w:rPr>
          <w:rFonts w:ascii="Palatino Linotype" w:eastAsia="Palatino Linotype" w:hAnsi="Palatino Linotype" w:cs="Palatino Linotype"/>
          <w:color w:val="000000"/>
          <w:sz w:val="24"/>
          <w:szCs w:val="24"/>
        </w:rPr>
        <w:t>los servidores públicos en el  ejercicio de la función pública, se encuen</w:t>
      </w:r>
      <w:r>
        <w:rPr>
          <w:rFonts w:ascii="Palatino Linotype" w:eastAsia="Palatino Linotype" w:hAnsi="Palatino Linotype" w:cs="Palatino Linotype"/>
          <w:color w:val="000000"/>
          <w:sz w:val="24"/>
          <w:szCs w:val="24"/>
        </w:rPr>
        <w:t xml:space="preserve">tran establecidas como una obligación de transparencia común, tanto en la Ley General como en la Ley Local, y de manera específica, el artículo 92, fracción VII </w:t>
      </w:r>
      <w:r>
        <w:rPr>
          <w:rFonts w:ascii="Palatino Linotype" w:eastAsia="Palatino Linotype" w:hAnsi="Palatino Linotype" w:cs="Palatino Linotype"/>
          <w:color w:val="000000"/>
          <w:sz w:val="24"/>
          <w:szCs w:val="24"/>
        </w:rPr>
        <w:lastRenderedPageBreak/>
        <w:t>de la Ley de Transparencia y Acceso a la Información Pública del Estado de México y Municipios;</w:t>
      </w:r>
      <w:r>
        <w:rPr>
          <w:rFonts w:ascii="Palatino Linotype" w:eastAsia="Palatino Linotype" w:hAnsi="Palatino Linotype" w:cs="Palatino Linotype"/>
          <w:color w:val="000000"/>
          <w:sz w:val="24"/>
          <w:szCs w:val="24"/>
        </w:rPr>
        <w:t xml:space="preserve"> no obstante lo anterior, considero que dicha regla está sujeta a claro régimen de  excepción, la cual concretamente se aprecia en el caso de los recibos de nómina del personal de la policía que se encuentra adscrito a instituciones de seguridad pública co</w:t>
      </w:r>
      <w:r>
        <w:rPr>
          <w:rFonts w:ascii="Palatino Linotype" w:eastAsia="Palatino Linotype" w:hAnsi="Palatino Linotype" w:cs="Palatino Linotype"/>
          <w:color w:val="000000"/>
          <w:sz w:val="24"/>
          <w:szCs w:val="24"/>
        </w:rPr>
        <w:t xml:space="preserve">n funciones operativas, en atención a los consideraciones que a continuación se exponen. </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Sobre este punto, debemos partir desde la máxima establecida en nuestro texto Constitucional Federal pues el artículo 21 en su párrafo noveno reconoce que la segurid</w:t>
      </w:r>
      <w:r>
        <w:rPr>
          <w:rFonts w:ascii="Palatino Linotype" w:eastAsia="Palatino Linotype" w:hAnsi="Palatino Linotype" w:cs="Palatino Linotype"/>
          <w:color w:val="000000"/>
          <w:sz w:val="24"/>
          <w:szCs w:val="24"/>
        </w:rPr>
        <w:t>ad pública es una función del Estado a cargo de la Federación, las Entidades Federativas y los Municipios, cuyos fines son salvaguardar la vida, las libertades, la integridad y el patrimonio de las personas, así como contribuir a la generación y preservaci</w:t>
      </w:r>
      <w:r>
        <w:rPr>
          <w:rFonts w:ascii="Palatino Linotype" w:eastAsia="Palatino Linotype" w:hAnsi="Palatino Linotype" w:cs="Palatino Linotype"/>
          <w:color w:val="000000"/>
          <w:sz w:val="24"/>
          <w:szCs w:val="24"/>
        </w:rPr>
        <w:t>ón del orden público y la paz social. Asimismo señala que la actuación de las instituciones de seguridad pública se regirá por los principios de legalidad, objetividad, eficiencia, profesionalismo, honradez y respeto a los derechos humanos.</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Dicha circunst</w:t>
      </w:r>
      <w:r>
        <w:rPr>
          <w:rFonts w:ascii="Palatino Linotype" w:eastAsia="Palatino Linotype" w:hAnsi="Palatino Linotype" w:cs="Palatino Linotype"/>
          <w:color w:val="000000"/>
          <w:sz w:val="24"/>
          <w:szCs w:val="24"/>
        </w:rPr>
        <w:t>ancia es replicada por la Ley de Seguridad del Estado de México en su artículo 1, fracciones II, III y V, las cuales señalan que dicho ordenamiento es de orden público, de interés social y de observancia general en todo el territorio del Estado de México y</w:t>
      </w:r>
      <w:r>
        <w:rPr>
          <w:rFonts w:ascii="Palatino Linotype" w:eastAsia="Palatino Linotype" w:hAnsi="Palatino Linotype" w:cs="Palatino Linotype"/>
          <w:color w:val="000000"/>
          <w:sz w:val="24"/>
          <w:szCs w:val="24"/>
        </w:rPr>
        <w:t xml:space="preserve"> tiene por objeto establecer las bases de coordinación del Estado y los Municipios con la Federación, las Entidades Federativas, Municipios y Alcaldías de la Ciudad de México; integrar el Sistema Estatal de Seguridad Pública, que a su vez </w:t>
      </w:r>
      <w:r>
        <w:rPr>
          <w:rFonts w:ascii="Palatino Linotype" w:eastAsia="Palatino Linotype" w:hAnsi="Palatino Linotype" w:cs="Palatino Linotype"/>
          <w:color w:val="000000"/>
          <w:sz w:val="24"/>
          <w:szCs w:val="24"/>
        </w:rPr>
        <w:lastRenderedPageBreak/>
        <w:t>contribuirá con e</w:t>
      </w:r>
      <w:r>
        <w:rPr>
          <w:rFonts w:ascii="Palatino Linotype" w:eastAsia="Palatino Linotype" w:hAnsi="Palatino Linotype" w:cs="Palatino Linotype"/>
          <w:color w:val="000000"/>
          <w:sz w:val="24"/>
          <w:szCs w:val="24"/>
        </w:rPr>
        <w:t>l Sistema Nacional de Seguridad Pública; para la construcción de las bases para una plena seguridad ciudadana.</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w:t>
      </w:r>
      <w:r>
        <w:rPr>
          <w:rFonts w:ascii="Palatino Linotype" w:eastAsia="Palatino Linotype" w:hAnsi="Palatino Linotype" w:cs="Palatino Linotype"/>
          <w:sz w:val="24"/>
          <w:szCs w:val="24"/>
        </w:rPr>
        <w:t>e central a la persona humana y, por ende, contribuyen al establecimiento de la seguridad ciudadana, la cual tiene por objeto proteger a las personas; asegurar el ejercicio de su ciudadanía, sus libertades y derechos fundamentales; establecer espacios de p</w:t>
      </w:r>
      <w:r>
        <w:rPr>
          <w:rFonts w:ascii="Palatino Linotype" w:eastAsia="Palatino Linotype" w:hAnsi="Palatino Linotype" w:cs="Palatino Linotype"/>
          <w:sz w:val="24"/>
          <w:szCs w:val="24"/>
        </w:rPr>
        <w:t>articipación social corresponsable y armónica; propiciar la solución pacífica de los conflictos interpersonales y sociales; fortalecer a las instituciones, y propiciar condiciones durables que permitan a los ciudadanos desarrollar sus capacidades, en un am</w:t>
      </w:r>
      <w:r>
        <w:rPr>
          <w:rFonts w:ascii="Palatino Linotype" w:eastAsia="Palatino Linotype" w:hAnsi="Palatino Linotype" w:cs="Palatino Linotype"/>
          <w:sz w:val="24"/>
          <w:szCs w:val="24"/>
        </w:rPr>
        <w:t>biente de paz y democracia.</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acreditado el objeto de la seguridad pública, así como los sujetos encargados de ejecutar las acciones para consumar esta función, podemos observar con claridad la importancia de los elementos operativos que ejecutan estas acciones encaminadas a pr</w:t>
      </w:r>
      <w:r>
        <w:rPr>
          <w:rFonts w:ascii="Palatino Linotype" w:eastAsia="Palatino Linotype" w:hAnsi="Palatino Linotype" w:cs="Palatino Linotype"/>
          <w:sz w:val="24"/>
          <w:szCs w:val="24"/>
        </w:rPr>
        <w:t xml:space="preserve">eservar el orden dentro de la dinámica social y podemos partir de este punto para determinar el riesgo de la divulgación de esta información y por ende, la procedencia de su clasificación como información reservada. </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momento podemos vislumbrar q</w:t>
      </w:r>
      <w:r>
        <w:rPr>
          <w:rFonts w:ascii="Palatino Linotype" w:eastAsia="Palatino Linotype" w:hAnsi="Palatino Linotype" w:cs="Palatino Linotype"/>
          <w:sz w:val="24"/>
          <w:szCs w:val="24"/>
        </w:rPr>
        <w:t xml:space="preserve">ue el artículo 81, fracción II de la Ley de Seguridad del Estado de México dispone de manera expresa que toda información </w:t>
      </w:r>
      <w:r>
        <w:rPr>
          <w:rFonts w:ascii="Palatino Linotype" w:eastAsia="Palatino Linotype" w:hAnsi="Palatino Linotype" w:cs="Palatino Linotype"/>
          <w:sz w:val="24"/>
          <w:szCs w:val="24"/>
        </w:rPr>
        <w:lastRenderedPageBreak/>
        <w:t xml:space="preserve">para la seguridad pública generada o en poder de Instituciones de Seguridad Pública o de cualquier instancia del Sistema Estatal debe </w:t>
      </w:r>
      <w:r>
        <w:rPr>
          <w:rFonts w:ascii="Palatino Linotype" w:eastAsia="Palatino Linotype" w:hAnsi="Palatino Linotype" w:cs="Palatino Linotype"/>
          <w:sz w:val="24"/>
          <w:szCs w:val="24"/>
        </w:rPr>
        <w:t>clasificarse, sirve de referencia la siguiente cita:</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w:t>
      </w:r>
      <w:r>
        <w:rPr>
          <w:rFonts w:ascii="Palatino Linotype" w:eastAsia="Palatino Linotype" w:hAnsi="Palatino Linotype" w:cs="Palatino Linotype"/>
          <w:i/>
        </w:rPr>
        <w:t xml:space="preserve"> de conformidad con las disposiciones aplicables. No obstante lo anterior, esta información se considerará reservada en los casos siguientes:</w:t>
      </w:r>
    </w:p>
    <w:p w:rsidR="009305CF" w:rsidRDefault="003B5CBF">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9305CF" w:rsidRDefault="003B5CBF">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w:t>
      </w:r>
      <w:r>
        <w:rPr>
          <w:rFonts w:ascii="Palatino Linotype" w:eastAsia="Palatino Linotype" w:hAnsi="Palatino Linotype" w:cs="Palatino Linotype"/>
          <w:b/>
          <w:i/>
          <w:u w:val="single"/>
        </w:rPr>
        <w:t xml:space="preserve"> a las instituciones del Estado de México…</w:t>
      </w:r>
      <w:r>
        <w:rPr>
          <w:rFonts w:ascii="Palatino Linotype" w:eastAsia="Palatino Linotype" w:hAnsi="Palatino Linotype" w:cs="Palatino Linotype"/>
          <w:b/>
          <w:i/>
        </w:rPr>
        <w:t xml:space="preserve">” </w:t>
      </w:r>
    </w:p>
    <w:p w:rsidR="009305CF" w:rsidRDefault="009305CF">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sz w:val="24"/>
          <w:szCs w:val="24"/>
          <w:u w:val="single"/>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sz w:val="24"/>
          <w:szCs w:val="24"/>
        </w:rPr>
        <w:t xml:space="preserve">n un efecto demostrable, posteriormente el artículo 140 fracción I de la Ley de Transparencia Local replica esta circunstancia de reserva, que señalan: </w:t>
      </w:r>
    </w:p>
    <w:p w:rsidR="009305CF" w:rsidRDefault="009305CF">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rPr>
      </w:pPr>
    </w:p>
    <w:p w:rsidR="009305CF" w:rsidRDefault="003B5CBF">
      <w:pPr>
        <w:pBdr>
          <w:top w:val="nil"/>
          <w:left w:val="nil"/>
          <w:bottom w:val="nil"/>
          <w:right w:val="nil"/>
          <w:between w:val="nil"/>
        </w:pBdr>
        <w:tabs>
          <w:tab w:val="left" w:pos="284"/>
        </w:tabs>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113. Como información reservada podrá clasificarse aquella cuya publicación: </w:t>
      </w:r>
    </w:p>
    <w:p w:rsidR="009305CF" w:rsidRDefault="003B5CBF">
      <w:pPr>
        <w:pBdr>
          <w:top w:val="nil"/>
          <w:left w:val="nil"/>
          <w:bottom w:val="nil"/>
          <w:right w:val="nil"/>
          <w:between w:val="nil"/>
        </w:pBdr>
        <w:tabs>
          <w:tab w:val="left" w:pos="284"/>
        </w:tabs>
        <w:spacing w:after="0" w:line="276" w:lineRule="auto"/>
        <w:ind w:left="567" w:right="70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Comprometa la seguridad nacional, la seguridad pública o la defensa nacional y cuente con un propósito genuino y un efecto demostrable;</w:t>
      </w:r>
    </w:p>
    <w:p w:rsidR="009305CF" w:rsidRDefault="003B5CBF">
      <w:pPr>
        <w:pBdr>
          <w:top w:val="nil"/>
          <w:left w:val="nil"/>
          <w:bottom w:val="nil"/>
          <w:right w:val="nil"/>
          <w:between w:val="nil"/>
        </w:pBdr>
        <w:tabs>
          <w:tab w:val="left" w:pos="284"/>
        </w:tabs>
        <w:spacing w:after="0" w:line="276" w:lineRule="auto"/>
        <w:ind w:left="567" w:right="70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rsidR="009305CF" w:rsidRDefault="003B5CBF">
      <w:pPr>
        <w:pBdr>
          <w:top w:val="nil"/>
          <w:left w:val="nil"/>
          <w:bottom w:val="nil"/>
          <w:right w:val="nil"/>
          <w:between w:val="nil"/>
        </w:pBdr>
        <w:tabs>
          <w:tab w:val="left" w:pos="284"/>
        </w:tabs>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Artículo 140. El acceso a la información pública será restringido excepcionalmente, cuando por razones de interés </w:t>
      </w:r>
      <w:r>
        <w:rPr>
          <w:rFonts w:ascii="Palatino Linotype" w:eastAsia="Palatino Linotype" w:hAnsi="Palatino Linotype" w:cs="Palatino Linotype"/>
          <w:i/>
          <w:color w:val="000000"/>
        </w:rPr>
        <w:t xml:space="preserve">público, ésta sea clasificada como reservada, conforme a los criterios siguientes: </w:t>
      </w:r>
    </w:p>
    <w:p w:rsidR="009305CF" w:rsidRDefault="003B5CBF">
      <w:pPr>
        <w:numPr>
          <w:ilvl w:val="0"/>
          <w:numId w:val="3"/>
        </w:numPr>
        <w:pBdr>
          <w:top w:val="nil"/>
          <w:left w:val="nil"/>
          <w:bottom w:val="nil"/>
          <w:right w:val="nil"/>
          <w:between w:val="nil"/>
        </w:pBdr>
        <w:tabs>
          <w:tab w:val="left" w:pos="284"/>
        </w:tabs>
        <w:spacing w:after="0" w:line="276" w:lineRule="auto"/>
        <w:ind w:left="567" w:right="706"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Comprometa la seguridad pública y cuente con un propósito genuino y un efecto demostrable…” </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los Lineamientos Generales en Materia de Clasificación y Desclasificación de la Información, así como para la Elaboración de Versiones Públicas, publicados el 16 de abril de 2016 y reformados el 18 de noviembre de 2022 señalan en</w:t>
      </w:r>
      <w:r>
        <w:rPr>
          <w:rFonts w:ascii="Palatino Linotype" w:eastAsia="Palatino Linotype" w:hAnsi="Palatino Linotype" w:cs="Palatino Linotype"/>
          <w:sz w:val="24"/>
          <w:szCs w:val="24"/>
        </w:rPr>
        <w:t xml:space="preserve"> su numeral décimo octavo que podrá considerarse como información reservada, aquella que comprometa la seguridad pública, al poner en peligro las funciones a cargo de la Federación, la Ciudad de México, los Estados y los Municipios, tendientes a preservar </w:t>
      </w:r>
      <w:r>
        <w:rPr>
          <w:rFonts w:ascii="Palatino Linotype" w:eastAsia="Palatino Linotype" w:hAnsi="Palatino Linotype" w:cs="Palatino Linotype"/>
          <w:sz w:val="24"/>
          <w:szCs w:val="24"/>
        </w:rPr>
        <w:t>y resguardar la vida, la salud, la integridad y el ejercicio de los derechos de las personas, así como para el mantenimiento del orden público.</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crucial señalar que estos Lineamientos señalan que es susceptible de considerarse como reservada aquella que</w:t>
      </w:r>
      <w:r>
        <w:rPr>
          <w:rFonts w:ascii="Palatino Linotype" w:eastAsia="Palatino Linotype" w:hAnsi="Palatino Linotype" w:cs="Palatino Linotype"/>
          <w:sz w:val="24"/>
          <w:szCs w:val="24"/>
        </w:rPr>
        <w:t xml:space="preserve"> revele datos que pudieran ser aprovechados para conocer la capacidad de reacción de las instituciones encargadas de la seguridad pública, sus planes, estrategias, tecnología, información, sistemas de comunicaciones.</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3" w:name="_heading=h.1fob9te" w:colFirst="0" w:colLast="0"/>
      <w:bookmarkEnd w:id="3"/>
      <w:r>
        <w:rPr>
          <w:rFonts w:ascii="Palatino Linotype" w:eastAsia="Palatino Linotype" w:hAnsi="Palatino Linotype" w:cs="Palatino Linotype"/>
          <w:sz w:val="24"/>
          <w:szCs w:val="24"/>
        </w:rPr>
        <w:t>Hasta este punto tenemos que los instr</w:t>
      </w:r>
      <w:r>
        <w:rPr>
          <w:rFonts w:ascii="Palatino Linotype" w:eastAsia="Palatino Linotype" w:hAnsi="Palatino Linotype" w:cs="Palatino Linotype"/>
          <w:sz w:val="24"/>
          <w:szCs w:val="24"/>
        </w:rPr>
        <w:t xml:space="preserve">umentos normativos que debemos observar en estricto sentido disponen puntualmente la reserva de información para los casos </w:t>
      </w:r>
      <w:r>
        <w:rPr>
          <w:rFonts w:ascii="Palatino Linotype" w:eastAsia="Palatino Linotype" w:hAnsi="Palatino Linotype" w:cs="Palatino Linotype"/>
          <w:sz w:val="24"/>
          <w:szCs w:val="24"/>
        </w:rPr>
        <w:lastRenderedPageBreak/>
        <w:t>en los que se revele información que pueda ser empleada para conocer la capacidad de reacción, es decir, todo lo relativo a servidore</w:t>
      </w:r>
      <w:r>
        <w:rPr>
          <w:rFonts w:ascii="Palatino Linotype" w:eastAsia="Palatino Linotype" w:hAnsi="Palatino Linotype" w:cs="Palatino Linotype"/>
          <w:sz w:val="24"/>
          <w:szCs w:val="24"/>
        </w:rPr>
        <w:t xml:space="preserve">s públicos operativos que integran las instituciones de seguridad pública, ya que su divulgación podría ser utilizada para actualizar o potenciar una amenaza para la seguridad pública de la sociedad; teniendo esto en cuenta y trasladando estas premisas al </w:t>
      </w:r>
      <w:r>
        <w:rPr>
          <w:rFonts w:ascii="Palatino Linotype" w:eastAsia="Palatino Linotype" w:hAnsi="Palatino Linotype" w:cs="Palatino Linotype"/>
          <w:sz w:val="24"/>
          <w:szCs w:val="24"/>
        </w:rPr>
        <w:t>caso particular se estima que con la entrega de información de los servidores públicos con funciones operativas adscritos a instituciones de seguridad pública, revela información actualizada sobre el número de policías operativos en activo a la fecha de la</w:t>
      </w:r>
      <w:r>
        <w:rPr>
          <w:rFonts w:ascii="Palatino Linotype" w:eastAsia="Palatino Linotype" w:hAnsi="Palatino Linotype" w:cs="Palatino Linotype"/>
          <w:sz w:val="24"/>
          <w:szCs w:val="24"/>
        </w:rPr>
        <w:t xml:space="preserve"> solicitud de información y en consecuencia su estado de fuerza vigente, lo cual no sólo contraviene lo dispuesto expresamente por las disposiciones previamente insertadas, sino que, además, pone en riesgo los valores jurídicos y los principios bajo los cu</w:t>
      </w:r>
      <w:r>
        <w:rPr>
          <w:rFonts w:ascii="Palatino Linotype" w:eastAsia="Palatino Linotype" w:hAnsi="Palatino Linotype" w:cs="Palatino Linotype"/>
          <w:sz w:val="24"/>
          <w:szCs w:val="24"/>
        </w:rPr>
        <w:t>ales de las instituciones de seguridad pública se debe regir como son la legalidad, objetividad, eficiencia, profesionalismo, honradez y respeto a los derechos humanos reconocidos en la Constitución General.</w:t>
      </w:r>
    </w:p>
    <w:p w:rsidR="009305CF" w:rsidRDefault="009305C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9305CF" w:rsidRDefault="003B5CBF">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w:t>
      </w:r>
      <w:r>
        <w:rPr>
          <w:rFonts w:ascii="Palatino Linotype" w:eastAsia="Palatino Linotype" w:hAnsi="Palatino Linotype" w:cs="Palatino Linotype"/>
          <w:sz w:val="24"/>
          <w:szCs w:val="24"/>
        </w:rPr>
        <w:t xml:space="preserve"> procede por dos circunstancias:</w:t>
      </w:r>
    </w:p>
    <w:p w:rsidR="009305CF" w:rsidRDefault="009305CF">
      <w:pPr>
        <w:spacing w:after="0" w:line="360" w:lineRule="auto"/>
        <w:ind w:right="-3"/>
        <w:jc w:val="both"/>
        <w:rPr>
          <w:rFonts w:ascii="Palatino Linotype" w:eastAsia="Palatino Linotype" w:hAnsi="Palatino Linotype" w:cs="Palatino Linotype"/>
          <w:sz w:val="24"/>
          <w:szCs w:val="24"/>
        </w:rPr>
      </w:pPr>
    </w:p>
    <w:p w:rsidR="009305CF" w:rsidRDefault="003B5CBF">
      <w:pPr>
        <w:spacing w:after="0" w:line="360" w:lineRule="auto"/>
        <w:ind w:left="567"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9305CF" w:rsidRDefault="003B5CBF">
      <w:pPr>
        <w:spacing w:after="0" w:line="360" w:lineRule="auto"/>
        <w:ind w:left="567"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9305CF" w:rsidRDefault="003B5CBF">
      <w:pPr>
        <w:spacing w:after="0" w:line="360" w:lineRule="auto"/>
        <w:ind w:left="567"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9305CF" w:rsidRDefault="003B5CBF">
      <w:pPr>
        <w:spacing w:after="0" w:line="360" w:lineRule="auto"/>
        <w:ind w:left="567" w:right="-3"/>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w:t>
      </w:r>
      <w:r>
        <w:rPr>
          <w:rFonts w:ascii="Palatino Linotype" w:eastAsia="Palatino Linotype" w:hAnsi="Palatino Linotype" w:cs="Palatino Linotype"/>
        </w:rPr>
        <w:t xml:space="preserve"> de la dinámica social.</w:t>
      </w:r>
    </w:p>
    <w:p w:rsidR="009305CF" w:rsidRDefault="009305CF">
      <w:pPr>
        <w:spacing w:after="0" w:line="360" w:lineRule="auto"/>
        <w:ind w:left="567" w:right="-3"/>
        <w:jc w:val="both"/>
        <w:rPr>
          <w:rFonts w:ascii="Palatino Linotype" w:eastAsia="Palatino Linotype" w:hAnsi="Palatino Linotype" w:cs="Palatino Linotype"/>
          <w:highlight w:val="yellow"/>
        </w:rPr>
      </w:pPr>
    </w:p>
    <w:p w:rsidR="009305CF" w:rsidRDefault="003B5CBF">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con que cuentan el Estado y Municipios, mayor es la probabilidad de que la información pueda implementarse como medio para actualizar o potenciar u</w:t>
      </w:r>
      <w:r>
        <w:rPr>
          <w:rFonts w:ascii="Palatino Linotype" w:eastAsia="Palatino Linotype" w:hAnsi="Palatino Linotype" w:cs="Palatino Linotype"/>
          <w:sz w:val="24"/>
          <w:szCs w:val="24"/>
        </w:rPr>
        <w:t xml:space="preserve">na amenaza en contra de la seguridad pública de los mismos. </w:t>
      </w:r>
    </w:p>
    <w:p w:rsidR="009305CF" w:rsidRDefault="009305CF">
      <w:pPr>
        <w:spacing w:after="0" w:line="360" w:lineRule="auto"/>
        <w:ind w:right="-3"/>
        <w:jc w:val="both"/>
        <w:rPr>
          <w:rFonts w:ascii="Palatino Linotype" w:eastAsia="Palatino Linotype" w:hAnsi="Palatino Linotype" w:cs="Palatino Linotype"/>
          <w:sz w:val="24"/>
          <w:szCs w:val="24"/>
        </w:rPr>
      </w:pPr>
    </w:p>
    <w:p w:rsidR="009305CF" w:rsidRDefault="003B5CBF">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sz w:val="24"/>
          <w:szCs w:val="24"/>
        </w:rPr>
        <w:t xml:space="preserve">cía con los que cuentan los ayuntamientos, esta información no se encuentra actualizada a la fecha de la solicitud, aunado a que no se hace una distinción entre el número de personal operativo y administrativo. </w:t>
      </w:r>
    </w:p>
    <w:p w:rsidR="009305CF" w:rsidRDefault="009305CF">
      <w:pPr>
        <w:spacing w:after="0" w:line="360" w:lineRule="auto"/>
        <w:ind w:right="139"/>
        <w:jc w:val="both"/>
        <w:rPr>
          <w:rFonts w:ascii="Palatino Linotype" w:eastAsia="Palatino Linotype" w:hAnsi="Palatino Linotype" w:cs="Palatino Linotype"/>
          <w:sz w:val="24"/>
          <w:szCs w:val="24"/>
        </w:rPr>
      </w:pPr>
    </w:p>
    <w:p w:rsidR="009305CF" w:rsidRDefault="003B5CB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w:t>
      </w:r>
      <w:r>
        <w:rPr>
          <w:rFonts w:ascii="Palatino Linotype" w:eastAsia="Palatino Linotype" w:hAnsi="Palatino Linotype" w:cs="Palatino Linotype"/>
          <w:color w:val="000000"/>
          <w:sz w:val="24"/>
          <w:szCs w:val="24"/>
        </w:rPr>
        <w:t xml:space="preserve">ensa de la sociedad a la que pertenecen, por lo que, se estima que al proporcionar dicha </w:t>
      </w:r>
      <w:r>
        <w:rPr>
          <w:rFonts w:ascii="Palatino Linotype" w:eastAsia="Palatino Linotype" w:hAnsi="Palatino Linotype" w:cs="Palatino Linotype"/>
          <w:color w:val="000000"/>
          <w:sz w:val="24"/>
          <w:szCs w:val="24"/>
        </w:rPr>
        <w:lastRenderedPageBreak/>
        <w:t>información se revela el número de servidores públicos operativos con funciones de seguridad pública activos en el Sujeto obligado; información con la que se da a cono</w:t>
      </w:r>
      <w:r>
        <w:rPr>
          <w:rFonts w:ascii="Palatino Linotype" w:eastAsia="Palatino Linotype" w:hAnsi="Palatino Linotype" w:cs="Palatino Linotype"/>
          <w:color w:val="000000"/>
          <w:sz w:val="24"/>
          <w:szCs w:val="24"/>
        </w:rPr>
        <w:t>cer el estado de fuerza y la capacidad de reacción del órgano público.</w:t>
      </w:r>
    </w:p>
    <w:p w:rsidR="009305CF" w:rsidRDefault="009305CF">
      <w:pPr>
        <w:pBdr>
          <w:top w:val="nil"/>
          <w:left w:val="nil"/>
          <w:bottom w:val="nil"/>
          <w:right w:val="nil"/>
          <w:between w:val="nil"/>
        </w:pBdr>
        <w:spacing w:after="0" w:line="360" w:lineRule="auto"/>
        <w:jc w:val="both"/>
        <w:rPr>
          <w:sz w:val="24"/>
          <w:szCs w:val="24"/>
        </w:rPr>
      </w:pPr>
    </w:p>
    <w:p w:rsidR="009305CF" w:rsidRDefault="003B5CBF">
      <w:pPr>
        <w:spacing w:after="0" w:line="360" w:lineRule="auto"/>
        <w:jc w:val="both"/>
        <w:rPr>
          <w:rFonts w:ascii="Palatino Linotype" w:eastAsia="Palatino Linotype" w:hAnsi="Palatino Linotype" w:cs="Palatino Linotype"/>
          <w:sz w:val="24"/>
          <w:szCs w:val="24"/>
        </w:rPr>
      </w:pPr>
      <w:bookmarkStart w:id="4" w:name="_heading=h.jjcdfz331x30" w:colFirst="0" w:colLast="0"/>
      <w:bookmarkEnd w:id="4"/>
      <w:r>
        <w:rPr>
          <w:rFonts w:ascii="Palatino Linotype" w:eastAsia="Palatino Linotype" w:hAnsi="Palatino Linotype" w:cs="Palatino Linotype"/>
          <w:sz w:val="24"/>
          <w:szCs w:val="24"/>
        </w:rPr>
        <w:t>Ahora bien, la suscrita considera que es de vital importancia señalar que para los casos en los que los particulares deseen conocer las remuneraciones de los elementos operativos de la</w:t>
      </w:r>
      <w:r>
        <w:rPr>
          <w:rFonts w:ascii="Palatino Linotype" w:eastAsia="Palatino Linotype" w:hAnsi="Palatino Linotype" w:cs="Palatino Linotype"/>
          <w:sz w:val="24"/>
          <w:szCs w:val="24"/>
        </w:rPr>
        <w:t>s instituciones de seguridad pública, estas se pueden otorgar mediante el tabulador de sueldos, pues en este soporte se asientan los puestos funcionales y las remuneraciones, lo anterior encuentra sustento en el Instructivo del módulo 4 para la entrega del</w:t>
      </w:r>
      <w:r>
        <w:rPr>
          <w:rFonts w:ascii="Palatino Linotype" w:eastAsia="Palatino Linotype" w:hAnsi="Palatino Linotype" w:cs="Palatino Linotype"/>
          <w:sz w:val="24"/>
          <w:szCs w:val="24"/>
        </w:rPr>
        <w:t xml:space="preserve"> informe trimestral 2023, en dicho documento obran los siguientes elementos:</w:t>
      </w:r>
    </w:p>
    <w:p w:rsidR="009305CF" w:rsidRDefault="003B5CBF">
      <w:pPr>
        <w:spacing w:after="0" w:line="360" w:lineRule="auto"/>
        <w:ind w:right="139"/>
        <w:jc w:val="both"/>
        <w:rPr>
          <w:rFonts w:ascii="Palatino Linotype" w:eastAsia="Palatino Linotype" w:hAnsi="Palatino Linotype" w:cs="Palatino Linotype"/>
          <w:sz w:val="24"/>
          <w:szCs w:val="24"/>
        </w:rPr>
      </w:pPr>
      <w:r>
        <w:rPr>
          <w:noProof/>
        </w:rPr>
        <w:lastRenderedPageBreak/>
        <w:drawing>
          <wp:anchor distT="0" distB="0" distL="0" distR="0" simplePos="0" relativeHeight="251658240" behindDoc="0" locked="0" layoutInCell="1" hidden="0" allowOverlap="1">
            <wp:simplePos x="0" y="0"/>
            <wp:positionH relativeFrom="column">
              <wp:posOffset>82550</wp:posOffset>
            </wp:positionH>
            <wp:positionV relativeFrom="paragraph">
              <wp:posOffset>267970</wp:posOffset>
            </wp:positionV>
            <wp:extent cx="5583555" cy="3578860"/>
            <wp:effectExtent l="0" t="0" r="0" b="0"/>
            <wp:wrapTopAndBottom distT="0" dist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5257"/>
                    <a:stretch>
                      <a:fillRect/>
                    </a:stretch>
                  </pic:blipFill>
                  <pic:spPr>
                    <a:xfrm>
                      <a:off x="0" y="0"/>
                      <a:ext cx="5583555" cy="3578860"/>
                    </a:xfrm>
                    <a:prstGeom prst="rect">
                      <a:avLst/>
                    </a:prstGeom>
                    <a:ln/>
                  </pic:spPr>
                </pic:pic>
              </a:graphicData>
            </a:graphic>
          </wp:anchor>
        </w:drawing>
      </w:r>
    </w:p>
    <w:p w:rsidR="009305CF" w:rsidRDefault="009305CF">
      <w:pPr>
        <w:spacing w:after="0" w:line="360" w:lineRule="auto"/>
        <w:ind w:right="139"/>
        <w:jc w:val="both"/>
        <w:rPr>
          <w:rFonts w:ascii="Palatino Linotype" w:eastAsia="Palatino Linotype" w:hAnsi="Palatino Linotype" w:cs="Palatino Linotype"/>
          <w:sz w:val="24"/>
          <w:szCs w:val="24"/>
        </w:rPr>
      </w:pPr>
    </w:p>
    <w:p w:rsidR="009305CF" w:rsidRDefault="003B5CBF">
      <w:pPr>
        <w:spacing w:after="0" w:line="360" w:lineRule="auto"/>
        <w:ind w:right="139"/>
        <w:jc w:val="both"/>
        <w:rPr>
          <w:sz w:val="24"/>
          <w:szCs w:val="24"/>
        </w:rPr>
      </w:pPr>
      <w:bookmarkStart w:id="5" w:name="_heading=h.2et92p0" w:colFirst="0" w:colLast="0"/>
      <w:bookmarkEnd w:id="5"/>
      <w:r>
        <w:rPr>
          <w:noProof/>
        </w:rPr>
        <w:lastRenderedPageBreak/>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572760" cy="5295900"/>
            <wp:effectExtent l="0" t="0" r="0" b="0"/>
            <wp:wrapTopAndBottom distT="0" dist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72760" cy="5295900"/>
                    </a:xfrm>
                    <a:prstGeom prst="rect">
                      <a:avLst/>
                    </a:prstGeom>
                    <a:ln/>
                  </pic:spPr>
                </pic:pic>
              </a:graphicData>
            </a:graphic>
          </wp:anchor>
        </w:drawing>
      </w:r>
    </w:p>
    <w:p w:rsidR="009305CF" w:rsidRDefault="003B5CBF">
      <w:pPr>
        <w:spacing w:after="0" w:line="360" w:lineRule="auto"/>
        <w:ind w:right="139"/>
        <w:jc w:val="both"/>
        <w:rPr>
          <w:rFonts w:ascii="Palatino Linotype" w:eastAsia="Palatino Linotype" w:hAnsi="Palatino Linotype" w:cs="Palatino Linotype"/>
          <w:sz w:val="24"/>
          <w:szCs w:val="24"/>
        </w:rPr>
        <w:sectPr w:rsidR="009305CF">
          <w:headerReference w:type="even" r:id="rId10"/>
          <w:headerReference w:type="default" r:id="rId11"/>
          <w:footerReference w:type="default" r:id="rId12"/>
          <w:pgSz w:w="12240" w:h="15840"/>
          <w:pgMar w:top="1871" w:right="1327" w:bottom="2836" w:left="1985" w:header="709" w:footer="586" w:gutter="0"/>
          <w:pgNumType w:start="1"/>
          <w:cols w:space="720"/>
        </w:sectPr>
      </w:pPr>
      <w:r>
        <w:rPr>
          <w:rFonts w:ascii="Palatino Linotype" w:eastAsia="Palatino Linotype" w:hAnsi="Palatino Linotype" w:cs="Palatino Linotype"/>
          <w:sz w:val="24"/>
          <w:szCs w:val="24"/>
        </w:rPr>
        <w:t>De manera que con la consulta de este documento podrá visualizarse con claridad el cargo y la remuneración sin conocer el estado de fuerza de las entidades públicas y así no se restringe el derecho de acceso a la i</w:t>
      </w:r>
      <w:r>
        <w:rPr>
          <w:rFonts w:ascii="Palatino Linotype" w:eastAsia="Palatino Linotype" w:hAnsi="Palatino Linotype" w:cs="Palatino Linotype"/>
          <w:sz w:val="24"/>
          <w:szCs w:val="24"/>
        </w:rPr>
        <w:t xml:space="preserve">nformación de los particulares; es por </w:t>
      </w:r>
      <w:r>
        <w:rPr>
          <w:rFonts w:ascii="Palatino Linotype" w:eastAsia="Palatino Linotype" w:hAnsi="Palatino Linotype" w:cs="Palatino Linotype"/>
          <w:sz w:val="24"/>
          <w:szCs w:val="24"/>
        </w:rPr>
        <w:lastRenderedPageBreak/>
        <w:t>todo lo anteriormente expuesto que considero que en las líneas argumentativas que anteceden, se acreditó de manera fehaciente que esta información debe ser reservada pues su entrega revela datos que pudieran ser aprov</w:t>
      </w:r>
      <w:r>
        <w:rPr>
          <w:rFonts w:ascii="Palatino Linotype" w:eastAsia="Palatino Linotype" w:hAnsi="Palatino Linotype" w:cs="Palatino Linotype"/>
          <w:sz w:val="24"/>
          <w:szCs w:val="24"/>
        </w:rPr>
        <w:t>echados para conocer la capacidad de reacción de las instituciones encargadas de la seguridad pública y facilitaría a las células delictivas el neutralizar las acciones implementadas o por implementar para la preservación de la paz pública, afectando así s</w:t>
      </w:r>
      <w:r>
        <w:rPr>
          <w:rFonts w:ascii="Palatino Linotype" w:eastAsia="Palatino Linotype" w:hAnsi="Palatino Linotype" w:cs="Palatino Linotype"/>
          <w:sz w:val="24"/>
          <w:szCs w:val="24"/>
        </w:rPr>
        <w:t>u estado de fuerza, o bien, les permita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realizar actos para amenazar, inhibir, extorsionar o corromper las funciones del personal operativo, lo que causaría una vulneración a la Seguridad Municipal, por lo tanto la suscrita no comparte las consideraciones </w:t>
      </w:r>
      <w:r>
        <w:rPr>
          <w:rFonts w:ascii="Palatino Linotype" w:eastAsia="Palatino Linotype" w:hAnsi="Palatino Linotype" w:cs="Palatino Linotype"/>
          <w:sz w:val="24"/>
          <w:szCs w:val="24"/>
        </w:rPr>
        <w:t>vertidas en la resolución respecto del tratamiento que se le da a la información relativa a elementos operativos de instituciones de seguridad pública, y  por ende formula el presente voto particular.</w:t>
      </w:r>
      <w:bookmarkStart w:id="6" w:name="_GoBack"/>
      <w:bookmarkEnd w:id="6"/>
    </w:p>
    <w:p w:rsidR="009305CF" w:rsidRDefault="009305CF">
      <w:pPr>
        <w:spacing w:after="0" w:line="360" w:lineRule="auto"/>
        <w:ind w:right="139"/>
        <w:jc w:val="both"/>
        <w:rPr>
          <w:rFonts w:ascii="Palatino Linotype" w:eastAsia="Palatino Linotype" w:hAnsi="Palatino Linotype" w:cs="Palatino Linotype"/>
        </w:rPr>
      </w:pPr>
    </w:p>
    <w:sectPr w:rsidR="009305CF">
      <w:headerReference w:type="default" r:id="rId13"/>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5CBF">
      <w:pPr>
        <w:spacing w:after="0" w:line="240" w:lineRule="auto"/>
      </w:pPr>
      <w:r>
        <w:separator/>
      </w:r>
    </w:p>
  </w:endnote>
  <w:endnote w:type="continuationSeparator" w:id="0">
    <w:p w:rsidR="00000000" w:rsidRDefault="003B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CF" w:rsidRDefault="003B5CB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14</w:t>
    </w:r>
    <w:r>
      <w:rPr>
        <w:rFonts w:ascii="Arial" w:eastAsia="Arial" w:hAnsi="Arial" w:cs="Arial"/>
        <w:b/>
        <w:color w:val="000000"/>
        <w:sz w:val="20"/>
        <w:szCs w:val="20"/>
      </w:rPr>
      <w:fldChar w:fldCharType="end"/>
    </w:r>
  </w:p>
  <w:p w:rsidR="009305CF" w:rsidRDefault="009305C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5CBF">
      <w:pPr>
        <w:spacing w:after="0" w:line="240" w:lineRule="auto"/>
      </w:pPr>
      <w:r>
        <w:separator/>
      </w:r>
    </w:p>
  </w:footnote>
  <w:footnote w:type="continuationSeparator" w:id="0">
    <w:p w:rsidR="00000000" w:rsidRDefault="003B5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CF" w:rsidRDefault="003B5CB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42643183" cy="42643183"/>
              <wp:effectExtent l="0" t="0" r="0" b="0"/>
              <wp:wrapNone/>
              <wp:docPr id="33"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9305CF" w:rsidRDefault="003B5CBF">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2643183" cy="42643183"/>
              <wp:effectExtent b="0" l="0" r="0" t="0"/>
              <wp:wrapNone/>
              <wp:docPr id="3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2643183" cy="42643183"/>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CF" w:rsidRDefault="003B5CB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-723899</wp:posOffset>
          </wp:positionH>
          <wp:positionV relativeFrom="paragraph">
            <wp:posOffset>-393699</wp:posOffset>
          </wp:positionV>
          <wp:extent cx="7510628" cy="9883775"/>
          <wp:effectExtent l="0" t="0" r="0" b="0"/>
          <wp:wrapNone/>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305CF" w:rsidRDefault="009305C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305CF" w:rsidRDefault="009305C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305CF" w:rsidRDefault="003B5C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305CF" w:rsidRDefault="003B5CBF">
    <w:pPr>
      <w:pBdr>
        <w:top w:val="nil"/>
        <w:left w:val="nil"/>
        <w:bottom w:val="nil"/>
        <w:right w:val="nil"/>
        <w:between w:val="nil"/>
      </w:pBdr>
      <w:tabs>
        <w:tab w:val="center" w:pos="4419"/>
        <w:tab w:val="right" w:pos="8838"/>
      </w:tabs>
      <w:spacing w:after="0" w:line="240" w:lineRule="auto"/>
      <w:ind w:left="3119"/>
      <w:jc w:val="right"/>
      <w:rPr>
        <w:rFonts w:ascii="Palatino Linotype" w:eastAsia="Palatino Linotype" w:hAnsi="Palatino Linotype" w:cs="Palatino Linotype"/>
        <w:color w:val="FF0000"/>
        <w:sz w:val="20"/>
        <w:szCs w:val="20"/>
        <w:highlight w:val="yellow"/>
      </w:rPr>
    </w:pPr>
    <w:r>
      <w:rPr>
        <w:rFonts w:ascii="Palatino Linotype" w:eastAsia="Palatino Linotype" w:hAnsi="Palatino Linotype" w:cs="Palatino Linotype"/>
        <w:b/>
        <w:color w:val="000000"/>
        <w:sz w:val="20"/>
        <w:szCs w:val="20"/>
      </w:rPr>
      <w:t xml:space="preserve">   RECURSOS DE REVISIÓN 02556/INFOEM/IP/RR/2023 Y ACUMULADO</w:t>
    </w:r>
  </w:p>
  <w:p w:rsidR="009305CF" w:rsidRDefault="009305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CF" w:rsidRDefault="003B5C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simplePos x="0" y="0"/>
          <wp:positionH relativeFrom="column">
            <wp:posOffset>-693419</wp:posOffset>
          </wp:positionH>
          <wp:positionV relativeFrom="paragraph">
            <wp:posOffset>-557529</wp:posOffset>
          </wp:positionV>
          <wp:extent cx="7510145" cy="9883775"/>
          <wp:effectExtent l="0" t="0" r="0" b="0"/>
          <wp:wrapNone/>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9305CF" w:rsidRDefault="003B5C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9305CF" w:rsidRDefault="003B5CBF">
    <w:pPr>
      <w:pBdr>
        <w:top w:val="nil"/>
        <w:left w:val="nil"/>
        <w:bottom w:val="nil"/>
        <w:right w:val="nil"/>
        <w:between w:val="nil"/>
      </w:pBdr>
      <w:tabs>
        <w:tab w:val="center" w:pos="4419"/>
        <w:tab w:val="right" w:pos="8838"/>
      </w:tabs>
      <w:spacing w:after="0" w:line="240" w:lineRule="auto"/>
      <w:ind w:left="3828"/>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06916/INFOEM/IP/RR/2023 Y ACUMULADO </w:t>
    </w:r>
  </w:p>
  <w:p w:rsidR="009305CF" w:rsidRDefault="009305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72D6A"/>
    <w:multiLevelType w:val="multilevel"/>
    <w:tmpl w:val="E5BE65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8251C3"/>
    <w:multiLevelType w:val="multilevel"/>
    <w:tmpl w:val="F17A73CE"/>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 w15:restartNumberingAfterBreak="0">
    <w:nsid w:val="72876C5E"/>
    <w:multiLevelType w:val="multilevel"/>
    <w:tmpl w:val="543ABD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CF"/>
    <w:rsid w:val="003B5CBF"/>
    <w:rsid w:val="00930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9A7B7-A41E-4331-AB3D-60DB0233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A11E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E1C"/>
  </w:style>
  <w:style w:type="paragraph" w:styleId="Encabezado">
    <w:name w:val="header"/>
    <w:basedOn w:val="Normal"/>
    <w:link w:val="EncabezadoCar"/>
    <w:uiPriority w:val="99"/>
    <w:unhideWhenUsed/>
    <w:rsid w:val="00A11E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E1C"/>
  </w:style>
  <w:style w:type="character" w:styleId="Hipervnculo">
    <w:name w:val="Hyperlink"/>
    <w:uiPriority w:val="99"/>
    <w:unhideWhenUsed/>
    <w:rsid w:val="00A11E1C"/>
    <w:rPr>
      <w:strike w:val="0"/>
      <w:dstrike w:val="0"/>
      <w:color w:val="035899"/>
      <w:u w:val="none"/>
      <w:effect w: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11E1C"/>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11E1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tR3iOwG+r+1BxrnAw+6CiTsXg==">CgMxLjAyCGguZ2pkZ3hzMghoLnR5amN3dDIJaC4zMGowemxsMgloLjFmb2I5dGUyDmguampjZGZ6MzMxeDMwMgloLjJldDkycDA4AHIhMXl5Wmo1bkttb2o4MTg2UzdTRXpwSW9SS0xaQmE2bTNC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2240</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2024-04-08T15:55:00Z</dcterms:created>
  <dcterms:modified xsi:type="dcterms:W3CDTF">2024-04-08T15:55:00Z</dcterms:modified>
</cp:coreProperties>
</file>