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325F" w:rsidRDefault="00B0325F">
      <w:pPr>
        <w:widowControl w:val="0"/>
        <w:pBdr>
          <w:top w:val="nil"/>
          <w:left w:val="nil"/>
          <w:bottom w:val="nil"/>
          <w:right w:val="nil"/>
          <w:between w:val="nil"/>
        </w:pBdr>
        <w:spacing w:line="276" w:lineRule="auto"/>
      </w:pPr>
    </w:p>
    <w:p w:rsidR="00B0325F" w:rsidRDefault="00B0325F">
      <w:pPr>
        <w:widowControl w:val="0"/>
        <w:pBdr>
          <w:top w:val="nil"/>
          <w:left w:val="nil"/>
          <w:bottom w:val="nil"/>
          <w:right w:val="nil"/>
          <w:between w:val="nil"/>
        </w:pBdr>
        <w:spacing w:line="360" w:lineRule="auto"/>
      </w:pPr>
    </w:p>
    <w:p w:rsidR="00B0325F" w:rsidRDefault="00B0325F">
      <w:pPr>
        <w:keepNext/>
        <w:keepLines/>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bookmarkStart w:id="0" w:name="_heading=h.2lwwm91co52n" w:colFirst="0" w:colLast="0"/>
      <w:bookmarkEnd w:id="0"/>
    </w:p>
    <w:p w:rsidR="00B0325F" w:rsidRDefault="004D5484">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RESOLUCIÓN DEL RECURSO DE REVISIÓN 10031/INFOEM/IP/RR/2025   Y ACUMULADO</w:t>
      </w:r>
    </w:p>
    <w:p w:rsidR="00B0325F" w:rsidRDefault="00B0325F">
      <w:pPr>
        <w:keepNext/>
        <w:keepLines/>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p>
    <w:p w:rsidR="00C86591" w:rsidRDefault="00C86591">
      <w:pPr>
        <w:spacing w:line="360" w:lineRule="auto"/>
        <w:jc w:val="both"/>
      </w:pPr>
    </w:p>
    <w:sdt>
      <w:sdtPr>
        <w:rPr>
          <w:sz w:val="20"/>
          <w:szCs w:val="20"/>
          <w:lang w:val="es-ES"/>
        </w:rPr>
        <w:id w:val="1143465595"/>
        <w:docPartObj>
          <w:docPartGallery w:val="Table of Contents"/>
          <w:docPartUnique/>
        </w:docPartObj>
      </w:sdtPr>
      <w:sdtEndPr>
        <w:rPr>
          <w:b/>
          <w:bCs/>
        </w:rPr>
      </w:sdtEndPr>
      <w:sdtContent>
        <w:p w:rsidR="00C86591" w:rsidRPr="00E142C0" w:rsidRDefault="00C86591">
          <w:pPr>
            <w:pStyle w:val="TtulodeTDC"/>
          </w:pPr>
        </w:p>
        <w:p w:rsidR="00E142C0" w:rsidRPr="00E142C0" w:rsidRDefault="00C86591">
          <w:pPr>
            <w:pStyle w:val="TDC1"/>
            <w:tabs>
              <w:tab w:val="right" w:leader="dot" w:pos="8828"/>
            </w:tabs>
            <w:rPr>
              <w:rFonts w:cstheme="minorBidi"/>
              <w:noProof/>
            </w:rPr>
          </w:pPr>
          <w:r w:rsidRPr="00E142C0">
            <w:rPr>
              <w:bCs/>
              <w:lang w:val="es-ES"/>
            </w:rPr>
            <w:fldChar w:fldCharType="begin"/>
          </w:r>
          <w:r w:rsidRPr="00E142C0">
            <w:rPr>
              <w:bCs/>
              <w:lang w:val="es-ES"/>
            </w:rPr>
            <w:instrText xml:space="preserve"> TOC \o "1-3" \h \z \u </w:instrText>
          </w:r>
          <w:r w:rsidRPr="00E142C0">
            <w:rPr>
              <w:bCs/>
              <w:lang w:val="es-ES"/>
            </w:rPr>
            <w:fldChar w:fldCharType="separate"/>
          </w:r>
          <w:hyperlink w:anchor="_Toc215130293" w:history="1">
            <w:r w:rsidR="00E142C0" w:rsidRPr="00E142C0">
              <w:rPr>
                <w:rStyle w:val="Hipervnculo"/>
                <w:rFonts w:ascii="Palatino Linotype" w:eastAsia="Palatino Linotype" w:hAnsi="Palatino Linotype" w:cs="Palatino Linotype"/>
                <w:bCs/>
                <w:noProof/>
              </w:rPr>
              <w:t>A N T E C E D E N T E S</w:t>
            </w:r>
            <w:r w:rsidR="00E142C0" w:rsidRPr="00E142C0">
              <w:rPr>
                <w:noProof/>
                <w:webHidden/>
              </w:rPr>
              <w:tab/>
            </w:r>
            <w:r w:rsidR="00E142C0" w:rsidRPr="00E142C0">
              <w:rPr>
                <w:noProof/>
                <w:webHidden/>
              </w:rPr>
              <w:fldChar w:fldCharType="begin"/>
            </w:r>
            <w:r w:rsidR="00E142C0" w:rsidRPr="00E142C0">
              <w:rPr>
                <w:noProof/>
                <w:webHidden/>
              </w:rPr>
              <w:instrText xml:space="preserve"> PAGEREF _Toc215130293 \h </w:instrText>
            </w:r>
            <w:r w:rsidR="00E142C0" w:rsidRPr="00E142C0">
              <w:rPr>
                <w:noProof/>
                <w:webHidden/>
              </w:rPr>
            </w:r>
            <w:r w:rsidR="00E142C0" w:rsidRPr="00E142C0">
              <w:rPr>
                <w:noProof/>
                <w:webHidden/>
              </w:rPr>
              <w:fldChar w:fldCharType="separate"/>
            </w:r>
            <w:r w:rsidR="006E2C1C">
              <w:rPr>
                <w:noProof/>
                <w:webHidden/>
              </w:rPr>
              <w:t>2</w:t>
            </w:r>
            <w:r w:rsidR="00E142C0" w:rsidRPr="00E142C0">
              <w:rPr>
                <w:noProof/>
                <w:webHidden/>
              </w:rPr>
              <w:fldChar w:fldCharType="end"/>
            </w:r>
          </w:hyperlink>
        </w:p>
        <w:p w:rsidR="00E142C0" w:rsidRPr="00E142C0" w:rsidRDefault="00F40CBE">
          <w:pPr>
            <w:pStyle w:val="TDC2"/>
            <w:tabs>
              <w:tab w:val="right" w:leader="dot" w:pos="8828"/>
            </w:tabs>
            <w:rPr>
              <w:rFonts w:cstheme="minorBidi"/>
              <w:noProof/>
            </w:rPr>
          </w:pPr>
          <w:hyperlink w:anchor="_Toc215130294" w:history="1">
            <w:r w:rsidR="00E142C0" w:rsidRPr="00E142C0">
              <w:rPr>
                <w:rStyle w:val="Hipervnculo"/>
                <w:rFonts w:ascii="Palatino Linotype" w:eastAsia="Palatino Linotype" w:hAnsi="Palatino Linotype" w:cs="Palatino Linotype"/>
                <w:bCs/>
                <w:noProof/>
              </w:rPr>
              <w:t>I. Presentación de la solicitud de información</w:t>
            </w:r>
            <w:r w:rsidR="00E142C0" w:rsidRPr="00E142C0">
              <w:rPr>
                <w:noProof/>
                <w:webHidden/>
              </w:rPr>
              <w:tab/>
            </w:r>
            <w:r w:rsidR="00E142C0" w:rsidRPr="00E142C0">
              <w:rPr>
                <w:noProof/>
                <w:webHidden/>
              </w:rPr>
              <w:fldChar w:fldCharType="begin"/>
            </w:r>
            <w:r w:rsidR="00E142C0" w:rsidRPr="00E142C0">
              <w:rPr>
                <w:noProof/>
                <w:webHidden/>
              </w:rPr>
              <w:instrText xml:space="preserve"> PAGEREF _Toc215130294 \h </w:instrText>
            </w:r>
            <w:r w:rsidR="00E142C0" w:rsidRPr="00E142C0">
              <w:rPr>
                <w:noProof/>
                <w:webHidden/>
              </w:rPr>
            </w:r>
            <w:r w:rsidR="00E142C0" w:rsidRPr="00E142C0">
              <w:rPr>
                <w:noProof/>
                <w:webHidden/>
              </w:rPr>
              <w:fldChar w:fldCharType="separate"/>
            </w:r>
            <w:r w:rsidR="006E2C1C">
              <w:rPr>
                <w:noProof/>
                <w:webHidden/>
              </w:rPr>
              <w:t>2</w:t>
            </w:r>
            <w:r w:rsidR="00E142C0" w:rsidRPr="00E142C0">
              <w:rPr>
                <w:noProof/>
                <w:webHidden/>
              </w:rPr>
              <w:fldChar w:fldCharType="end"/>
            </w:r>
          </w:hyperlink>
        </w:p>
        <w:p w:rsidR="00E142C0" w:rsidRPr="00E142C0" w:rsidRDefault="00F40CBE">
          <w:pPr>
            <w:pStyle w:val="TDC2"/>
            <w:tabs>
              <w:tab w:val="right" w:leader="dot" w:pos="8828"/>
            </w:tabs>
            <w:rPr>
              <w:rFonts w:cstheme="minorBidi"/>
              <w:noProof/>
            </w:rPr>
          </w:pPr>
          <w:hyperlink w:anchor="_Toc215130295" w:history="1">
            <w:r w:rsidR="00E142C0" w:rsidRPr="00E142C0">
              <w:rPr>
                <w:rStyle w:val="Hipervnculo"/>
                <w:rFonts w:ascii="Palatino Linotype" w:eastAsia="Palatino Linotype" w:hAnsi="Palatino Linotype" w:cs="Palatino Linotype"/>
                <w:bCs/>
                <w:noProof/>
              </w:rPr>
              <w:t>II. Respuesta del Sujeto Obligado</w:t>
            </w:r>
            <w:r w:rsidR="00E142C0" w:rsidRPr="00E142C0">
              <w:rPr>
                <w:noProof/>
                <w:webHidden/>
              </w:rPr>
              <w:tab/>
            </w:r>
            <w:r w:rsidR="00E142C0" w:rsidRPr="00E142C0">
              <w:rPr>
                <w:noProof/>
                <w:webHidden/>
              </w:rPr>
              <w:fldChar w:fldCharType="begin"/>
            </w:r>
            <w:r w:rsidR="00E142C0" w:rsidRPr="00E142C0">
              <w:rPr>
                <w:noProof/>
                <w:webHidden/>
              </w:rPr>
              <w:instrText xml:space="preserve"> PAGEREF _Toc215130295 \h </w:instrText>
            </w:r>
            <w:r w:rsidR="00E142C0" w:rsidRPr="00E142C0">
              <w:rPr>
                <w:noProof/>
                <w:webHidden/>
              </w:rPr>
            </w:r>
            <w:r w:rsidR="00E142C0" w:rsidRPr="00E142C0">
              <w:rPr>
                <w:noProof/>
                <w:webHidden/>
              </w:rPr>
              <w:fldChar w:fldCharType="separate"/>
            </w:r>
            <w:r w:rsidR="006E2C1C">
              <w:rPr>
                <w:noProof/>
                <w:webHidden/>
              </w:rPr>
              <w:t>3</w:t>
            </w:r>
            <w:r w:rsidR="00E142C0" w:rsidRPr="00E142C0">
              <w:rPr>
                <w:noProof/>
                <w:webHidden/>
              </w:rPr>
              <w:fldChar w:fldCharType="end"/>
            </w:r>
          </w:hyperlink>
        </w:p>
        <w:p w:rsidR="00E142C0" w:rsidRPr="00E142C0" w:rsidRDefault="00F40CBE">
          <w:pPr>
            <w:pStyle w:val="TDC2"/>
            <w:tabs>
              <w:tab w:val="right" w:leader="dot" w:pos="8828"/>
            </w:tabs>
            <w:rPr>
              <w:rFonts w:cstheme="minorBidi"/>
              <w:noProof/>
            </w:rPr>
          </w:pPr>
          <w:hyperlink w:anchor="_Toc215130296" w:history="1">
            <w:r w:rsidR="00E142C0" w:rsidRPr="00E142C0">
              <w:rPr>
                <w:rStyle w:val="Hipervnculo"/>
                <w:rFonts w:ascii="Palatino Linotype" w:eastAsia="Palatino Linotype" w:hAnsi="Palatino Linotype" w:cs="Palatino Linotype"/>
                <w:bCs/>
                <w:noProof/>
              </w:rPr>
              <w:t>III. Interposición del Recurso de Revisión</w:t>
            </w:r>
            <w:r w:rsidR="00E142C0" w:rsidRPr="00E142C0">
              <w:rPr>
                <w:noProof/>
                <w:webHidden/>
              </w:rPr>
              <w:tab/>
            </w:r>
            <w:r w:rsidR="00E142C0" w:rsidRPr="00E142C0">
              <w:rPr>
                <w:noProof/>
                <w:webHidden/>
              </w:rPr>
              <w:fldChar w:fldCharType="begin"/>
            </w:r>
            <w:r w:rsidR="00E142C0" w:rsidRPr="00E142C0">
              <w:rPr>
                <w:noProof/>
                <w:webHidden/>
              </w:rPr>
              <w:instrText xml:space="preserve"> PAGEREF _Toc215130296 \h </w:instrText>
            </w:r>
            <w:r w:rsidR="00E142C0" w:rsidRPr="00E142C0">
              <w:rPr>
                <w:noProof/>
                <w:webHidden/>
              </w:rPr>
            </w:r>
            <w:r w:rsidR="00E142C0" w:rsidRPr="00E142C0">
              <w:rPr>
                <w:noProof/>
                <w:webHidden/>
              </w:rPr>
              <w:fldChar w:fldCharType="separate"/>
            </w:r>
            <w:r w:rsidR="006E2C1C">
              <w:rPr>
                <w:noProof/>
                <w:webHidden/>
              </w:rPr>
              <w:t>4</w:t>
            </w:r>
            <w:r w:rsidR="00E142C0" w:rsidRPr="00E142C0">
              <w:rPr>
                <w:noProof/>
                <w:webHidden/>
              </w:rPr>
              <w:fldChar w:fldCharType="end"/>
            </w:r>
          </w:hyperlink>
        </w:p>
        <w:p w:rsidR="00E142C0" w:rsidRPr="00E142C0" w:rsidRDefault="00F40CBE">
          <w:pPr>
            <w:pStyle w:val="TDC2"/>
            <w:tabs>
              <w:tab w:val="right" w:leader="dot" w:pos="8828"/>
            </w:tabs>
            <w:rPr>
              <w:rFonts w:cstheme="minorBidi"/>
              <w:noProof/>
            </w:rPr>
          </w:pPr>
          <w:hyperlink w:anchor="_Toc215130297" w:history="1">
            <w:r w:rsidR="00E142C0" w:rsidRPr="00E142C0">
              <w:rPr>
                <w:rStyle w:val="Hipervnculo"/>
                <w:rFonts w:ascii="Palatino Linotype" w:eastAsia="Palatino Linotype" w:hAnsi="Palatino Linotype" w:cs="Palatino Linotype"/>
                <w:bCs/>
                <w:noProof/>
              </w:rPr>
              <w:t>IV. Trámite del Recurso de Revisión ante este Instituto</w:t>
            </w:r>
            <w:r w:rsidR="00E142C0" w:rsidRPr="00E142C0">
              <w:rPr>
                <w:noProof/>
                <w:webHidden/>
              </w:rPr>
              <w:tab/>
            </w:r>
            <w:r w:rsidR="00E142C0" w:rsidRPr="00E142C0">
              <w:rPr>
                <w:noProof/>
                <w:webHidden/>
              </w:rPr>
              <w:fldChar w:fldCharType="begin"/>
            </w:r>
            <w:r w:rsidR="00E142C0" w:rsidRPr="00E142C0">
              <w:rPr>
                <w:noProof/>
                <w:webHidden/>
              </w:rPr>
              <w:instrText xml:space="preserve"> PAGEREF _Toc215130297 \h </w:instrText>
            </w:r>
            <w:r w:rsidR="00E142C0" w:rsidRPr="00E142C0">
              <w:rPr>
                <w:noProof/>
                <w:webHidden/>
              </w:rPr>
            </w:r>
            <w:r w:rsidR="00E142C0" w:rsidRPr="00E142C0">
              <w:rPr>
                <w:noProof/>
                <w:webHidden/>
              </w:rPr>
              <w:fldChar w:fldCharType="separate"/>
            </w:r>
            <w:r w:rsidR="006E2C1C">
              <w:rPr>
                <w:noProof/>
                <w:webHidden/>
              </w:rPr>
              <w:t>4</w:t>
            </w:r>
            <w:r w:rsidR="00E142C0" w:rsidRPr="00E142C0">
              <w:rPr>
                <w:noProof/>
                <w:webHidden/>
              </w:rPr>
              <w:fldChar w:fldCharType="end"/>
            </w:r>
          </w:hyperlink>
        </w:p>
        <w:p w:rsidR="00E142C0" w:rsidRPr="00E142C0" w:rsidRDefault="00F40CBE">
          <w:pPr>
            <w:pStyle w:val="TDC1"/>
            <w:tabs>
              <w:tab w:val="right" w:leader="dot" w:pos="8828"/>
            </w:tabs>
            <w:rPr>
              <w:rFonts w:cstheme="minorBidi"/>
              <w:noProof/>
            </w:rPr>
          </w:pPr>
          <w:hyperlink w:anchor="_Toc215130298" w:history="1">
            <w:r w:rsidR="00E142C0" w:rsidRPr="00E142C0">
              <w:rPr>
                <w:rStyle w:val="Hipervnculo"/>
                <w:rFonts w:ascii="Palatino Linotype" w:eastAsia="Palatino Linotype" w:hAnsi="Palatino Linotype" w:cs="Palatino Linotype"/>
                <w:bCs/>
                <w:noProof/>
              </w:rPr>
              <w:t>C O N S I D E R A N D O S</w:t>
            </w:r>
            <w:r w:rsidR="00E142C0" w:rsidRPr="00E142C0">
              <w:rPr>
                <w:noProof/>
                <w:webHidden/>
              </w:rPr>
              <w:tab/>
            </w:r>
            <w:r w:rsidR="00E142C0" w:rsidRPr="00E142C0">
              <w:rPr>
                <w:noProof/>
                <w:webHidden/>
              </w:rPr>
              <w:fldChar w:fldCharType="begin"/>
            </w:r>
            <w:r w:rsidR="00E142C0" w:rsidRPr="00E142C0">
              <w:rPr>
                <w:noProof/>
                <w:webHidden/>
              </w:rPr>
              <w:instrText xml:space="preserve"> PAGEREF _Toc215130298 \h </w:instrText>
            </w:r>
            <w:r w:rsidR="00E142C0" w:rsidRPr="00E142C0">
              <w:rPr>
                <w:noProof/>
                <w:webHidden/>
              </w:rPr>
            </w:r>
            <w:r w:rsidR="00E142C0" w:rsidRPr="00E142C0">
              <w:rPr>
                <w:noProof/>
                <w:webHidden/>
              </w:rPr>
              <w:fldChar w:fldCharType="separate"/>
            </w:r>
            <w:r w:rsidR="006E2C1C">
              <w:rPr>
                <w:noProof/>
                <w:webHidden/>
              </w:rPr>
              <w:t>8</w:t>
            </w:r>
            <w:r w:rsidR="00E142C0" w:rsidRPr="00E142C0">
              <w:rPr>
                <w:noProof/>
                <w:webHidden/>
              </w:rPr>
              <w:fldChar w:fldCharType="end"/>
            </w:r>
          </w:hyperlink>
        </w:p>
        <w:p w:rsidR="00E142C0" w:rsidRPr="00E142C0" w:rsidRDefault="00F40CBE">
          <w:pPr>
            <w:pStyle w:val="TDC2"/>
            <w:tabs>
              <w:tab w:val="right" w:leader="dot" w:pos="8828"/>
            </w:tabs>
            <w:rPr>
              <w:rFonts w:cstheme="minorBidi"/>
              <w:noProof/>
            </w:rPr>
          </w:pPr>
          <w:hyperlink w:anchor="_Toc215130299" w:history="1">
            <w:r w:rsidR="00E142C0" w:rsidRPr="00E142C0">
              <w:rPr>
                <w:rStyle w:val="Hipervnculo"/>
                <w:rFonts w:ascii="Palatino Linotype" w:eastAsia="Palatino Linotype" w:hAnsi="Palatino Linotype" w:cs="Palatino Linotype"/>
                <w:bCs/>
                <w:noProof/>
              </w:rPr>
              <w:t>PRIMERO. Competencia</w:t>
            </w:r>
            <w:r w:rsidR="00E142C0" w:rsidRPr="00E142C0">
              <w:rPr>
                <w:noProof/>
                <w:webHidden/>
              </w:rPr>
              <w:tab/>
            </w:r>
            <w:r w:rsidR="00E142C0" w:rsidRPr="00E142C0">
              <w:rPr>
                <w:noProof/>
                <w:webHidden/>
              </w:rPr>
              <w:fldChar w:fldCharType="begin"/>
            </w:r>
            <w:r w:rsidR="00E142C0" w:rsidRPr="00E142C0">
              <w:rPr>
                <w:noProof/>
                <w:webHidden/>
              </w:rPr>
              <w:instrText xml:space="preserve"> PAGEREF _Toc215130299 \h </w:instrText>
            </w:r>
            <w:r w:rsidR="00E142C0" w:rsidRPr="00E142C0">
              <w:rPr>
                <w:noProof/>
                <w:webHidden/>
              </w:rPr>
            </w:r>
            <w:r w:rsidR="00E142C0" w:rsidRPr="00E142C0">
              <w:rPr>
                <w:noProof/>
                <w:webHidden/>
              </w:rPr>
              <w:fldChar w:fldCharType="separate"/>
            </w:r>
            <w:r w:rsidR="006E2C1C">
              <w:rPr>
                <w:noProof/>
                <w:webHidden/>
              </w:rPr>
              <w:t>8</w:t>
            </w:r>
            <w:r w:rsidR="00E142C0" w:rsidRPr="00E142C0">
              <w:rPr>
                <w:noProof/>
                <w:webHidden/>
              </w:rPr>
              <w:fldChar w:fldCharType="end"/>
            </w:r>
          </w:hyperlink>
        </w:p>
        <w:p w:rsidR="00E142C0" w:rsidRPr="00E142C0" w:rsidRDefault="00F40CBE">
          <w:pPr>
            <w:pStyle w:val="TDC2"/>
            <w:tabs>
              <w:tab w:val="right" w:leader="dot" w:pos="8828"/>
            </w:tabs>
            <w:rPr>
              <w:rFonts w:cstheme="minorBidi"/>
              <w:noProof/>
            </w:rPr>
          </w:pPr>
          <w:hyperlink w:anchor="_Toc215130300" w:history="1">
            <w:r w:rsidR="00E142C0" w:rsidRPr="00E142C0">
              <w:rPr>
                <w:rStyle w:val="Hipervnculo"/>
                <w:rFonts w:ascii="Palatino Linotype" w:eastAsia="Palatino Linotype" w:hAnsi="Palatino Linotype" w:cs="Palatino Linotype"/>
                <w:bCs/>
                <w:noProof/>
              </w:rPr>
              <w:t>SEGUNDO. Causales de improcedencia y sobreseimiento</w:t>
            </w:r>
            <w:r w:rsidR="00E142C0" w:rsidRPr="00E142C0">
              <w:rPr>
                <w:noProof/>
                <w:webHidden/>
              </w:rPr>
              <w:tab/>
            </w:r>
            <w:r w:rsidR="00E142C0" w:rsidRPr="00E142C0">
              <w:rPr>
                <w:noProof/>
                <w:webHidden/>
              </w:rPr>
              <w:fldChar w:fldCharType="begin"/>
            </w:r>
            <w:r w:rsidR="00E142C0" w:rsidRPr="00E142C0">
              <w:rPr>
                <w:noProof/>
                <w:webHidden/>
              </w:rPr>
              <w:instrText xml:space="preserve"> PAGEREF _Toc215130300 \h </w:instrText>
            </w:r>
            <w:r w:rsidR="00E142C0" w:rsidRPr="00E142C0">
              <w:rPr>
                <w:noProof/>
                <w:webHidden/>
              </w:rPr>
            </w:r>
            <w:r w:rsidR="00E142C0" w:rsidRPr="00E142C0">
              <w:rPr>
                <w:noProof/>
                <w:webHidden/>
              </w:rPr>
              <w:fldChar w:fldCharType="separate"/>
            </w:r>
            <w:r w:rsidR="006E2C1C">
              <w:rPr>
                <w:noProof/>
                <w:webHidden/>
              </w:rPr>
              <w:t>8</w:t>
            </w:r>
            <w:r w:rsidR="00E142C0" w:rsidRPr="00E142C0">
              <w:rPr>
                <w:noProof/>
                <w:webHidden/>
              </w:rPr>
              <w:fldChar w:fldCharType="end"/>
            </w:r>
          </w:hyperlink>
        </w:p>
        <w:p w:rsidR="00E142C0" w:rsidRPr="00E142C0" w:rsidRDefault="00F40CBE">
          <w:pPr>
            <w:pStyle w:val="TDC2"/>
            <w:tabs>
              <w:tab w:val="right" w:leader="dot" w:pos="8828"/>
            </w:tabs>
            <w:rPr>
              <w:rFonts w:cstheme="minorBidi"/>
              <w:noProof/>
            </w:rPr>
          </w:pPr>
          <w:hyperlink w:anchor="_Toc215130301" w:history="1">
            <w:r w:rsidR="00E142C0" w:rsidRPr="00E142C0">
              <w:rPr>
                <w:rStyle w:val="Hipervnculo"/>
                <w:rFonts w:ascii="Palatino Linotype" w:eastAsia="Palatino Linotype" w:hAnsi="Palatino Linotype" w:cs="Palatino Linotype"/>
                <w:bCs/>
                <w:noProof/>
              </w:rPr>
              <w:t>CUARTO. Marco normativo aplicable en materia de transparencia y acceso a la información pública</w:t>
            </w:r>
            <w:r w:rsidR="00E142C0" w:rsidRPr="00E142C0">
              <w:rPr>
                <w:noProof/>
                <w:webHidden/>
              </w:rPr>
              <w:tab/>
            </w:r>
            <w:r w:rsidR="00E142C0" w:rsidRPr="00E142C0">
              <w:rPr>
                <w:noProof/>
                <w:webHidden/>
              </w:rPr>
              <w:fldChar w:fldCharType="begin"/>
            </w:r>
            <w:r w:rsidR="00E142C0" w:rsidRPr="00E142C0">
              <w:rPr>
                <w:noProof/>
                <w:webHidden/>
              </w:rPr>
              <w:instrText xml:space="preserve"> PAGEREF _Toc215130301 \h </w:instrText>
            </w:r>
            <w:r w:rsidR="00E142C0" w:rsidRPr="00E142C0">
              <w:rPr>
                <w:noProof/>
                <w:webHidden/>
              </w:rPr>
            </w:r>
            <w:r w:rsidR="00E142C0" w:rsidRPr="00E142C0">
              <w:rPr>
                <w:noProof/>
                <w:webHidden/>
              </w:rPr>
              <w:fldChar w:fldCharType="separate"/>
            </w:r>
            <w:r w:rsidR="006E2C1C">
              <w:rPr>
                <w:noProof/>
                <w:webHidden/>
              </w:rPr>
              <w:t>11</w:t>
            </w:r>
            <w:r w:rsidR="00E142C0" w:rsidRPr="00E142C0">
              <w:rPr>
                <w:noProof/>
                <w:webHidden/>
              </w:rPr>
              <w:fldChar w:fldCharType="end"/>
            </w:r>
          </w:hyperlink>
        </w:p>
        <w:p w:rsidR="00E142C0" w:rsidRPr="00E142C0" w:rsidRDefault="00F40CBE">
          <w:pPr>
            <w:pStyle w:val="TDC2"/>
            <w:tabs>
              <w:tab w:val="right" w:leader="dot" w:pos="8828"/>
            </w:tabs>
            <w:rPr>
              <w:rFonts w:cstheme="minorBidi"/>
              <w:noProof/>
            </w:rPr>
          </w:pPr>
          <w:hyperlink w:anchor="_Toc215130302" w:history="1">
            <w:r w:rsidR="00E142C0" w:rsidRPr="00E142C0">
              <w:rPr>
                <w:rStyle w:val="Hipervnculo"/>
                <w:rFonts w:ascii="Palatino Linotype" w:eastAsia="Palatino Linotype" w:hAnsi="Palatino Linotype" w:cs="Palatino Linotype"/>
                <w:bCs/>
                <w:noProof/>
              </w:rPr>
              <w:t>QUINTO. Estudio de Fondo</w:t>
            </w:r>
            <w:r w:rsidR="00E142C0" w:rsidRPr="00E142C0">
              <w:rPr>
                <w:noProof/>
                <w:webHidden/>
              </w:rPr>
              <w:tab/>
            </w:r>
            <w:r w:rsidR="00E142C0" w:rsidRPr="00E142C0">
              <w:rPr>
                <w:noProof/>
                <w:webHidden/>
              </w:rPr>
              <w:fldChar w:fldCharType="begin"/>
            </w:r>
            <w:r w:rsidR="00E142C0" w:rsidRPr="00E142C0">
              <w:rPr>
                <w:noProof/>
                <w:webHidden/>
              </w:rPr>
              <w:instrText xml:space="preserve"> PAGEREF _Toc215130302 \h </w:instrText>
            </w:r>
            <w:r w:rsidR="00E142C0" w:rsidRPr="00E142C0">
              <w:rPr>
                <w:noProof/>
                <w:webHidden/>
              </w:rPr>
            </w:r>
            <w:r w:rsidR="00E142C0" w:rsidRPr="00E142C0">
              <w:rPr>
                <w:noProof/>
                <w:webHidden/>
              </w:rPr>
              <w:fldChar w:fldCharType="separate"/>
            </w:r>
            <w:r w:rsidR="006E2C1C">
              <w:rPr>
                <w:noProof/>
                <w:webHidden/>
              </w:rPr>
              <w:t>12</w:t>
            </w:r>
            <w:r w:rsidR="00E142C0" w:rsidRPr="00E142C0">
              <w:rPr>
                <w:noProof/>
                <w:webHidden/>
              </w:rPr>
              <w:fldChar w:fldCharType="end"/>
            </w:r>
          </w:hyperlink>
        </w:p>
        <w:p w:rsidR="00E142C0" w:rsidRPr="00E142C0" w:rsidRDefault="00F40CBE">
          <w:pPr>
            <w:pStyle w:val="TDC2"/>
            <w:tabs>
              <w:tab w:val="right" w:leader="dot" w:pos="8828"/>
            </w:tabs>
            <w:rPr>
              <w:rFonts w:cstheme="minorBidi"/>
              <w:noProof/>
            </w:rPr>
          </w:pPr>
          <w:hyperlink w:anchor="_Toc215130303" w:history="1">
            <w:r w:rsidR="00E142C0" w:rsidRPr="00E142C0">
              <w:rPr>
                <w:rStyle w:val="Hipervnculo"/>
                <w:rFonts w:ascii="Palatino Linotype" w:eastAsia="Palatino Linotype" w:hAnsi="Palatino Linotype" w:cs="Palatino Linotype"/>
                <w:bCs/>
                <w:noProof/>
              </w:rPr>
              <w:t>SEXTO. Decisión</w:t>
            </w:r>
            <w:r w:rsidR="00E142C0" w:rsidRPr="00E142C0">
              <w:rPr>
                <w:noProof/>
                <w:webHidden/>
              </w:rPr>
              <w:tab/>
            </w:r>
            <w:r w:rsidR="00E142C0" w:rsidRPr="00E142C0">
              <w:rPr>
                <w:noProof/>
                <w:webHidden/>
              </w:rPr>
              <w:fldChar w:fldCharType="begin"/>
            </w:r>
            <w:r w:rsidR="00E142C0" w:rsidRPr="00E142C0">
              <w:rPr>
                <w:noProof/>
                <w:webHidden/>
              </w:rPr>
              <w:instrText xml:space="preserve"> PAGEREF _Toc215130303 \h </w:instrText>
            </w:r>
            <w:r w:rsidR="00E142C0" w:rsidRPr="00E142C0">
              <w:rPr>
                <w:noProof/>
                <w:webHidden/>
              </w:rPr>
            </w:r>
            <w:r w:rsidR="00E142C0" w:rsidRPr="00E142C0">
              <w:rPr>
                <w:noProof/>
                <w:webHidden/>
              </w:rPr>
              <w:fldChar w:fldCharType="separate"/>
            </w:r>
            <w:r w:rsidR="006E2C1C">
              <w:rPr>
                <w:noProof/>
                <w:webHidden/>
              </w:rPr>
              <w:t>46</w:t>
            </w:r>
            <w:r w:rsidR="00E142C0" w:rsidRPr="00E142C0">
              <w:rPr>
                <w:noProof/>
                <w:webHidden/>
              </w:rPr>
              <w:fldChar w:fldCharType="end"/>
            </w:r>
          </w:hyperlink>
        </w:p>
        <w:p w:rsidR="00E142C0" w:rsidRPr="00E142C0" w:rsidRDefault="00F40CBE">
          <w:pPr>
            <w:pStyle w:val="TDC1"/>
            <w:tabs>
              <w:tab w:val="right" w:leader="dot" w:pos="8828"/>
            </w:tabs>
            <w:rPr>
              <w:rFonts w:cstheme="minorBidi"/>
              <w:noProof/>
            </w:rPr>
          </w:pPr>
          <w:hyperlink w:anchor="_Toc215130304" w:history="1">
            <w:r w:rsidR="00E142C0" w:rsidRPr="00E142C0">
              <w:rPr>
                <w:rStyle w:val="Hipervnculo"/>
                <w:rFonts w:ascii="Palatino Linotype" w:eastAsia="Palatino Linotype" w:hAnsi="Palatino Linotype" w:cs="Palatino Linotype"/>
                <w:bCs/>
                <w:noProof/>
              </w:rPr>
              <w:t>R E S U E L V E</w:t>
            </w:r>
            <w:r w:rsidR="00E142C0" w:rsidRPr="00E142C0">
              <w:rPr>
                <w:noProof/>
                <w:webHidden/>
              </w:rPr>
              <w:tab/>
            </w:r>
            <w:r w:rsidR="00E142C0" w:rsidRPr="00E142C0">
              <w:rPr>
                <w:noProof/>
                <w:webHidden/>
              </w:rPr>
              <w:fldChar w:fldCharType="begin"/>
            </w:r>
            <w:r w:rsidR="00E142C0" w:rsidRPr="00E142C0">
              <w:rPr>
                <w:noProof/>
                <w:webHidden/>
              </w:rPr>
              <w:instrText xml:space="preserve"> PAGEREF _Toc215130304 \h </w:instrText>
            </w:r>
            <w:r w:rsidR="00E142C0" w:rsidRPr="00E142C0">
              <w:rPr>
                <w:noProof/>
                <w:webHidden/>
              </w:rPr>
            </w:r>
            <w:r w:rsidR="00E142C0" w:rsidRPr="00E142C0">
              <w:rPr>
                <w:noProof/>
                <w:webHidden/>
              </w:rPr>
              <w:fldChar w:fldCharType="separate"/>
            </w:r>
            <w:r w:rsidR="006E2C1C">
              <w:rPr>
                <w:noProof/>
                <w:webHidden/>
              </w:rPr>
              <w:t>47</w:t>
            </w:r>
            <w:r w:rsidR="00E142C0" w:rsidRPr="00E142C0">
              <w:rPr>
                <w:noProof/>
                <w:webHidden/>
              </w:rPr>
              <w:fldChar w:fldCharType="end"/>
            </w:r>
          </w:hyperlink>
        </w:p>
        <w:p w:rsidR="00C86591" w:rsidRDefault="00C86591">
          <w:r w:rsidRPr="00E142C0">
            <w:rPr>
              <w:bCs/>
              <w:lang w:val="es-ES"/>
            </w:rPr>
            <w:fldChar w:fldCharType="end"/>
          </w:r>
        </w:p>
      </w:sdtContent>
    </w:sdt>
    <w:p w:rsidR="00C86591" w:rsidRDefault="00C86591">
      <w:pPr>
        <w:spacing w:line="360" w:lineRule="auto"/>
        <w:jc w:val="both"/>
      </w:pPr>
    </w:p>
    <w:p w:rsidR="00C86591" w:rsidRDefault="00C86591">
      <w:pPr>
        <w:spacing w:line="360" w:lineRule="auto"/>
        <w:jc w:val="both"/>
      </w:pPr>
    </w:p>
    <w:p w:rsidR="00C86591" w:rsidRDefault="00C86591">
      <w:pPr>
        <w:spacing w:line="360" w:lineRule="auto"/>
        <w:jc w:val="both"/>
      </w:pPr>
    </w:p>
    <w:p w:rsidR="00C86591" w:rsidRDefault="00C86591">
      <w:pPr>
        <w:spacing w:line="360" w:lineRule="auto"/>
        <w:jc w:val="both"/>
      </w:pPr>
    </w:p>
    <w:p w:rsidR="00C86591" w:rsidRDefault="00C86591">
      <w:pPr>
        <w:spacing w:line="360" w:lineRule="auto"/>
        <w:jc w:val="both"/>
      </w:pPr>
    </w:p>
    <w:p w:rsidR="00C86591" w:rsidRDefault="00C86591">
      <w:pPr>
        <w:spacing w:line="360" w:lineRule="auto"/>
        <w:jc w:val="both"/>
      </w:pPr>
    </w:p>
    <w:p w:rsidR="00C86591" w:rsidRDefault="00C86591">
      <w:pPr>
        <w:spacing w:line="360" w:lineRule="auto"/>
        <w:jc w:val="both"/>
      </w:pPr>
    </w:p>
    <w:p w:rsidR="00C86591" w:rsidRDefault="00C86591">
      <w:pPr>
        <w:spacing w:line="360" w:lineRule="auto"/>
        <w:jc w:val="both"/>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 de México, del veinticinco de noviembre de dos mil veinticinco.</w:t>
      </w:r>
    </w:p>
    <w:p w:rsidR="00B0325F" w:rsidRDefault="00B0325F">
      <w:pPr>
        <w:spacing w:line="360" w:lineRule="auto"/>
        <w:rPr>
          <w:rFonts w:ascii="Palatino Linotype" w:eastAsia="Palatino Linotype" w:hAnsi="Palatino Linotype" w:cs="Palatino Linotype"/>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color w:val="0D0D0D"/>
          <w:sz w:val="22"/>
          <w:szCs w:val="22"/>
        </w:rPr>
        <w:t xml:space="preserve">VISTO </w:t>
      </w:r>
      <w:r>
        <w:rPr>
          <w:rFonts w:ascii="Palatino Linotype" w:eastAsia="Palatino Linotype" w:hAnsi="Palatino Linotype" w:cs="Palatino Linotype"/>
          <w:color w:val="0D0D0D"/>
          <w:sz w:val="22"/>
          <w:szCs w:val="22"/>
        </w:rPr>
        <w:t xml:space="preserve">el expediente conformado con motivo del Recurso de Revisión </w:t>
      </w:r>
      <w:r w:rsidRPr="001E1B28">
        <w:rPr>
          <w:rFonts w:ascii="Palatino Linotype" w:eastAsia="Palatino Linotype" w:hAnsi="Palatino Linotype" w:cs="Palatino Linotype"/>
          <w:b/>
          <w:sz w:val="22"/>
          <w:szCs w:val="22"/>
        </w:rPr>
        <w:t>10031/INFOEM/IP/RR/2025 y 11147/INFOEM/IP/RR/2025</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color w:val="0D0D0D"/>
          <w:sz w:val="22"/>
          <w:szCs w:val="22"/>
        </w:rPr>
        <w:t xml:space="preserve">interpuesto por </w:t>
      </w: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color w:val="0D0D0D"/>
          <w:sz w:val="22"/>
          <w:szCs w:val="22"/>
        </w:rPr>
        <w:t xml:space="preserve">Recurrente o Particular, en contra de la respuesta del Sujeto Obligado, </w:t>
      </w:r>
      <w:r w:rsidRPr="001E1B28">
        <w:rPr>
          <w:rFonts w:ascii="Palatino Linotype" w:eastAsia="Palatino Linotype" w:hAnsi="Palatino Linotype" w:cs="Palatino Linotype"/>
          <w:b/>
          <w:sz w:val="22"/>
          <w:szCs w:val="22"/>
        </w:rPr>
        <w:t>Ayuntamiento de Acolman</w:t>
      </w:r>
      <w:r>
        <w:rPr>
          <w:rFonts w:ascii="Palatino Linotype" w:eastAsia="Palatino Linotype" w:hAnsi="Palatino Linotype" w:cs="Palatino Linotype"/>
          <w:color w:val="0D0D0D"/>
          <w:sz w:val="22"/>
          <w:szCs w:val="22"/>
        </w:rPr>
        <w:t xml:space="preserve">, a las solicitudes de acceso a la información pública </w:t>
      </w:r>
      <w:r>
        <w:rPr>
          <w:rFonts w:ascii="Palatino Linotype" w:eastAsia="Palatino Linotype" w:hAnsi="Palatino Linotype" w:cs="Palatino Linotype"/>
          <w:sz w:val="22"/>
          <w:szCs w:val="22"/>
        </w:rPr>
        <w:t>00061/ACOLMAN/IP/2025 y 00065/ACOLMAN/IP/2025</w:t>
      </w:r>
      <w:r>
        <w:rPr>
          <w:rFonts w:ascii="Palatino Linotype" w:eastAsia="Palatino Linotype" w:hAnsi="Palatino Linotype" w:cs="Palatino Linotype"/>
          <w:color w:val="0D0D0D"/>
          <w:sz w:val="22"/>
          <w:szCs w:val="22"/>
        </w:rPr>
        <w:t>, se emite la presente Resolución, con base en los Antecedentes y C</w:t>
      </w:r>
      <w:r>
        <w:rPr>
          <w:rFonts w:ascii="Palatino Linotype" w:eastAsia="Palatino Linotype" w:hAnsi="Palatino Linotype" w:cs="Palatino Linotype"/>
          <w:sz w:val="22"/>
          <w:szCs w:val="22"/>
        </w:rPr>
        <w:t>onsiderandos que a continuación se exponen:</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pStyle w:val="Ttulo1"/>
        <w:spacing w:before="0" w:after="0" w:line="360" w:lineRule="auto"/>
        <w:jc w:val="center"/>
        <w:rPr>
          <w:rFonts w:ascii="Palatino Linotype" w:eastAsia="Palatino Linotype" w:hAnsi="Palatino Linotype" w:cs="Palatino Linotype"/>
          <w:b/>
          <w:bCs/>
          <w:color w:val="000000"/>
          <w:sz w:val="22"/>
          <w:szCs w:val="22"/>
        </w:rPr>
      </w:pPr>
      <w:bookmarkStart w:id="1" w:name="_heading=h.1ew4fq3iz62c" w:colFirst="0" w:colLast="0"/>
      <w:bookmarkStart w:id="2" w:name="_Toc215130293"/>
      <w:bookmarkEnd w:id="1"/>
      <w:r>
        <w:rPr>
          <w:rFonts w:ascii="Palatino Linotype" w:eastAsia="Palatino Linotype" w:hAnsi="Palatino Linotype" w:cs="Palatino Linotype"/>
          <w:b/>
          <w:bCs/>
          <w:color w:val="000000"/>
          <w:sz w:val="22"/>
          <w:szCs w:val="22"/>
        </w:rPr>
        <w:t>A N T E C E D E N T E S</w:t>
      </w:r>
      <w:bookmarkEnd w:id="2"/>
    </w:p>
    <w:p w:rsidR="00B0325F" w:rsidRDefault="00B0325F">
      <w:pPr>
        <w:spacing w:line="360" w:lineRule="auto"/>
      </w:pPr>
    </w:p>
    <w:p w:rsidR="00B0325F" w:rsidRDefault="004D5484">
      <w:pPr>
        <w:pStyle w:val="Ttulo2"/>
        <w:spacing w:before="0" w:after="0" w:line="360" w:lineRule="auto"/>
        <w:rPr>
          <w:rFonts w:ascii="Palatino Linotype" w:eastAsia="Palatino Linotype" w:hAnsi="Palatino Linotype" w:cs="Palatino Linotype"/>
          <w:b/>
          <w:bCs/>
          <w:color w:val="000000"/>
          <w:sz w:val="22"/>
          <w:szCs w:val="22"/>
        </w:rPr>
      </w:pPr>
      <w:bookmarkStart w:id="3" w:name="_heading=h.hvl5wckurunu" w:colFirst="0" w:colLast="0"/>
      <w:bookmarkStart w:id="4" w:name="_Toc215130294"/>
      <w:bookmarkEnd w:id="3"/>
      <w:r>
        <w:rPr>
          <w:rFonts w:ascii="Palatino Linotype" w:eastAsia="Palatino Linotype" w:hAnsi="Palatino Linotype" w:cs="Palatino Linotype"/>
          <w:b/>
          <w:bCs/>
          <w:color w:val="000000"/>
          <w:sz w:val="22"/>
          <w:szCs w:val="22"/>
        </w:rPr>
        <w:t>I. Presentación de la solicitud de información</w:t>
      </w:r>
      <w:bookmarkEnd w:id="4"/>
    </w:p>
    <w:p w:rsidR="00B0325F" w:rsidRDefault="00B0325F">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rsidR="00B0325F" w:rsidRDefault="004D5484">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 fecha cuatro de agosto y primero de septiembre de dos mil veinticinco, el Particular presentó dos solicitudes de acceso a la información pública, a través del Sistema de Acceso a la Información Mexiquense, en lo sucesivo el SAIMEX, ante el Ayuntamiento de Acolman, mediante la cual requirió lo siguiente:</w:t>
      </w:r>
    </w:p>
    <w:p w:rsidR="00B0325F" w:rsidRDefault="00B0325F">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bCs/>
          <w:color w:val="000000"/>
        </w:rPr>
      </w:pPr>
    </w:p>
    <w:tbl>
      <w:tblPr>
        <w:tblStyle w:val="a7"/>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379"/>
      </w:tblGrid>
      <w:tr w:rsidR="00B0325F">
        <w:tc>
          <w:tcPr>
            <w:tcW w:w="2547" w:type="dxa"/>
            <w:tcBorders>
              <w:top w:val="single" w:sz="4" w:space="0" w:color="000000"/>
              <w:left w:val="single" w:sz="4" w:space="0" w:color="000000"/>
              <w:bottom w:val="single" w:sz="4" w:space="0" w:color="000000"/>
              <w:right w:val="single" w:sz="4" w:space="0" w:color="000000"/>
            </w:tcBorders>
            <w:shd w:val="clear" w:color="auto" w:fill="D0CECE"/>
          </w:tcPr>
          <w:p w:rsidR="00B0325F" w:rsidRDefault="004D5484">
            <w:pPr>
              <w:tabs>
                <w:tab w:val="left" w:pos="567"/>
              </w:tabs>
              <w:spacing w:line="360" w:lineRule="auto"/>
              <w:ind w:right="-28"/>
              <w:rPr>
                <w:b/>
                <w:bCs/>
              </w:rPr>
            </w:pPr>
            <w:bookmarkStart w:id="5" w:name="_heading=h.q5yku49cdj0h" w:colFirst="0" w:colLast="0"/>
            <w:bookmarkEnd w:id="5"/>
            <w:r>
              <w:rPr>
                <w:b/>
                <w:bCs/>
              </w:rPr>
              <w:t>FOLIO DE SOLICITUD</w:t>
            </w:r>
          </w:p>
        </w:tc>
        <w:tc>
          <w:tcPr>
            <w:tcW w:w="6379" w:type="dxa"/>
            <w:tcBorders>
              <w:top w:val="single" w:sz="4" w:space="0" w:color="000000"/>
              <w:left w:val="single" w:sz="4" w:space="0" w:color="000000"/>
              <w:bottom w:val="single" w:sz="4" w:space="0" w:color="000000"/>
              <w:right w:val="single" w:sz="4" w:space="0" w:color="000000"/>
            </w:tcBorders>
            <w:shd w:val="clear" w:color="auto" w:fill="D0CECE"/>
          </w:tcPr>
          <w:p w:rsidR="00B0325F" w:rsidRDefault="004D5484">
            <w:pPr>
              <w:tabs>
                <w:tab w:val="left" w:pos="567"/>
              </w:tabs>
              <w:spacing w:line="360" w:lineRule="auto"/>
              <w:rPr>
                <w:b/>
                <w:bCs/>
              </w:rPr>
            </w:pPr>
            <w:r>
              <w:rPr>
                <w:b/>
                <w:bCs/>
              </w:rPr>
              <w:t>‘’DESCRIPCIÓN CLARA Y PRECISA DE LA INFORMACIÓN SOLICITADA</w:t>
            </w:r>
          </w:p>
        </w:tc>
      </w:tr>
      <w:tr w:rsidR="00B0325F">
        <w:tc>
          <w:tcPr>
            <w:tcW w:w="2547" w:type="dxa"/>
            <w:tcBorders>
              <w:top w:val="single" w:sz="4" w:space="0" w:color="000000"/>
              <w:left w:val="single" w:sz="4" w:space="0" w:color="000000"/>
              <w:bottom w:val="single" w:sz="4" w:space="0" w:color="000000"/>
              <w:right w:val="single" w:sz="4" w:space="0" w:color="000000"/>
            </w:tcBorders>
          </w:tcPr>
          <w:p w:rsidR="00B0325F" w:rsidRDefault="004D5484">
            <w:pPr>
              <w:spacing w:line="360" w:lineRule="auto"/>
              <w:rPr>
                <w:b/>
                <w:bCs/>
                <w:i/>
                <w:iCs/>
                <w:color w:val="FF0000"/>
              </w:rPr>
            </w:pPr>
            <w:r>
              <w:rPr>
                <w:b/>
                <w:bCs/>
                <w:i/>
                <w:iCs/>
              </w:rPr>
              <w:t>00061/ACOLMAN/IP/2025</w:t>
            </w:r>
          </w:p>
        </w:tc>
        <w:tc>
          <w:tcPr>
            <w:tcW w:w="6379" w:type="dxa"/>
            <w:tcBorders>
              <w:top w:val="single" w:sz="4" w:space="0" w:color="000000"/>
              <w:left w:val="single" w:sz="4" w:space="0" w:color="000000"/>
              <w:bottom w:val="single" w:sz="4" w:space="0" w:color="000000"/>
              <w:right w:val="single" w:sz="4" w:space="0" w:color="000000"/>
            </w:tcBorders>
          </w:tcPr>
          <w:p w:rsidR="00B0325F" w:rsidRDefault="004D5484">
            <w:pPr>
              <w:spacing w:line="360" w:lineRule="auto"/>
              <w:jc w:val="both"/>
              <w:rPr>
                <w:i/>
                <w:iCs/>
                <w:color w:val="FF0000"/>
              </w:rPr>
            </w:pPr>
            <w:r>
              <w:rPr>
                <w:rFonts w:ascii="Palatino Linotype" w:eastAsia="Palatino Linotype" w:hAnsi="Palatino Linotype" w:cs="Palatino Linotype"/>
                <w:i/>
                <w:iCs/>
              </w:rPr>
              <w:t xml:space="preserve">relación de sueldos de todo el personal donde se identifique, nombre, cargo, sueldo bruno, sueldo neto y área de adscripción de la </w:t>
            </w:r>
            <w:proofErr w:type="spellStart"/>
            <w:r>
              <w:rPr>
                <w:rFonts w:ascii="Palatino Linotype" w:eastAsia="Palatino Linotype" w:hAnsi="Palatino Linotype" w:cs="Palatino Linotype"/>
                <w:i/>
                <w:iCs/>
              </w:rPr>
              <w:t>ultima</w:t>
            </w:r>
            <w:proofErr w:type="spellEnd"/>
            <w:r>
              <w:rPr>
                <w:rFonts w:ascii="Palatino Linotype" w:eastAsia="Palatino Linotype" w:hAnsi="Palatino Linotype" w:cs="Palatino Linotype"/>
                <w:i/>
                <w:iCs/>
              </w:rPr>
              <w:t xml:space="preserve"> quincena del mes de julio 2025, de no contar con la relación entonces recibos de </w:t>
            </w:r>
            <w:proofErr w:type="spellStart"/>
            <w:r>
              <w:rPr>
                <w:rFonts w:ascii="Palatino Linotype" w:eastAsia="Palatino Linotype" w:hAnsi="Palatino Linotype" w:cs="Palatino Linotype"/>
                <w:i/>
                <w:iCs/>
              </w:rPr>
              <w:t>nomina</w:t>
            </w:r>
            <w:proofErr w:type="spellEnd"/>
            <w:r>
              <w:rPr>
                <w:rFonts w:ascii="Palatino Linotype" w:eastAsia="Palatino Linotype" w:hAnsi="Palatino Linotype" w:cs="Palatino Linotype"/>
                <w:i/>
                <w:iCs/>
              </w:rPr>
              <w:t xml:space="preserve"> de todo el personal incluyendo </w:t>
            </w:r>
            <w:proofErr w:type="spellStart"/>
            <w:r>
              <w:rPr>
                <w:rFonts w:ascii="Palatino Linotype" w:eastAsia="Palatino Linotype" w:hAnsi="Palatino Linotype" w:cs="Palatino Linotype"/>
                <w:i/>
                <w:iCs/>
              </w:rPr>
              <w:t>Dif</w:t>
            </w:r>
            <w:proofErr w:type="spellEnd"/>
            <w:r>
              <w:rPr>
                <w:rFonts w:ascii="Palatino Linotype" w:eastAsia="Palatino Linotype" w:hAnsi="Palatino Linotype" w:cs="Palatino Linotype"/>
                <w:i/>
                <w:iCs/>
              </w:rPr>
              <w:t xml:space="preserve"> e </w:t>
            </w:r>
            <w:proofErr w:type="spellStart"/>
            <w:r>
              <w:rPr>
                <w:rFonts w:ascii="Palatino Linotype" w:eastAsia="Palatino Linotype" w:hAnsi="Palatino Linotype" w:cs="Palatino Linotype"/>
                <w:i/>
                <w:iCs/>
              </w:rPr>
              <w:t>imcufide</w:t>
            </w:r>
            <w:proofErr w:type="spellEnd"/>
            <w:r>
              <w:rPr>
                <w:i/>
                <w:iCs/>
              </w:rPr>
              <w:t>” (Sic)</w:t>
            </w:r>
          </w:p>
        </w:tc>
      </w:tr>
      <w:tr w:rsidR="00B0325F">
        <w:tc>
          <w:tcPr>
            <w:tcW w:w="2547" w:type="dxa"/>
            <w:tcBorders>
              <w:top w:val="single" w:sz="4" w:space="0" w:color="000000"/>
              <w:left w:val="single" w:sz="4" w:space="0" w:color="000000"/>
              <w:bottom w:val="single" w:sz="4" w:space="0" w:color="000000"/>
              <w:right w:val="single" w:sz="4" w:space="0" w:color="000000"/>
            </w:tcBorders>
          </w:tcPr>
          <w:p w:rsidR="00B0325F" w:rsidRDefault="004D5484">
            <w:pPr>
              <w:spacing w:line="360" w:lineRule="auto"/>
              <w:rPr>
                <w:b/>
                <w:bCs/>
                <w:i/>
                <w:iCs/>
                <w:color w:val="FF0000"/>
              </w:rPr>
            </w:pPr>
            <w:r>
              <w:rPr>
                <w:b/>
                <w:bCs/>
                <w:i/>
                <w:iCs/>
              </w:rPr>
              <w:lastRenderedPageBreak/>
              <w:t>00065/ACOLMAN/IP/2025</w:t>
            </w:r>
          </w:p>
        </w:tc>
        <w:tc>
          <w:tcPr>
            <w:tcW w:w="6379" w:type="dxa"/>
            <w:tcBorders>
              <w:top w:val="single" w:sz="4" w:space="0" w:color="000000"/>
              <w:left w:val="single" w:sz="4" w:space="0" w:color="000000"/>
              <w:bottom w:val="single" w:sz="4" w:space="0" w:color="000000"/>
              <w:right w:val="single" w:sz="4" w:space="0" w:color="000000"/>
            </w:tcBorders>
          </w:tcPr>
          <w:p w:rsidR="00B0325F" w:rsidRDefault="004D5484">
            <w:pPr>
              <w:spacing w:line="360" w:lineRule="auto"/>
              <w:jc w:val="both"/>
              <w:rPr>
                <w:color w:val="FF0000"/>
              </w:rPr>
            </w:pPr>
            <w:r>
              <w:rPr>
                <w:rFonts w:ascii="Palatino Linotype" w:eastAsia="Palatino Linotype" w:hAnsi="Palatino Linotype" w:cs="Palatino Linotype"/>
                <w:i/>
                <w:iCs/>
              </w:rPr>
              <w:t>Recibos de nómina de todo el personal del municipio de agosto de 2025</w:t>
            </w:r>
            <w:r>
              <w:rPr>
                <w:i/>
                <w:iCs/>
              </w:rPr>
              <w:t>” (Sic)</w:t>
            </w:r>
          </w:p>
        </w:tc>
      </w:tr>
    </w:tbl>
    <w:p w:rsidR="00B0325F" w:rsidRDefault="00B0325F">
      <w:pPr>
        <w:tabs>
          <w:tab w:val="left" w:pos="4667"/>
        </w:tabs>
        <w:spacing w:line="360" w:lineRule="auto"/>
        <w:ind w:left="567" w:right="567"/>
        <w:jc w:val="both"/>
        <w:rPr>
          <w:rFonts w:ascii="Palatino Linotype" w:eastAsia="Palatino Linotype" w:hAnsi="Palatino Linotype" w:cs="Palatino Linotype"/>
          <w:i/>
          <w:iCs/>
        </w:rPr>
      </w:pPr>
    </w:p>
    <w:p w:rsidR="00B0325F" w:rsidRDefault="004D5484">
      <w:pPr>
        <w:tabs>
          <w:tab w:val="left" w:pos="4667"/>
        </w:tabs>
        <w:spacing w:line="360" w:lineRule="auto"/>
        <w:jc w:val="both"/>
        <w:rPr>
          <w:rFonts w:ascii="Palatino Linotype" w:eastAsia="Palatino Linotype" w:hAnsi="Palatino Linotype" w:cs="Palatino Linotype"/>
          <w:i/>
          <w:iCs/>
          <w:sz w:val="22"/>
          <w:szCs w:val="22"/>
        </w:rPr>
      </w:pPr>
      <w:r>
        <w:rPr>
          <w:rFonts w:ascii="Palatino Linotype" w:eastAsia="Palatino Linotype" w:hAnsi="Palatino Linotype" w:cs="Palatino Linotype"/>
          <w:sz w:val="22"/>
          <w:szCs w:val="22"/>
        </w:rPr>
        <w:t xml:space="preserve">Es de señalar que en las dos solicitudes de acceso a la información el ahora Recurrente eligió como modalidad de entrega de la información </w:t>
      </w:r>
      <w:r>
        <w:rPr>
          <w:rFonts w:ascii="Palatino Linotype" w:eastAsia="Palatino Linotype" w:hAnsi="Palatino Linotype" w:cs="Palatino Linotype"/>
          <w:i/>
          <w:iCs/>
          <w:sz w:val="22"/>
          <w:szCs w:val="22"/>
        </w:rPr>
        <w:t>“A través del SAIMEX”.</w:t>
      </w:r>
    </w:p>
    <w:p w:rsidR="00B0325F" w:rsidRDefault="00B0325F">
      <w:pPr>
        <w:tabs>
          <w:tab w:val="left" w:pos="4667"/>
        </w:tabs>
        <w:spacing w:line="360" w:lineRule="auto"/>
        <w:ind w:right="567"/>
        <w:jc w:val="both"/>
        <w:rPr>
          <w:rFonts w:ascii="Palatino Linotype" w:eastAsia="Palatino Linotype" w:hAnsi="Palatino Linotype" w:cs="Palatino Linotype"/>
          <w:b/>
          <w:bCs/>
          <w:sz w:val="22"/>
          <w:szCs w:val="22"/>
        </w:rPr>
      </w:pPr>
    </w:p>
    <w:p w:rsidR="00B0325F" w:rsidRDefault="004D5484">
      <w:pPr>
        <w:pStyle w:val="Ttulo2"/>
        <w:spacing w:before="0" w:after="0" w:line="360" w:lineRule="auto"/>
        <w:rPr>
          <w:rFonts w:ascii="Palatino Linotype" w:eastAsia="Palatino Linotype" w:hAnsi="Palatino Linotype" w:cs="Palatino Linotype"/>
          <w:b/>
          <w:bCs/>
          <w:color w:val="000000"/>
          <w:sz w:val="22"/>
          <w:szCs w:val="22"/>
        </w:rPr>
      </w:pPr>
      <w:bookmarkStart w:id="6" w:name="_heading=h.2r2t4qhp6lbr" w:colFirst="0" w:colLast="0"/>
      <w:bookmarkStart w:id="7" w:name="_Toc215130295"/>
      <w:bookmarkEnd w:id="6"/>
      <w:r>
        <w:rPr>
          <w:rFonts w:ascii="Palatino Linotype" w:eastAsia="Palatino Linotype" w:hAnsi="Palatino Linotype" w:cs="Palatino Linotype"/>
          <w:b/>
          <w:bCs/>
          <w:color w:val="000000"/>
          <w:sz w:val="22"/>
          <w:szCs w:val="22"/>
        </w:rPr>
        <w:t>II. Respuesta del Sujeto Obligado</w:t>
      </w:r>
      <w:bookmarkEnd w:id="7"/>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fecha veinticinco de agosto y veintitrés de septiembre de dos mil veinticinco, el</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Sujeto Obligado dio respuesta a las solicitudes de acceso a la información a través del SAIMEX con la digitalización de los documentos siguientes:</w:t>
      </w:r>
    </w:p>
    <w:p w:rsidR="00B0325F" w:rsidRDefault="00B0325F">
      <w:pPr>
        <w:spacing w:line="360" w:lineRule="auto"/>
        <w:jc w:val="both"/>
        <w:rPr>
          <w:rFonts w:ascii="Palatino Linotype" w:eastAsia="Palatino Linotype" w:hAnsi="Palatino Linotype" w:cs="Palatino Linotype"/>
          <w:sz w:val="22"/>
          <w:szCs w:val="22"/>
        </w:rPr>
      </w:pPr>
    </w:p>
    <w:tbl>
      <w:tblPr>
        <w:tblStyle w:val="a8"/>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9"/>
        <w:gridCol w:w="6397"/>
      </w:tblGrid>
      <w:tr w:rsidR="00B0325F">
        <w:tc>
          <w:tcPr>
            <w:tcW w:w="2529" w:type="dxa"/>
            <w:tcBorders>
              <w:top w:val="single" w:sz="4" w:space="0" w:color="000000"/>
              <w:left w:val="single" w:sz="4" w:space="0" w:color="000000"/>
              <w:bottom w:val="single" w:sz="4" w:space="0" w:color="000000"/>
              <w:right w:val="single" w:sz="4" w:space="0" w:color="000000"/>
            </w:tcBorders>
            <w:shd w:val="clear" w:color="auto" w:fill="D0CECE"/>
          </w:tcPr>
          <w:p w:rsidR="00B0325F" w:rsidRDefault="004D5484">
            <w:pPr>
              <w:tabs>
                <w:tab w:val="left" w:pos="567"/>
              </w:tabs>
              <w:spacing w:line="360" w:lineRule="auto"/>
              <w:ind w:left="57" w:right="-28"/>
              <w:rPr>
                <w:b/>
                <w:bCs/>
              </w:rPr>
            </w:pPr>
            <w:r>
              <w:rPr>
                <w:b/>
                <w:bCs/>
              </w:rPr>
              <w:t>FOLIO DE SOLICITUD</w:t>
            </w:r>
          </w:p>
        </w:tc>
        <w:tc>
          <w:tcPr>
            <w:tcW w:w="6397" w:type="dxa"/>
            <w:tcBorders>
              <w:top w:val="single" w:sz="4" w:space="0" w:color="000000"/>
              <w:left w:val="single" w:sz="4" w:space="0" w:color="000000"/>
              <w:bottom w:val="single" w:sz="4" w:space="0" w:color="000000"/>
              <w:right w:val="single" w:sz="4" w:space="0" w:color="000000"/>
            </w:tcBorders>
            <w:shd w:val="clear" w:color="auto" w:fill="D0CECE"/>
          </w:tcPr>
          <w:p w:rsidR="00B0325F" w:rsidRDefault="004D5484">
            <w:pPr>
              <w:tabs>
                <w:tab w:val="left" w:pos="567"/>
              </w:tabs>
              <w:spacing w:line="360" w:lineRule="auto"/>
              <w:ind w:left="57"/>
              <w:jc w:val="both"/>
              <w:rPr>
                <w:b/>
                <w:bCs/>
              </w:rPr>
            </w:pPr>
            <w:r>
              <w:rPr>
                <w:b/>
                <w:bCs/>
              </w:rPr>
              <w:t>RESPUESTA</w:t>
            </w:r>
          </w:p>
        </w:tc>
      </w:tr>
      <w:tr w:rsidR="00B0325F">
        <w:tc>
          <w:tcPr>
            <w:tcW w:w="2529" w:type="dxa"/>
            <w:tcBorders>
              <w:top w:val="single" w:sz="4" w:space="0" w:color="000000"/>
              <w:left w:val="single" w:sz="4" w:space="0" w:color="000000"/>
              <w:bottom w:val="single" w:sz="4" w:space="0" w:color="000000"/>
              <w:right w:val="single" w:sz="4" w:space="0" w:color="000000"/>
            </w:tcBorders>
          </w:tcPr>
          <w:p w:rsidR="00B0325F" w:rsidRDefault="004D5484">
            <w:pPr>
              <w:spacing w:line="360" w:lineRule="auto"/>
              <w:ind w:left="57"/>
              <w:rPr>
                <w:b/>
                <w:bCs/>
                <w:i/>
                <w:iCs/>
                <w:color w:val="FF0000"/>
              </w:rPr>
            </w:pPr>
            <w:r>
              <w:rPr>
                <w:b/>
                <w:bCs/>
                <w:i/>
                <w:iCs/>
              </w:rPr>
              <w:t>00061/ACOLMAN/IP/2025</w:t>
            </w:r>
          </w:p>
        </w:tc>
        <w:tc>
          <w:tcPr>
            <w:tcW w:w="6397" w:type="dxa"/>
            <w:tcBorders>
              <w:top w:val="single" w:sz="4" w:space="0" w:color="000000"/>
              <w:left w:val="single" w:sz="4" w:space="0" w:color="000000"/>
              <w:bottom w:val="single" w:sz="4" w:space="0" w:color="000000"/>
              <w:right w:val="single" w:sz="4" w:space="0" w:color="000000"/>
            </w:tcBorders>
          </w:tcPr>
          <w:p w:rsidR="00B0325F" w:rsidRDefault="004D5484">
            <w:pPr>
              <w:numPr>
                <w:ilvl w:val="0"/>
                <w:numId w:val="1"/>
              </w:numPr>
              <w:pBdr>
                <w:top w:val="nil"/>
                <w:left w:val="nil"/>
                <w:bottom w:val="nil"/>
                <w:right w:val="nil"/>
                <w:between w:val="nil"/>
              </w:pBdr>
              <w:tabs>
                <w:tab w:val="left" w:pos="567"/>
              </w:tabs>
              <w:spacing w:line="360" w:lineRule="auto"/>
              <w:ind w:lef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Texto mediante el cual suscribe el LIC. VICTOR MANUEL CRUZ MARTÍNEZ en mi carácter de COORDINADOR DE TRANSPARENCIA Y RENDICIÓN DE CUENTAS del Ayuntamiento de Acolman, Estado de México. Le informo que esta Unidad realizó lo pertinente para dar una debida contestación en tiempo y en forma; sin embargo, el área correspondiente hasta el momento no ha brindado una debida contestación. Sin más por el momento me despido de usted quedando a sus órdenes. ATENTAMENTE Lic. Víctor Manuel Cruz Martínez Unidad de Transparencia Ayuntamiento de Acolman.</w:t>
            </w:r>
          </w:p>
        </w:tc>
      </w:tr>
      <w:tr w:rsidR="00B0325F">
        <w:tc>
          <w:tcPr>
            <w:tcW w:w="2529" w:type="dxa"/>
            <w:tcBorders>
              <w:top w:val="single" w:sz="4" w:space="0" w:color="000000"/>
              <w:left w:val="single" w:sz="4" w:space="0" w:color="000000"/>
              <w:bottom w:val="single" w:sz="4" w:space="0" w:color="000000"/>
              <w:right w:val="single" w:sz="4" w:space="0" w:color="000000"/>
            </w:tcBorders>
          </w:tcPr>
          <w:p w:rsidR="00B0325F" w:rsidRDefault="004D5484">
            <w:pPr>
              <w:spacing w:line="360" w:lineRule="auto"/>
              <w:ind w:left="57"/>
              <w:rPr>
                <w:b/>
                <w:bCs/>
                <w:i/>
                <w:iCs/>
                <w:color w:val="FF0000"/>
              </w:rPr>
            </w:pPr>
            <w:r>
              <w:rPr>
                <w:b/>
                <w:bCs/>
                <w:i/>
                <w:iCs/>
              </w:rPr>
              <w:t>00065/ACOLMAN/IP/2025</w:t>
            </w:r>
          </w:p>
        </w:tc>
        <w:tc>
          <w:tcPr>
            <w:tcW w:w="6397" w:type="dxa"/>
            <w:tcBorders>
              <w:top w:val="single" w:sz="4" w:space="0" w:color="000000"/>
              <w:left w:val="single" w:sz="4" w:space="0" w:color="000000"/>
              <w:bottom w:val="single" w:sz="4" w:space="0" w:color="000000"/>
              <w:right w:val="single" w:sz="4" w:space="0" w:color="000000"/>
            </w:tcBorders>
          </w:tcPr>
          <w:p w:rsidR="00B0325F" w:rsidRDefault="004D5484">
            <w:pPr>
              <w:numPr>
                <w:ilvl w:val="0"/>
                <w:numId w:val="16"/>
              </w:numPr>
              <w:pBdr>
                <w:top w:val="nil"/>
                <w:left w:val="nil"/>
                <w:bottom w:val="nil"/>
                <w:right w:val="nil"/>
                <w:between w:val="nil"/>
              </w:pBdr>
              <w:tabs>
                <w:tab w:val="left" w:pos="567"/>
              </w:tabs>
              <w:spacing w:line="360" w:lineRule="auto"/>
              <w:ind w:left="49"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color w:val="000000"/>
              </w:rPr>
              <w:t xml:space="preserve">Texto mediante el cual suscribe el LIC. VICTOR MANUEL CRUZ MARTÍNEZ en mi carácter de COORDINADOR DE TRANSPARENCIA Y RENDICIÓN DE CUENTAS del Ayuntamiento de Acolman, Estado de México. Le informo que esta Unidad realizó lo pertinente para dar una debida contestación en tiempo y en forma; sin embargo, el área correspondiente hasta el momento no ha brindado una debida contestación. Sin más por el momento me despido de </w:t>
            </w:r>
            <w:r>
              <w:rPr>
                <w:rFonts w:ascii="Palatino Linotype" w:eastAsia="Palatino Linotype" w:hAnsi="Palatino Linotype" w:cs="Palatino Linotype"/>
                <w:color w:val="000000"/>
              </w:rPr>
              <w:lastRenderedPageBreak/>
              <w:t>usted quedando a sus órdenes. ATENTAMENTE Lic. Víctor Manuel Cruz Martínez Unidad de Transparencia Ayuntamiento de Acolman.</w:t>
            </w:r>
          </w:p>
        </w:tc>
      </w:tr>
    </w:tbl>
    <w:p w:rsidR="00B0325F" w:rsidRDefault="00B0325F">
      <w:pPr>
        <w:spacing w:line="360" w:lineRule="auto"/>
      </w:pPr>
      <w:bookmarkStart w:id="8" w:name="_heading=h.in2jinqhno3c" w:colFirst="0" w:colLast="0"/>
      <w:bookmarkEnd w:id="8"/>
    </w:p>
    <w:p w:rsidR="00B0325F" w:rsidRDefault="004D5484">
      <w:pPr>
        <w:pStyle w:val="Ttulo2"/>
        <w:spacing w:before="0" w:after="0" w:line="360" w:lineRule="auto"/>
        <w:rPr>
          <w:rFonts w:ascii="Palatino Linotype" w:eastAsia="Palatino Linotype" w:hAnsi="Palatino Linotype" w:cs="Palatino Linotype"/>
          <w:b/>
          <w:bCs/>
          <w:color w:val="000000"/>
          <w:sz w:val="22"/>
          <w:szCs w:val="22"/>
        </w:rPr>
      </w:pPr>
      <w:bookmarkStart w:id="9" w:name="_Toc215130296"/>
      <w:r>
        <w:rPr>
          <w:rFonts w:ascii="Palatino Linotype" w:eastAsia="Palatino Linotype" w:hAnsi="Palatino Linotype" w:cs="Palatino Linotype"/>
          <w:b/>
          <w:bCs/>
          <w:color w:val="000000"/>
          <w:sz w:val="22"/>
          <w:szCs w:val="22"/>
        </w:rPr>
        <w:t>III. Interposición del Recurso de Revisión</w:t>
      </w:r>
      <w:bookmarkEnd w:id="9"/>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fecha veintiséis de agosto y veintinueve de septiembre de dos mil veinticinco, se recibió en este Instituto, a través del Sistema de Acceso a la Información Mexiquense (SAIMEX), dos recursos de revisión interpuestos por la persona Recurrente, en contra de las respuestas del Sujeto Obligado, en los términos similares de conformidad con lo siguiente:</w:t>
      </w:r>
    </w:p>
    <w:p w:rsidR="00B0325F" w:rsidRDefault="00B0325F">
      <w:pPr>
        <w:spacing w:line="360" w:lineRule="auto"/>
        <w:jc w:val="both"/>
        <w:rPr>
          <w:rFonts w:ascii="Palatino Linotype" w:eastAsia="Palatino Linotype" w:hAnsi="Palatino Linotype" w:cs="Palatino Linotype"/>
          <w:b/>
          <w:bCs/>
          <w:sz w:val="22"/>
          <w:szCs w:val="22"/>
        </w:rPr>
      </w:pPr>
    </w:p>
    <w:p w:rsidR="00B0325F" w:rsidRDefault="004D5484">
      <w:pPr>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 xml:space="preserve">FOLIO DE LA SOLICITUD: </w:t>
      </w:r>
      <w:r>
        <w:rPr>
          <w:b/>
          <w:bCs/>
          <w:i/>
          <w:iCs/>
        </w:rPr>
        <w:t>00061/ACOLMAN/IP/2025</w:t>
      </w:r>
    </w:p>
    <w:p w:rsidR="00B0325F" w:rsidRDefault="004D5484">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ACTO IMPUGNADO</w:t>
      </w:r>
    </w:p>
    <w:p w:rsidR="00B0325F" w:rsidRDefault="004D5484">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“No entregó información”</w:t>
      </w:r>
    </w:p>
    <w:p w:rsidR="00B0325F" w:rsidRDefault="00B0325F">
      <w:pPr>
        <w:spacing w:line="360" w:lineRule="auto"/>
        <w:ind w:left="567" w:right="567"/>
        <w:jc w:val="both"/>
        <w:rPr>
          <w:rFonts w:ascii="Palatino Linotype" w:eastAsia="Palatino Linotype" w:hAnsi="Palatino Linotype" w:cs="Palatino Linotype"/>
          <w:i/>
          <w:iCs/>
        </w:rPr>
      </w:pPr>
    </w:p>
    <w:p w:rsidR="00B0325F" w:rsidRDefault="004D5484">
      <w:pPr>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RAZONES O MOTIVOS DE LA INCONFORMIDAD</w:t>
      </w:r>
    </w:p>
    <w:p w:rsidR="00B0325F" w:rsidRDefault="004D5484">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“No entregó información”</w:t>
      </w:r>
    </w:p>
    <w:p w:rsidR="00B0325F" w:rsidRDefault="00B0325F">
      <w:pPr>
        <w:spacing w:line="360" w:lineRule="auto"/>
        <w:ind w:left="567" w:right="567"/>
        <w:jc w:val="both"/>
        <w:rPr>
          <w:rFonts w:ascii="Palatino Linotype" w:eastAsia="Palatino Linotype" w:hAnsi="Palatino Linotype" w:cs="Palatino Linotype"/>
          <w:i/>
          <w:iCs/>
          <w:color w:val="000000"/>
        </w:rPr>
      </w:pPr>
    </w:p>
    <w:p w:rsidR="00B0325F" w:rsidRDefault="004D5484">
      <w:pPr>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 xml:space="preserve">FOLIO DE LA SOLICITUD: </w:t>
      </w:r>
      <w:r>
        <w:rPr>
          <w:b/>
          <w:bCs/>
          <w:i/>
          <w:iCs/>
        </w:rPr>
        <w:t>00065/ACOLMAN/IP/2025</w:t>
      </w:r>
    </w:p>
    <w:p w:rsidR="00B0325F" w:rsidRDefault="004D5484">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ACTO IMPUGNADO</w:t>
      </w:r>
    </w:p>
    <w:p w:rsidR="00B0325F" w:rsidRDefault="004D5484">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“no entrega información el titular de transparencia no cumple con lo establecido en la ley en materia de transparencia”</w:t>
      </w:r>
    </w:p>
    <w:p w:rsidR="00B0325F" w:rsidRDefault="00B0325F">
      <w:pPr>
        <w:spacing w:line="360" w:lineRule="auto"/>
        <w:ind w:left="567" w:right="567"/>
        <w:jc w:val="both"/>
        <w:rPr>
          <w:rFonts w:ascii="Palatino Linotype" w:eastAsia="Palatino Linotype" w:hAnsi="Palatino Linotype" w:cs="Palatino Linotype"/>
          <w:i/>
          <w:iCs/>
        </w:rPr>
      </w:pPr>
    </w:p>
    <w:p w:rsidR="00B0325F" w:rsidRDefault="004D5484">
      <w:pPr>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RAZONES O MOTIVOS DE LA INCONFORMIDAD</w:t>
      </w:r>
    </w:p>
    <w:p w:rsidR="00B0325F" w:rsidRDefault="004D5484">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color w:val="000000"/>
        </w:rPr>
        <w:t>“no entrega información el titular de transparencia no cumple con lo establecido en la ley en materia de transparencia”</w:t>
      </w:r>
    </w:p>
    <w:p w:rsidR="00B0325F" w:rsidRDefault="00B0325F">
      <w:pPr>
        <w:spacing w:line="360" w:lineRule="auto"/>
        <w:ind w:right="567"/>
        <w:jc w:val="both"/>
        <w:rPr>
          <w:rFonts w:ascii="Palatino Linotype" w:eastAsia="Palatino Linotype" w:hAnsi="Palatino Linotype" w:cs="Palatino Linotype"/>
          <w:i/>
          <w:iCs/>
        </w:rPr>
      </w:pPr>
    </w:p>
    <w:p w:rsidR="00B0325F" w:rsidRDefault="004D5484">
      <w:pPr>
        <w:pStyle w:val="Ttulo2"/>
        <w:spacing w:before="0" w:after="0" w:line="360" w:lineRule="auto"/>
        <w:rPr>
          <w:rFonts w:ascii="Palatino Linotype" w:eastAsia="Palatino Linotype" w:hAnsi="Palatino Linotype" w:cs="Palatino Linotype"/>
          <w:b/>
          <w:bCs/>
          <w:color w:val="000000"/>
          <w:sz w:val="22"/>
          <w:szCs w:val="22"/>
        </w:rPr>
      </w:pPr>
      <w:bookmarkStart w:id="10" w:name="_heading=h.6t8ktm6yq0x7" w:colFirst="0" w:colLast="0"/>
      <w:bookmarkStart w:id="11" w:name="_Toc215130297"/>
      <w:bookmarkEnd w:id="10"/>
      <w:r>
        <w:rPr>
          <w:rFonts w:ascii="Palatino Linotype" w:eastAsia="Palatino Linotype" w:hAnsi="Palatino Linotype" w:cs="Palatino Linotype"/>
          <w:b/>
          <w:bCs/>
          <w:color w:val="000000"/>
          <w:sz w:val="22"/>
          <w:szCs w:val="22"/>
        </w:rPr>
        <w:t>IV. Trámite del Recurso de Revisión ante este Instituto</w:t>
      </w:r>
      <w:bookmarkEnd w:id="11"/>
    </w:p>
    <w:p w:rsidR="00B0325F" w:rsidRDefault="00B0325F">
      <w:pPr>
        <w:spacing w:line="360" w:lineRule="auto"/>
        <w:jc w:val="both"/>
        <w:rPr>
          <w:rFonts w:ascii="Palatino Linotype" w:eastAsia="Palatino Linotype" w:hAnsi="Palatino Linotype" w:cs="Palatino Linotype"/>
          <w:b/>
          <w:bCs/>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lastRenderedPageBreak/>
        <w:t xml:space="preserve">a) Turno del Recurso de Revisión. </w:t>
      </w:r>
      <w:r>
        <w:rPr>
          <w:rFonts w:ascii="Palatino Linotype" w:eastAsia="Palatino Linotype" w:hAnsi="Palatino Linotype" w:cs="Palatino Linotype"/>
          <w:sz w:val="22"/>
          <w:szCs w:val="22"/>
        </w:rPr>
        <w:t>El veintiséis de agosto y veintinueve de septiembre de dos mil veinticinco, el Sistema de Acceso a la Información Mexiquense (SAIMEX), asignó los números de expedientes</w:t>
      </w:r>
      <w:r>
        <w:rPr>
          <w:rFonts w:ascii="Palatino Linotype" w:eastAsia="Palatino Linotype" w:hAnsi="Palatino Linotype" w:cs="Palatino Linotype"/>
          <w:b/>
          <w:bCs/>
          <w:sz w:val="22"/>
          <w:szCs w:val="22"/>
        </w:rPr>
        <w:t xml:space="preserve"> 10031/INFOEM/IP/RR/2025 y 11147/INFOEM/IP/RR/2025</w:t>
      </w:r>
      <w:r>
        <w:rPr>
          <w:rFonts w:ascii="Palatino Linotype" w:eastAsia="Palatino Linotype" w:hAnsi="Palatino Linotype" w:cs="Palatino Linotype"/>
          <w:sz w:val="22"/>
          <w:szCs w:val="22"/>
        </w:rPr>
        <w:t>, a los Medios de Impugnación que nos ocupan, con base en el sistema aprobado por el Pleno de este Organismo Garante y los turnó al Comisionado, Luis Gustavo Parra Noriega, para los efectos del artículo 185, fracción I de la Ley de Transparencia y Acceso a la Información Pública del Estado de México y Municipios.</w:t>
      </w:r>
    </w:p>
    <w:p w:rsidR="00B0325F" w:rsidRDefault="00B0325F">
      <w:pPr>
        <w:spacing w:line="360" w:lineRule="auto"/>
        <w:jc w:val="both"/>
        <w:rPr>
          <w:rFonts w:ascii="Palatino Linotype" w:eastAsia="Palatino Linotype" w:hAnsi="Palatino Linotype" w:cs="Palatino Linotype"/>
          <w:b/>
          <w:bCs/>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b) Admisión del Recurso de Revisión. </w:t>
      </w:r>
      <w:r>
        <w:rPr>
          <w:rFonts w:ascii="Palatino Linotype" w:eastAsia="Palatino Linotype" w:hAnsi="Palatino Linotype" w:cs="Palatino Linotype"/>
          <w:sz w:val="22"/>
          <w:szCs w:val="22"/>
        </w:rPr>
        <w:t>El veintinueve de agosto y el dos de octubre de dos mil veinticinco, se acordó la admisión del Recurso de Revisión, interpuesto por la Recurrente, en contra del Sujeto Obligado, en términos del artículo 185, fracciones I y II, de la Ley de Transparencia y Acceso a la Información Pública del Estado de México y Municipios, el cual fue notificado a las partes el mismo día, a través del SAIMEX, en el que se les otorgó un plazo de siete días hábiles posteriores a la misma, para que manifestaran lo que a su derecho conviniera y formularan alegatos.</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c) Informe Justificado. </w:t>
      </w:r>
      <w:r>
        <w:rPr>
          <w:rFonts w:ascii="Palatino Linotype" w:eastAsia="Palatino Linotype" w:hAnsi="Palatino Linotype" w:cs="Palatino Linotype"/>
          <w:sz w:val="22"/>
          <w:szCs w:val="22"/>
        </w:rPr>
        <w:t>El ocho de septiembre de dos mil veinticinco, se recibió, a través del SAIMEX, el informe justificado</w:t>
      </w:r>
      <w:r>
        <w:rPr>
          <w:rFonts w:ascii="Palatino Linotype" w:eastAsia="Palatino Linotype" w:hAnsi="Palatino Linotype" w:cs="Palatino Linotype"/>
          <w:color w:val="0D0D0D"/>
          <w:sz w:val="22"/>
          <w:szCs w:val="22"/>
        </w:rPr>
        <w:t xml:space="preserve"> </w:t>
      </w:r>
      <w:r>
        <w:rPr>
          <w:rFonts w:ascii="Palatino Linotype" w:eastAsia="Palatino Linotype" w:hAnsi="Palatino Linotype" w:cs="Palatino Linotype"/>
          <w:sz w:val="22"/>
          <w:szCs w:val="22"/>
        </w:rPr>
        <w:t>por medio de los siguientes documentos a través de cada solicitud:</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ind w:left="567" w:right="567"/>
        <w:jc w:val="both"/>
        <w:rPr>
          <w:b/>
          <w:bCs/>
          <w:i/>
          <w:iCs/>
        </w:rPr>
      </w:pPr>
      <w:r>
        <w:rPr>
          <w:rFonts w:ascii="Palatino Linotype" w:eastAsia="Palatino Linotype" w:hAnsi="Palatino Linotype" w:cs="Palatino Linotype"/>
          <w:b/>
          <w:bCs/>
          <w:i/>
          <w:iCs/>
        </w:rPr>
        <w:t xml:space="preserve">FOLIO DE LA SOLICITUD: </w:t>
      </w:r>
      <w:r>
        <w:rPr>
          <w:b/>
          <w:bCs/>
          <w:i/>
          <w:iCs/>
        </w:rPr>
        <w:t>00061/ACOLMAN/IP/2025</w:t>
      </w:r>
    </w:p>
    <w:p w:rsidR="00B0325F" w:rsidRDefault="00B0325F">
      <w:pPr>
        <w:spacing w:line="360" w:lineRule="auto"/>
        <w:ind w:left="567" w:right="567"/>
        <w:jc w:val="both"/>
        <w:rPr>
          <w:b/>
          <w:bCs/>
          <w:i/>
          <w:iCs/>
        </w:rPr>
      </w:pPr>
    </w:p>
    <w:p w:rsidR="00B0325F" w:rsidRDefault="004D5484">
      <w:pPr>
        <w:numPr>
          <w:ilvl w:val="0"/>
          <w:numId w:val="10"/>
        </w:numPr>
        <w:pBdr>
          <w:top w:val="nil"/>
          <w:left w:val="nil"/>
          <w:bottom w:val="nil"/>
          <w:right w:val="nil"/>
          <w:between w:val="nil"/>
        </w:pBdr>
        <w:spacing w:line="360" w:lineRule="auto"/>
        <w:ind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Oficio número ACO/TES/0499/2025, suscrito por el Tesorero Municipal y dirigido al Coordinador de Transparencia donde refiere lo siguiente:</w:t>
      </w:r>
    </w:p>
    <w:p w:rsidR="00B0325F" w:rsidRDefault="00B0325F">
      <w:pPr>
        <w:spacing w:line="360" w:lineRule="auto"/>
        <w:ind w:left="567" w:right="567"/>
        <w:jc w:val="both"/>
        <w:rPr>
          <w:sz w:val="22"/>
          <w:szCs w:val="22"/>
        </w:rPr>
      </w:pPr>
    </w:p>
    <w:p w:rsidR="00B0325F" w:rsidRDefault="004D5484">
      <w:pPr>
        <w:spacing w:line="360" w:lineRule="auto"/>
        <w:ind w:left="567" w:right="567"/>
        <w:jc w:val="both"/>
        <w:rPr>
          <w:rFonts w:ascii="Palatino Linotype" w:eastAsia="Palatino Linotype" w:hAnsi="Palatino Linotype" w:cs="Palatino Linotype"/>
          <w:i/>
          <w:iCs/>
        </w:rPr>
      </w:pPr>
      <w:r>
        <w:rPr>
          <w:sz w:val="22"/>
          <w:szCs w:val="22"/>
        </w:rPr>
        <w:t>“</w:t>
      </w:r>
      <w:r>
        <w:rPr>
          <w:rFonts w:ascii="Palatino Linotype" w:eastAsia="Palatino Linotype" w:hAnsi="Palatino Linotype" w:cs="Palatino Linotype"/>
          <w:i/>
          <w:iCs/>
        </w:rPr>
        <w:t xml:space="preserve">Me permito hacer de su conocimiento que cuento con la información solicitada, misma que se encuentra disponible para consulta, adjunto la información en este documento, al igual refiere </w:t>
      </w:r>
      <w:r>
        <w:rPr>
          <w:rFonts w:ascii="Palatino Linotype" w:eastAsia="Palatino Linotype" w:hAnsi="Palatino Linotype" w:cs="Palatino Linotype"/>
          <w:i/>
          <w:iCs/>
        </w:rPr>
        <w:lastRenderedPageBreak/>
        <w:t>que esta unidad de transparencia le corresponde el ayuntamiento ya que el DIF e IMCUFIDE cuentan con su propia plataforma SAIMEX, misma que se puede visualizar en la siguiente liga”</w:t>
      </w:r>
    </w:p>
    <w:p w:rsidR="00B0325F" w:rsidRDefault="00B0325F">
      <w:pPr>
        <w:spacing w:line="360" w:lineRule="auto"/>
        <w:ind w:right="567"/>
        <w:jc w:val="both"/>
        <w:rPr>
          <w:rFonts w:ascii="Palatino Linotype" w:eastAsia="Palatino Linotype" w:hAnsi="Palatino Linotype" w:cs="Palatino Linotype"/>
          <w:i/>
          <w:iCs/>
        </w:rPr>
      </w:pPr>
    </w:p>
    <w:p w:rsidR="00B0325F" w:rsidRDefault="004D5484">
      <w:pPr>
        <w:spacing w:line="360" w:lineRule="auto"/>
        <w:ind w:right="567"/>
        <w:jc w:val="center"/>
        <w:rPr>
          <w:rFonts w:ascii="Palatino Linotype" w:eastAsia="Palatino Linotype" w:hAnsi="Palatino Linotype" w:cs="Palatino Linotype"/>
          <w:i/>
          <w:iCs/>
        </w:rPr>
      </w:pPr>
      <w:r>
        <w:rPr>
          <w:rFonts w:ascii="Palatino Linotype" w:eastAsia="Palatino Linotype" w:hAnsi="Palatino Linotype" w:cs="Palatino Linotype"/>
          <w:i/>
          <w:iCs/>
          <w:noProof/>
        </w:rPr>
        <w:drawing>
          <wp:inline distT="0" distB="0" distL="0" distR="0">
            <wp:extent cx="5790504" cy="4392999"/>
            <wp:effectExtent l="0" t="0" r="0" b="0"/>
            <wp:docPr id="168152159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5790504" cy="4392999"/>
                    </a:xfrm>
                    <a:prstGeom prst="rect">
                      <a:avLst/>
                    </a:prstGeom>
                    <a:ln/>
                  </pic:spPr>
                </pic:pic>
              </a:graphicData>
            </a:graphic>
          </wp:inline>
        </w:drawing>
      </w:r>
    </w:p>
    <w:p w:rsidR="00B0325F" w:rsidRDefault="00B0325F">
      <w:pPr>
        <w:spacing w:line="360" w:lineRule="auto"/>
        <w:ind w:right="567"/>
        <w:jc w:val="both"/>
        <w:rPr>
          <w:rFonts w:ascii="Palatino Linotype" w:eastAsia="Palatino Linotype" w:hAnsi="Palatino Linotype" w:cs="Palatino Linotype"/>
          <w:i/>
          <w:iCs/>
        </w:rPr>
      </w:pPr>
    </w:p>
    <w:p w:rsidR="00B0325F" w:rsidRDefault="004D5484">
      <w:pPr>
        <w:pBdr>
          <w:top w:val="nil"/>
          <w:left w:val="nil"/>
          <w:bottom w:val="nil"/>
          <w:right w:val="nil"/>
          <w:between w:val="nil"/>
        </w:pBdr>
        <w:spacing w:line="360" w:lineRule="auto"/>
        <w:ind w:right="567"/>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color w:val="000000"/>
          <w:sz w:val="22"/>
          <w:szCs w:val="22"/>
        </w:rPr>
        <w:t xml:space="preserve">Se digitaliza una relación en versión </w:t>
      </w:r>
      <w:r>
        <w:rPr>
          <w:rFonts w:ascii="Palatino Linotype" w:eastAsia="Palatino Linotype" w:hAnsi="Palatino Linotype" w:cs="Palatino Linotype"/>
          <w:sz w:val="22"/>
          <w:szCs w:val="22"/>
        </w:rPr>
        <w:t>pública</w:t>
      </w:r>
      <w:r>
        <w:rPr>
          <w:rFonts w:ascii="Palatino Linotype" w:eastAsia="Palatino Linotype" w:hAnsi="Palatino Linotype" w:cs="Palatino Linotype"/>
          <w:color w:val="000000"/>
          <w:sz w:val="22"/>
          <w:szCs w:val="22"/>
        </w:rPr>
        <w:t xml:space="preserve"> de sueldos de los servidores públicos de Acolman, que consta de nombre sin apellidos, cargo, sueldo neto y bruto, área de adscripción, </w:t>
      </w:r>
      <w:r>
        <w:rPr>
          <w:rFonts w:ascii="Palatino Linotype" w:eastAsia="Palatino Linotype" w:hAnsi="Palatino Linotype" w:cs="Palatino Linotype"/>
          <w:color w:val="000000"/>
          <w:sz w:val="22"/>
          <w:szCs w:val="22"/>
          <w:u w:val="single"/>
        </w:rPr>
        <w:t>de la segunda quincena de julio de dos mil veinticinco</w:t>
      </w:r>
      <w:r>
        <w:rPr>
          <w:rFonts w:ascii="Palatino Linotype" w:eastAsia="Palatino Linotype" w:hAnsi="Palatino Linotype" w:cs="Palatino Linotype"/>
          <w:b/>
          <w:bCs/>
          <w:color w:val="000000"/>
          <w:sz w:val="22"/>
          <w:szCs w:val="22"/>
        </w:rPr>
        <w:t xml:space="preserve">. </w:t>
      </w:r>
    </w:p>
    <w:p w:rsidR="00B0325F" w:rsidRDefault="00B0325F">
      <w:pPr>
        <w:pBdr>
          <w:top w:val="nil"/>
          <w:left w:val="nil"/>
          <w:bottom w:val="nil"/>
          <w:right w:val="nil"/>
          <w:between w:val="nil"/>
        </w:pBdr>
        <w:spacing w:line="360" w:lineRule="auto"/>
        <w:ind w:right="567"/>
        <w:jc w:val="both"/>
        <w:rPr>
          <w:rFonts w:ascii="Palatino Linotype" w:eastAsia="Palatino Linotype" w:hAnsi="Palatino Linotype" w:cs="Palatino Linotype"/>
          <w:b/>
          <w:bCs/>
          <w:sz w:val="22"/>
          <w:szCs w:val="22"/>
        </w:rPr>
      </w:pPr>
    </w:p>
    <w:p w:rsidR="00B0325F" w:rsidRDefault="004D5484">
      <w:pPr>
        <w:spacing w:line="360" w:lineRule="auto"/>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 xml:space="preserve">FOLIO DE LA SOLICITUD: 00065/ACOLMAN/IP/2025: </w:t>
      </w:r>
      <w:r>
        <w:rPr>
          <w:rFonts w:ascii="Palatino Linotype" w:eastAsia="Palatino Linotype" w:hAnsi="Palatino Linotype" w:cs="Palatino Linotype"/>
          <w:sz w:val="22"/>
          <w:szCs w:val="22"/>
        </w:rPr>
        <w:t>Las partes fueron omisas en emitir alguna manifestación o alegato.</w:t>
      </w:r>
    </w:p>
    <w:p w:rsidR="00B0325F" w:rsidRDefault="00B0325F">
      <w:pPr>
        <w:spacing w:line="360" w:lineRule="auto"/>
        <w:jc w:val="both"/>
        <w:rPr>
          <w:rFonts w:ascii="Palatino Linotype" w:eastAsia="Palatino Linotype" w:hAnsi="Palatino Linotype" w:cs="Palatino Linotype"/>
          <w:b/>
          <w:bCs/>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lastRenderedPageBreak/>
        <w:t xml:space="preserve">d) Vista del informe justificado. </w:t>
      </w:r>
      <w:r>
        <w:rPr>
          <w:rFonts w:ascii="Palatino Linotype" w:eastAsia="Palatino Linotype" w:hAnsi="Palatino Linotype" w:cs="Palatino Linotype"/>
          <w:sz w:val="22"/>
          <w:szCs w:val="22"/>
        </w:rPr>
        <w:t xml:space="preserve">El diecinueve de noviembre de dos mil veinticinco, se dictó acuerdo mediante el cual se puso a la vista del Particular de forma parcial, el Informe Justificado entregado por el Sujeto Obligado, el cual fue notificado, a través del SAIMEX, el mismo día. </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e) Acumulación de los asuntos. </w:t>
      </w:r>
      <w:r>
        <w:rPr>
          <w:rFonts w:ascii="Palatino Linotype" w:eastAsia="Palatino Linotype" w:hAnsi="Palatino Linotype" w:cs="Palatino Linotype"/>
          <w:sz w:val="22"/>
          <w:szCs w:val="22"/>
        </w:rPr>
        <w:t>El nueve de octubre de dos mil veinticinco, mediante acuerdo se  decretó la acumulación del Recurso de Revisión</w:t>
      </w:r>
      <w:r>
        <w:rPr>
          <w:rFonts w:ascii="Palatino Linotype" w:eastAsia="Palatino Linotype" w:hAnsi="Palatino Linotype" w:cs="Palatino Linotype"/>
          <w:b/>
          <w:bCs/>
          <w:sz w:val="22"/>
          <w:szCs w:val="22"/>
        </w:rPr>
        <w:t xml:space="preserve">  11147/INFOEM/IP/RR/2025</w:t>
      </w:r>
      <w:r>
        <w:rPr>
          <w:rFonts w:ascii="Palatino Linotype" w:eastAsia="Palatino Linotype" w:hAnsi="Palatino Linotype" w:cs="Palatino Linotype"/>
          <w:sz w:val="22"/>
          <w:szCs w:val="22"/>
        </w:rPr>
        <w:t xml:space="preserve">, al diverso </w:t>
      </w:r>
      <w:r>
        <w:rPr>
          <w:rFonts w:ascii="Palatino Linotype" w:eastAsia="Palatino Linotype" w:hAnsi="Palatino Linotype" w:cs="Palatino Linotype"/>
          <w:b/>
          <w:bCs/>
          <w:sz w:val="22"/>
          <w:szCs w:val="22"/>
        </w:rPr>
        <w:t>10031/INFOEM/IP/RR/2025,</w:t>
      </w:r>
      <w:r>
        <w:rPr>
          <w:rFonts w:ascii="Palatino Linotype" w:eastAsia="Palatino Linotype" w:hAnsi="Palatino Linotype" w:cs="Palatino Linotype"/>
          <w:sz w:val="22"/>
          <w:szCs w:val="22"/>
        </w:rPr>
        <w:t xml:space="preserve"> por ser este último el más antiguo, sustanciado bajo el índice de esta Ponencia.</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jc w:val="both"/>
        <w:rPr>
          <w:rFonts w:ascii="Palatino Linotype" w:eastAsia="Palatino Linotype" w:hAnsi="Palatino Linotype" w:cs="Palatino Linotype"/>
          <w:b/>
          <w:bCs/>
          <w:sz w:val="22"/>
          <w:szCs w:val="22"/>
        </w:rPr>
      </w:pPr>
      <w:bookmarkStart w:id="12" w:name="_heading=h.obr71r6xa5au" w:colFirst="0" w:colLast="0"/>
      <w:bookmarkEnd w:id="12"/>
      <w:r>
        <w:rPr>
          <w:rFonts w:ascii="Palatino Linotype" w:eastAsia="Palatino Linotype" w:hAnsi="Palatino Linotype" w:cs="Palatino Linotype"/>
          <w:b/>
          <w:bCs/>
          <w:sz w:val="22"/>
          <w:szCs w:val="22"/>
        </w:rPr>
        <w:t xml:space="preserve">f) Ampliación de plazo para resolver. </w:t>
      </w:r>
      <w:r>
        <w:rPr>
          <w:rFonts w:ascii="Palatino Linotype" w:eastAsia="Palatino Linotype" w:hAnsi="Palatino Linotype" w:cs="Palatino Linotype"/>
          <w:sz w:val="22"/>
          <w:szCs w:val="22"/>
        </w:rPr>
        <w:t>El veinte de noviembre de dos mil veinticinco, el Comisionado Ponente, con fundamento en lo dispuesto por el artículo 181, párrafo tercero, de la Ley de Transparencia y Acceso a la Información Pública del Estado de México y Municipios, acordó ampliar por un periodo de quince días, el plazo para resolver el Recurso de Revisión que nos ocupa; acto que fue notificado a las partes, mediante el Sistema de Acceso a la Información Mexiquense (SAIMEX), el mismo día.</w:t>
      </w:r>
    </w:p>
    <w:p w:rsidR="00B0325F" w:rsidRDefault="00B0325F">
      <w:pPr>
        <w:spacing w:line="360" w:lineRule="auto"/>
        <w:jc w:val="both"/>
        <w:rPr>
          <w:rFonts w:ascii="Palatino Linotype" w:eastAsia="Palatino Linotype" w:hAnsi="Palatino Linotype" w:cs="Palatino Linotype"/>
          <w:b/>
          <w:bCs/>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g) Cierre de instrucción.</w:t>
      </w:r>
      <w:r>
        <w:rPr>
          <w:rFonts w:ascii="Palatino Linotype" w:eastAsia="Palatino Linotype" w:hAnsi="Palatino Linotype" w:cs="Palatino Linotype"/>
          <w:sz w:val="22"/>
          <w:szCs w:val="22"/>
        </w:rPr>
        <w:t xml:space="preserve"> El veinte y veinticinco de noviembre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SAIMEX, el mismo día.</w:t>
      </w:r>
    </w:p>
    <w:p w:rsidR="00B0325F" w:rsidRDefault="00B0325F">
      <w:pPr>
        <w:spacing w:line="360" w:lineRule="auto"/>
        <w:jc w:val="both"/>
        <w:rPr>
          <w:rFonts w:ascii="Palatino Linotype" w:eastAsia="Palatino Linotype" w:hAnsi="Palatino Linotype" w:cs="Palatino Linotype"/>
          <w:b/>
          <w:bCs/>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En razón de que fue debidamente sustanciado el expediente electrónico y no existe diligencia pendiente de desahogo, se emite la resolución que conforme a Derecho proceda, de acuerdo a los siguientes: </w:t>
      </w:r>
    </w:p>
    <w:p w:rsidR="00B0325F" w:rsidRDefault="00B0325F">
      <w:pPr>
        <w:pStyle w:val="Ttulo1"/>
        <w:spacing w:before="0" w:after="0" w:line="360" w:lineRule="auto"/>
        <w:jc w:val="center"/>
        <w:rPr>
          <w:rFonts w:ascii="Palatino Linotype" w:eastAsia="Palatino Linotype" w:hAnsi="Palatino Linotype" w:cs="Palatino Linotype"/>
          <w:b/>
          <w:bCs/>
          <w:color w:val="000000"/>
          <w:sz w:val="14"/>
          <w:szCs w:val="14"/>
        </w:rPr>
      </w:pPr>
    </w:p>
    <w:p w:rsidR="00B0325F" w:rsidRDefault="00B0325F">
      <w:pPr>
        <w:spacing w:line="360" w:lineRule="auto"/>
      </w:pPr>
    </w:p>
    <w:p w:rsidR="00B0325F" w:rsidRDefault="004D5484">
      <w:pPr>
        <w:pStyle w:val="Ttulo1"/>
        <w:spacing w:before="0" w:after="0" w:line="360" w:lineRule="auto"/>
        <w:jc w:val="center"/>
        <w:rPr>
          <w:rFonts w:ascii="Palatino Linotype" w:eastAsia="Palatino Linotype" w:hAnsi="Palatino Linotype" w:cs="Palatino Linotype"/>
          <w:b/>
          <w:bCs/>
          <w:color w:val="000000"/>
          <w:sz w:val="22"/>
          <w:szCs w:val="22"/>
        </w:rPr>
      </w:pPr>
      <w:bookmarkStart w:id="13" w:name="_heading=h.vk8qwc2xzsq1" w:colFirst="0" w:colLast="0"/>
      <w:bookmarkStart w:id="14" w:name="_Toc215130298"/>
      <w:bookmarkEnd w:id="13"/>
      <w:r>
        <w:rPr>
          <w:rFonts w:ascii="Palatino Linotype" w:eastAsia="Palatino Linotype" w:hAnsi="Palatino Linotype" w:cs="Palatino Linotype"/>
          <w:b/>
          <w:bCs/>
          <w:color w:val="000000"/>
          <w:sz w:val="22"/>
          <w:szCs w:val="22"/>
        </w:rPr>
        <w:t>C O N S I D E R A N D O S</w:t>
      </w:r>
      <w:bookmarkEnd w:id="14"/>
    </w:p>
    <w:p w:rsidR="00B0325F" w:rsidRDefault="00B0325F">
      <w:pPr>
        <w:spacing w:line="360" w:lineRule="auto"/>
      </w:pPr>
    </w:p>
    <w:p w:rsidR="00B0325F" w:rsidRDefault="004D5484">
      <w:pPr>
        <w:pStyle w:val="Ttulo2"/>
        <w:spacing w:before="0" w:after="0" w:line="360" w:lineRule="auto"/>
        <w:rPr>
          <w:rFonts w:ascii="Palatino Linotype" w:eastAsia="Palatino Linotype" w:hAnsi="Palatino Linotype" w:cs="Palatino Linotype"/>
          <w:b/>
          <w:bCs/>
          <w:color w:val="000000"/>
          <w:sz w:val="22"/>
          <w:szCs w:val="22"/>
        </w:rPr>
      </w:pPr>
      <w:bookmarkStart w:id="15" w:name="_heading=h.cmamjxadcikv" w:colFirst="0" w:colLast="0"/>
      <w:bookmarkStart w:id="16" w:name="_Toc215130299"/>
      <w:bookmarkEnd w:id="15"/>
      <w:r>
        <w:rPr>
          <w:rFonts w:ascii="Palatino Linotype" w:eastAsia="Palatino Linotype" w:hAnsi="Palatino Linotype" w:cs="Palatino Linotype"/>
          <w:b/>
          <w:bCs/>
          <w:color w:val="000000"/>
          <w:sz w:val="22"/>
          <w:szCs w:val="22"/>
        </w:rPr>
        <w:t>PRIMERO. Competencia</w:t>
      </w:r>
      <w:bookmarkEnd w:id="16"/>
    </w:p>
    <w:p w:rsidR="00B0325F" w:rsidRDefault="00B0325F">
      <w:pPr>
        <w:spacing w:line="360" w:lineRule="auto"/>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pStyle w:val="Ttulo2"/>
        <w:spacing w:before="0" w:after="0" w:line="360" w:lineRule="auto"/>
        <w:rPr>
          <w:rFonts w:ascii="Palatino Linotype" w:eastAsia="Palatino Linotype" w:hAnsi="Palatino Linotype" w:cs="Palatino Linotype"/>
          <w:b/>
          <w:bCs/>
          <w:color w:val="000000"/>
          <w:sz w:val="22"/>
          <w:szCs w:val="22"/>
        </w:rPr>
      </w:pPr>
      <w:bookmarkStart w:id="17" w:name="_heading=h.qos5ec6eiavj" w:colFirst="0" w:colLast="0"/>
      <w:bookmarkStart w:id="18" w:name="_Toc215130300"/>
      <w:bookmarkEnd w:id="17"/>
      <w:r>
        <w:rPr>
          <w:rFonts w:ascii="Palatino Linotype" w:eastAsia="Palatino Linotype" w:hAnsi="Palatino Linotype" w:cs="Palatino Linotype"/>
          <w:b/>
          <w:bCs/>
          <w:color w:val="000000"/>
          <w:sz w:val="22"/>
          <w:szCs w:val="22"/>
        </w:rPr>
        <w:t>SEGUNDO. Causales de improcedencia y sobreseimiento</w:t>
      </w:r>
      <w:bookmarkEnd w:id="18"/>
    </w:p>
    <w:p w:rsidR="00B0325F" w:rsidRDefault="00B0325F">
      <w:pPr>
        <w:spacing w:line="360" w:lineRule="auto"/>
        <w:jc w:val="both"/>
        <w:rPr>
          <w:rFonts w:ascii="Palatino Linotype" w:eastAsia="Palatino Linotype" w:hAnsi="Palatino Linotype" w:cs="Palatino Linotype"/>
          <w:b/>
          <w:bCs/>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las constancias que forma parte del Recurso de Revisión que se analiza, se advierte que previo al estudio del fondo de la </w:t>
      </w:r>
      <w:proofErr w:type="spellStart"/>
      <w:r>
        <w:rPr>
          <w:rFonts w:ascii="Palatino Linotype" w:eastAsia="Palatino Linotype" w:hAnsi="Palatino Linotype" w:cs="Palatino Linotype"/>
          <w:i/>
          <w:iCs/>
          <w:sz w:val="22"/>
          <w:szCs w:val="22"/>
        </w:rPr>
        <w:t>litis</w:t>
      </w:r>
      <w:proofErr w:type="spellEnd"/>
      <w:r>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rsidR="00B0325F" w:rsidRDefault="00B0325F">
      <w:pPr>
        <w:spacing w:line="360" w:lineRule="auto"/>
        <w:jc w:val="both"/>
        <w:rPr>
          <w:rFonts w:ascii="Palatino Linotype" w:eastAsia="Palatino Linotype" w:hAnsi="Palatino Linotype" w:cs="Palatino Linotype"/>
          <w:b/>
          <w:bCs/>
          <w:color w:val="000000"/>
          <w:sz w:val="22"/>
          <w:szCs w:val="22"/>
        </w:rPr>
      </w:pPr>
    </w:p>
    <w:p w:rsidR="00B0325F" w:rsidRDefault="004D5484">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lastRenderedPageBreak/>
        <w:t>Causales de improcedencia</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se actualiza la causal de procedencia del Recurso de Revisión establecida en el artículo 179, fracción I, de la Ley de Transparencia y Acceso a la Información Pública del Estado de México y Municipios, referente a la negativa de entrega de información.</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Causales de sobreseimiento</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Por ser de previo y especial pronunciamiento, este Instituto analiza si se actualiza alguna causal de sobreseimiento.</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tales motivos, se considera procedente entrar al fondo del presente asunto. </w:t>
      </w:r>
    </w:p>
    <w:p w:rsidR="00B0325F" w:rsidRDefault="00B0325F">
      <w:pPr>
        <w:tabs>
          <w:tab w:val="left" w:pos="4962"/>
        </w:tabs>
        <w:spacing w:line="360" w:lineRule="auto"/>
        <w:jc w:val="both"/>
        <w:rPr>
          <w:rFonts w:ascii="Palatino Linotype" w:eastAsia="Palatino Linotype" w:hAnsi="Palatino Linotype" w:cs="Palatino Linotype"/>
          <w:sz w:val="22"/>
          <w:szCs w:val="22"/>
        </w:rPr>
      </w:pPr>
    </w:p>
    <w:p w:rsidR="00B0325F" w:rsidRDefault="004D5484">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TERCERO. Determinación de la Controversia</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Una vez realizado el estudio de las constancias que integran el expediente en que se actúa, se desprende que el Particular requirió del DIF, IMCUFIDE y Ayuntamiento de Acolman, la relación de los sueldos o recibos de nómina donde conste el área de adscripción, nombre, cargo, sueldo bruto y neto de todo el personal de la última quincena de julio, primera y segunda de agosto de dos mil veinticinco.</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respuesta, el Coordinador de Transparencia y rendición de cuentas refirió que el área correspondiente hasta el momento no ha brindado una debida contestación; ante dicha circunstancia, el particular se inconformó de la negativa de entrega de información, debido a que no adjuntaron respuesta algún así, lo cual actualiza la causal de procedencia prevista </w:t>
      </w:r>
      <w:r>
        <w:rPr>
          <w:rFonts w:ascii="Palatino Linotype" w:eastAsia="Palatino Linotype" w:hAnsi="Palatino Linotype" w:cs="Palatino Linotype"/>
          <w:color w:val="000000"/>
          <w:sz w:val="22"/>
          <w:szCs w:val="22"/>
        </w:rPr>
        <w:lastRenderedPageBreak/>
        <w:t xml:space="preserve">en la fracción I del artículo 179 de la Ley de Transparencia y Acceso a la Información Pública del Estado de México y Municipios. </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b/>
          <w:bCs/>
          <w:sz w:val="22"/>
          <w:szCs w:val="22"/>
        </w:rPr>
      </w:pPr>
      <w:bookmarkStart w:id="19" w:name="_heading=h.q32wm4hs58wk" w:colFirst="0" w:colLast="0"/>
      <w:bookmarkEnd w:id="19"/>
      <w:r>
        <w:rPr>
          <w:rFonts w:ascii="Palatino Linotype" w:eastAsia="Palatino Linotype" w:hAnsi="Palatino Linotype" w:cs="Palatino Linotype"/>
          <w:color w:val="000000"/>
          <w:sz w:val="22"/>
          <w:szCs w:val="22"/>
        </w:rPr>
        <w:t xml:space="preserve">Así las cosas, una vez admitido y notificado a las partes los Medios de Impugnación, el Sujeto Obligado por medio de Informe Justificado remitió primeramente un listado </w:t>
      </w:r>
      <w:r>
        <w:rPr>
          <w:rFonts w:ascii="Palatino Linotype" w:eastAsia="Palatino Linotype" w:hAnsi="Palatino Linotype" w:cs="Palatino Linotype"/>
          <w:sz w:val="22"/>
          <w:szCs w:val="22"/>
        </w:rPr>
        <w:t xml:space="preserve">en versión publica de sueldos de los servidores públicos de Acolman, que consta de nombre sin apellidos, cargo, sueldo neto y bruto, área de adscripción, </w:t>
      </w:r>
      <w:r>
        <w:rPr>
          <w:rFonts w:ascii="Palatino Linotype" w:eastAsia="Palatino Linotype" w:hAnsi="Palatino Linotype" w:cs="Palatino Linotype"/>
          <w:sz w:val="22"/>
          <w:szCs w:val="22"/>
          <w:u w:val="single"/>
        </w:rPr>
        <w:t>de la segunda quincena de julio de dos mil veinticinco</w:t>
      </w:r>
      <w:r>
        <w:rPr>
          <w:rFonts w:ascii="Palatino Linotype" w:eastAsia="Palatino Linotype" w:hAnsi="Palatino Linotype" w:cs="Palatino Linotype"/>
          <w:color w:val="000000"/>
          <w:sz w:val="22"/>
          <w:szCs w:val="22"/>
        </w:rPr>
        <w:t xml:space="preserve">, lo que concierne al DIF e IMCUFIDE refieren que los mismos sujetos obligados cuentan con usuario para </w:t>
      </w:r>
      <w:proofErr w:type="spellStart"/>
      <w:r>
        <w:rPr>
          <w:rFonts w:ascii="Palatino Linotype" w:eastAsia="Palatino Linotype" w:hAnsi="Palatino Linotype" w:cs="Palatino Linotype"/>
          <w:color w:val="000000"/>
          <w:sz w:val="22"/>
          <w:szCs w:val="22"/>
        </w:rPr>
        <w:t>saimex</w:t>
      </w:r>
      <w:proofErr w:type="spellEnd"/>
      <w:r>
        <w:rPr>
          <w:rFonts w:ascii="Palatino Linotype" w:eastAsia="Palatino Linotype" w:hAnsi="Palatino Linotype" w:cs="Palatino Linotype"/>
          <w:color w:val="000000"/>
          <w:sz w:val="22"/>
          <w:szCs w:val="22"/>
        </w:rPr>
        <w:t xml:space="preserve">, lo cual se sugiere realizar  la solicitud hacia ellos, avocándose solamente al ayuntamiento. </w:t>
      </w:r>
    </w:p>
    <w:p w:rsidR="00B0325F" w:rsidRDefault="00B0325F">
      <w:pPr>
        <w:spacing w:line="360" w:lineRule="auto"/>
        <w:jc w:val="both"/>
        <w:rPr>
          <w:rFonts w:ascii="Palatino Linotype" w:eastAsia="Palatino Linotype" w:hAnsi="Palatino Linotype" w:cs="Palatino Linotype"/>
          <w:b/>
          <w:bCs/>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Lo anterior, se desprende de las documentales que obran en el expediente de referencia, materia de la presente resolución, consistentes en: la solicitud de acceso a la información, la respuesta proporcionada, el escrito </w:t>
      </w:r>
      <w:proofErr w:type="spellStart"/>
      <w:r>
        <w:rPr>
          <w:rFonts w:ascii="Palatino Linotype" w:eastAsia="Palatino Linotype" w:hAnsi="Palatino Linotype" w:cs="Palatino Linotype"/>
          <w:sz w:val="22"/>
          <w:szCs w:val="22"/>
        </w:rPr>
        <w:t>recursal</w:t>
      </w:r>
      <w:proofErr w:type="spellEnd"/>
      <w:r>
        <w:rPr>
          <w:rFonts w:ascii="Palatino Linotype" w:eastAsia="Palatino Linotype" w:hAnsi="Palatino Linotype" w:cs="Palatino Linotype"/>
          <w:sz w:val="22"/>
          <w:szCs w:val="22"/>
        </w:rPr>
        <w:t>,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r>
        <w:rPr>
          <w:rFonts w:ascii="Palatino Linotype" w:eastAsia="Palatino Linotype" w:hAnsi="Palatino Linotype" w:cs="Palatino Linotype"/>
          <w:b/>
          <w:bCs/>
          <w:sz w:val="22"/>
          <w:szCs w:val="22"/>
        </w:rPr>
        <w:t xml:space="preserve"> </w:t>
      </w:r>
    </w:p>
    <w:p w:rsidR="00B0325F" w:rsidRDefault="00B0325F">
      <w:pPr>
        <w:tabs>
          <w:tab w:val="left" w:pos="4962"/>
        </w:tabs>
        <w:spacing w:line="360" w:lineRule="auto"/>
        <w:jc w:val="both"/>
        <w:rPr>
          <w:rFonts w:ascii="Palatino Linotype" w:eastAsia="Palatino Linotype" w:hAnsi="Palatino Linotype" w:cs="Palatino Linotype"/>
          <w:sz w:val="22"/>
          <w:szCs w:val="22"/>
        </w:rPr>
      </w:pPr>
    </w:p>
    <w:p w:rsidR="00B0325F" w:rsidRDefault="004D5484">
      <w:pPr>
        <w:pStyle w:val="Ttulo2"/>
        <w:spacing w:before="0" w:after="0" w:line="360" w:lineRule="auto"/>
        <w:jc w:val="both"/>
        <w:rPr>
          <w:rFonts w:ascii="Palatino Linotype" w:eastAsia="Palatino Linotype" w:hAnsi="Palatino Linotype" w:cs="Palatino Linotype"/>
          <w:b/>
          <w:bCs/>
          <w:color w:val="000000"/>
          <w:sz w:val="22"/>
          <w:szCs w:val="22"/>
        </w:rPr>
      </w:pPr>
      <w:bookmarkStart w:id="20" w:name="_heading=h.kwhfk86xlffl" w:colFirst="0" w:colLast="0"/>
      <w:bookmarkStart w:id="21" w:name="_Toc215130301"/>
      <w:bookmarkEnd w:id="20"/>
      <w:r>
        <w:rPr>
          <w:rFonts w:ascii="Palatino Linotype" w:eastAsia="Palatino Linotype" w:hAnsi="Palatino Linotype" w:cs="Palatino Linotype"/>
          <w:b/>
          <w:bCs/>
          <w:color w:val="000000"/>
          <w:sz w:val="22"/>
          <w:szCs w:val="22"/>
        </w:rPr>
        <w:t>CUARTO. Marco normativo aplicable en materia de transparencia y acceso a la información pública</w:t>
      </w:r>
      <w:bookmarkEnd w:id="21"/>
    </w:p>
    <w:p w:rsidR="00B0325F" w:rsidRDefault="00B0325F">
      <w:pPr>
        <w:widowControl w:val="0"/>
        <w:spacing w:line="360" w:lineRule="auto"/>
        <w:jc w:val="both"/>
        <w:rPr>
          <w:rFonts w:ascii="Palatino Linotype" w:eastAsia="Palatino Linotype" w:hAnsi="Palatino Linotype" w:cs="Palatino Linotype"/>
          <w:sz w:val="22"/>
          <w:szCs w:val="22"/>
        </w:rPr>
      </w:pPr>
    </w:p>
    <w:p w:rsidR="00B0325F" w:rsidRDefault="004D5484">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B0325F" w:rsidRDefault="00B0325F">
      <w:pPr>
        <w:widowControl w:val="0"/>
        <w:spacing w:line="360" w:lineRule="auto"/>
        <w:jc w:val="both"/>
        <w:rPr>
          <w:rFonts w:ascii="Palatino Linotype" w:eastAsia="Palatino Linotype" w:hAnsi="Palatino Linotype" w:cs="Palatino Linotype"/>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Por su parte, 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B0325F" w:rsidRDefault="00B0325F">
      <w:pPr>
        <w:widowControl w:val="0"/>
        <w:spacing w:line="360" w:lineRule="auto"/>
        <w:jc w:val="both"/>
        <w:rPr>
          <w:rFonts w:ascii="Palatino Linotype" w:eastAsia="Palatino Linotype" w:hAnsi="Palatino Linotype" w:cs="Palatino Linotype"/>
          <w:sz w:val="22"/>
          <w:szCs w:val="22"/>
        </w:rPr>
      </w:pPr>
    </w:p>
    <w:p w:rsidR="00B0325F" w:rsidRDefault="004D5484">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su parte, la Ley de Transparencia y Acceso a la Información Pública del Estado de México y Municipios (Reglamentaria del artículo 5° de la Constitución Local), establece lo siguiente:</w:t>
      </w:r>
    </w:p>
    <w:p w:rsidR="00B0325F" w:rsidRDefault="00B0325F">
      <w:pPr>
        <w:widowControl w:val="0"/>
        <w:spacing w:line="360" w:lineRule="auto"/>
        <w:jc w:val="both"/>
        <w:rPr>
          <w:rFonts w:ascii="Palatino Linotype" w:eastAsia="Palatino Linotype" w:hAnsi="Palatino Linotype" w:cs="Palatino Linotype"/>
          <w:sz w:val="22"/>
          <w:szCs w:val="22"/>
        </w:rPr>
      </w:pPr>
    </w:p>
    <w:p w:rsidR="00B0325F" w:rsidRDefault="004D5484">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12, que, quienes generen, recopilen, administren, manejen, procesen, archiven o conserven información pública serán responsables de la misma.</w:t>
      </w:r>
    </w:p>
    <w:p w:rsidR="00B0325F" w:rsidRDefault="00B0325F">
      <w:pPr>
        <w:widowControl w:val="0"/>
        <w:spacing w:line="360" w:lineRule="auto"/>
        <w:jc w:val="both"/>
        <w:rPr>
          <w:rFonts w:ascii="Palatino Linotype" w:eastAsia="Palatino Linotype" w:hAnsi="Palatino Linotype" w:cs="Palatino Linotype"/>
          <w:sz w:val="22"/>
          <w:szCs w:val="22"/>
        </w:rPr>
      </w:pPr>
    </w:p>
    <w:p w:rsidR="00B0325F" w:rsidRDefault="004D5484">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00B0325F" w:rsidRDefault="00B0325F">
      <w:pPr>
        <w:widowControl w:val="0"/>
        <w:spacing w:line="360" w:lineRule="auto"/>
        <w:jc w:val="both"/>
        <w:rPr>
          <w:rFonts w:ascii="Palatino Linotype" w:eastAsia="Palatino Linotype" w:hAnsi="Palatino Linotype" w:cs="Palatino Linotype"/>
          <w:sz w:val="22"/>
          <w:szCs w:val="22"/>
        </w:rPr>
      </w:pPr>
    </w:p>
    <w:p w:rsidR="00B0325F" w:rsidRDefault="004D5484">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B0325F" w:rsidRDefault="00B0325F">
      <w:pPr>
        <w:tabs>
          <w:tab w:val="left" w:pos="4962"/>
        </w:tabs>
        <w:spacing w:line="360" w:lineRule="auto"/>
        <w:jc w:val="both"/>
        <w:rPr>
          <w:rFonts w:ascii="Palatino Linotype" w:eastAsia="Palatino Linotype" w:hAnsi="Palatino Linotype" w:cs="Palatino Linotype"/>
          <w:sz w:val="22"/>
          <w:szCs w:val="22"/>
        </w:rPr>
      </w:pPr>
    </w:p>
    <w:p w:rsidR="00B0325F" w:rsidRDefault="004D5484">
      <w:pPr>
        <w:pStyle w:val="Ttulo2"/>
        <w:spacing w:before="0" w:after="0" w:line="360" w:lineRule="auto"/>
        <w:rPr>
          <w:rFonts w:ascii="Palatino Linotype" w:eastAsia="Palatino Linotype" w:hAnsi="Palatino Linotype" w:cs="Palatino Linotype"/>
          <w:b/>
          <w:bCs/>
          <w:color w:val="000000"/>
          <w:sz w:val="22"/>
          <w:szCs w:val="22"/>
        </w:rPr>
      </w:pPr>
      <w:bookmarkStart w:id="22" w:name="_heading=h.qj4odc543q2k" w:colFirst="0" w:colLast="0"/>
      <w:bookmarkStart w:id="23" w:name="_Toc215130302"/>
      <w:bookmarkEnd w:id="22"/>
      <w:r>
        <w:rPr>
          <w:rFonts w:ascii="Palatino Linotype" w:eastAsia="Palatino Linotype" w:hAnsi="Palatino Linotype" w:cs="Palatino Linotype"/>
          <w:b/>
          <w:bCs/>
          <w:color w:val="000000"/>
          <w:sz w:val="22"/>
          <w:szCs w:val="22"/>
        </w:rPr>
        <w:t>QUINTO. Estudio de Fondo</w:t>
      </w:r>
      <w:bookmarkEnd w:id="23"/>
    </w:p>
    <w:p w:rsidR="00B0325F" w:rsidRDefault="00B0325F">
      <w:pPr>
        <w:spacing w:line="360" w:lineRule="auto"/>
        <w:jc w:val="both"/>
        <w:rPr>
          <w:rFonts w:ascii="Palatino Linotype" w:eastAsia="Palatino Linotype" w:hAnsi="Palatino Linotype" w:cs="Palatino Linotype"/>
          <w:b/>
          <w:bCs/>
          <w:sz w:val="22"/>
          <w:szCs w:val="22"/>
        </w:rPr>
      </w:pPr>
    </w:p>
    <w:p w:rsidR="00B0325F" w:rsidRDefault="004D5484">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Expuestas las posturas de las partes, se procede al análisis del agravio hecho valer por la </w:t>
      </w:r>
      <w:r>
        <w:rPr>
          <w:rFonts w:ascii="Palatino Linotype" w:eastAsia="Palatino Linotype" w:hAnsi="Palatino Linotype" w:cs="Palatino Linotype"/>
          <w:sz w:val="22"/>
          <w:szCs w:val="22"/>
        </w:rPr>
        <w:lastRenderedPageBreak/>
        <w:t>persona Recurrente, concernientes a la negativa de la información que no corresponde con lo solicitado, por lo que, en principio es necesario contextualizar la solicitud de información.</w:t>
      </w:r>
    </w:p>
    <w:p w:rsidR="00B0325F" w:rsidRDefault="00B0325F">
      <w:pPr>
        <w:widowControl w:val="0"/>
        <w:spacing w:line="360" w:lineRule="auto"/>
        <w:jc w:val="both"/>
        <w:rPr>
          <w:rFonts w:ascii="Palatino Linotype" w:eastAsia="Palatino Linotype" w:hAnsi="Palatino Linotype" w:cs="Palatino Linotype"/>
          <w:sz w:val="22"/>
          <w:szCs w:val="22"/>
        </w:rPr>
      </w:pPr>
    </w:p>
    <w:p w:rsidR="00B0325F" w:rsidRDefault="004D5484">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Al respecto, el artículo 108 de la Constitución Política de los Estados Unidos Mexicanos, establece que, en materia de responsabilidades, serán servidores públicos, los representantes de elección popular, los funcionarios y empleados y, en general, </w:t>
      </w:r>
      <w:r>
        <w:rPr>
          <w:rFonts w:ascii="Palatino Linotype" w:eastAsia="Palatino Linotype" w:hAnsi="Palatino Linotype" w:cs="Palatino Linotype"/>
          <w:b/>
          <w:bCs/>
          <w:sz w:val="22"/>
          <w:szCs w:val="22"/>
        </w:rPr>
        <w:t>a toda persona que desempeñe un empleo, cargo o comisión de cualquier naturaleza dentro de la Administración Pública</w:t>
      </w:r>
      <w:r>
        <w:rPr>
          <w:rFonts w:ascii="Palatino Linotype" w:eastAsia="Palatino Linotype" w:hAnsi="Palatino Linotype" w:cs="Palatino Linotype"/>
          <w:sz w:val="22"/>
          <w:szCs w:val="22"/>
        </w:rPr>
        <w:t>. De la misma manera, el artículo 130 de la Constitución Política del Estado Libre y Soberano de México, precisa que son servidores públicos a todas las personas que desempeñen un empleo, cargo o comisión en los Municipios.</w:t>
      </w:r>
    </w:p>
    <w:p w:rsidR="00B0325F" w:rsidRDefault="00B0325F">
      <w:pPr>
        <w:widowControl w:val="0"/>
        <w:spacing w:line="360" w:lineRule="auto"/>
        <w:jc w:val="both"/>
        <w:rPr>
          <w:rFonts w:ascii="Palatino Linotype" w:eastAsia="Palatino Linotype" w:hAnsi="Palatino Linotype" w:cs="Palatino Linotype"/>
          <w:sz w:val="22"/>
          <w:szCs w:val="22"/>
        </w:rPr>
      </w:pPr>
    </w:p>
    <w:p w:rsidR="00B0325F" w:rsidRDefault="004D5484">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el artículo 4°, fracción VI, de la Ley del Trabajo de los servidores públicos del Estado y Municipios, precisa que son servidores públicos, todas las personas físicas que presten a una institución pública un trabajo personal subordinado, mediante el pago de un sueldo.</w:t>
      </w:r>
    </w:p>
    <w:p w:rsidR="00B0325F" w:rsidRDefault="00B0325F">
      <w:pPr>
        <w:widowControl w:val="0"/>
        <w:spacing w:line="360" w:lineRule="auto"/>
        <w:jc w:val="both"/>
        <w:rPr>
          <w:rFonts w:ascii="Palatino Linotype" w:eastAsia="Palatino Linotype" w:hAnsi="Palatino Linotype" w:cs="Palatino Linotype"/>
          <w:sz w:val="22"/>
          <w:szCs w:val="22"/>
        </w:rPr>
      </w:pPr>
    </w:p>
    <w:p w:rsidR="00B0325F" w:rsidRDefault="004D5484">
      <w:pPr>
        <w:widowControl w:val="0"/>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 xml:space="preserve">En orden de ideas, el artículo 3°, fracción LXVIII, del Código Financiero del Estado de México y Municipios establece que la remuneración consiste en los pagos hechos por concepto de </w:t>
      </w:r>
      <w:r>
        <w:rPr>
          <w:rFonts w:ascii="Palatino Linotype" w:eastAsia="Palatino Linotype" w:hAnsi="Palatino Linotype" w:cs="Palatino Linotype"/>
          <w:b/>
          <w:bCs/>
          <w:sz w:val="22"/>
          <w:szCs w:val="22"/>
        </w:rPr>
        <w:t>sueldo, compensaciones, gratificaciones, habitación, primas, comisiones, prestaciones, en especie y cualquier otra percepción o prestación que se entregue al servidor por su trabajo.</w:t>
      </w:r>
    </w:p>
    <w:p w:rsidR="00B0325F" w:rsidRDefault="00B0325F">
      <w:pPr>
        <w:widowControl w:val="0"/>
        <w:spacing w:line="360" w:lineRule="auto"/>
        <w:jc w:val="both"/>
        <w:rPr>
          <w:rFonts w:ascii="Palatino Linotype" w:eastAsia="Palatino Linotype" w:hAnsi="Palatino Linotype" w:cs="Palatino Linotype"/>
          <w:sz w:val="22"/>
          <w:szCs w:val="22"/>
        </w:rPr>
      </w:pPr>
    </w:p>
    <w:p w:rsidR="00B0325F" w:rsidRDefault="004D5484">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contexto, el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w:t>
      </w:r>
      <w:r>
        <w:rPr>
          <w:rFonts w:ascii="Palatino Linotype" w:eastAsia="Palatino Linotype" w:hAnsi="Palatino Linotype" w:cs="Palatino Linotype"/>
          <w:sz w:val="22"/>
          <w:szCs w:val="22"/>
        </w:rPr>
        <w:lastRenderedPageBreak/>
        <w:t>cuales, se encuentran los sueldos, prestaciones, gratificaciones, primas, comisiones, dietas, bonos, estímulos, ingresos, entre otros.</w:t>
      </w:r>
    </w:p>
    <w:p w:rsidR="00B0325F" w:rsidRDefault="00B0325F">
      <w:pPr>
        <w:widowControl w:val="0"/>
        <w:spacing w:line="360" w:lineRule="auto"/>
        <w:jc w:val="both"/>
        <w:rPr>
          <w:rFonts w:ascii="Palatino Linotype" w:eastAsia="Palatino Linotype" w:hAnsi="Palatino Linotype" w:cs="Palatino Linotype"/>
          <w:sz w:val="22"/>
          <w:szCs w:val="22"/>
        </w:rPr>
      </w:pPr>
    </w:p>
    <w:p w:rsidR="00B0325F" w:rsidRDefault="004D5484">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otra parte, respecto al documento requerido, el Glosario localizado en la página de Transparencia Presupuestaria de la Secretaría de Hacienda y Crédito Público (</w:t>
      </w:r>
      <w:r>
        <w:rPr>
          <w:rFonts w:ascii="Palatino Linotype" w:eastAsia="Palatino Linotype" w:hAnsi="Palatino Linotype" w:cs="Palatino Linotype"/>
          <w:color w:val="0070C0"/>
          <w:sz w:val="22"/>
          <w:szCs w:val="22"/>
          <w:u w:val="single"/>
        </w:rPr>
        <w:t>http://www.transparenciapresupuestaria.gob.mx/es/PTP/Glosario</w:t>
      </w:r>
      <w:r>
        <w:rPr>
          <w:rFonts w:ascii="Palatino Linotype" w:eastAsia="Palatino Linotype" w:hAnsi="Palatino Linotype" w:cs="Palatino Linotype"/>
          <w:sz w:val="22"/>
          <w:szCs w:val="22"/>
        </w:rPr>
        <w:t xml:space="preserve">), establece que la </w:t>
      </w:r>
      <w:r>
        <w:rPr>
          <w:rFonts w:ascii="Palatino Linotype" w:eastAsia="Palatino Linotype" w:hAnsi="Palatino Linotype" w:cs="Palatino Linotype"/>
          <w:b/>
          <w:bCs/>
          <w:sz w:val="22"/>
          <w:szCs w:val="22"/>
        </w:rPr>
        <w:t>Nómina</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rsidR="00B0325F" w:rsidRDefault="00B0325F">
      <w:pPr>
        <w:widowControl w:val="0"/>
        <w:spacing w:line="360" w:lineRule="auto"/>
        <w:jc w:val="both"/>
        <w:rPr>
          <w:rFonts w:ascii="Palatino Linotype" w:eastAsia="Palatino Linotype" w:hAnsi="Palatino Linotype" w:cs="Palatino Linotype"/>
          <w:sz w:val="22"/>
          <w:szCs w:val="22"/>
        </w:rPr>
      </w:pPr>
    </w:p>
    <w:p w:rsidR="00B0325F" w:rsidRDefault="004D5484">
      <w:pPr>
        <w:widowControl w:val="0"/>
        <w:spacing w:line="360" w:lineRule="auto"/>
        <w:jc w:val="both"/>
        <w:rPr>
          <w:rFonts w:ascii="Palatino Linotype" w:eastAsia="Palatino Linotype" w:hAnsi="Palatino Linotype" w:cs="Palatino Linotype"/>
          <w:color w:val="0070C0"/>
          <w:sz w:val="22"/>
          <w:szCs w:val="22"/>
        </w:rPr>
      </w:pPr>
      <w:r>
        <w:rPr>
          <w:rFonts w:ascii="Palatino Linotype" w:eastAsia="Palatino Linotype" w:hAnsi="Palatino Linotype" w:cs="Palatino Linotype"/>
          <w:sz w:val="22"/>
          <w:szCs w:val="22"/>
        </w:rPr>
        <w:t>De la misma manera, el Glosario de términos más usuales en la Administración Pública Federal, emitido por la Secretaría de Hacienda y Crédito Público (</w:t>
      </w:r>
      <w:hyperlink r:id="rId10">
        <w:r>
          <w:rPr>
            <w:rFonts w:ascii="Palatino Linotype" w:eastAsia="Palatino Linotype" w:hAnsi="Palatino Linotype" w:cs="Palatino Linotype"/>
            <w:color w:val="0563C1"/>
            <w:sz w:val="22"/>
            <w:szCs w:val="22"/>
            <w:u w:val="single"/>
          </w:rPr>
          <w:t>https://www.apartados.hacienda.gob.mx/contabilidad/documentos/informe_cuenta/1998/cuenta_publica/Glosario/n.htm</w:t>
        </w:r>
      </w:hyperlink>
      <w:r>
        <w:rPr>
          <w:rFonts w:ascii="Palatino Linotype" w:eastAsia="Palatino Linotype" w:hAnsi="Palatino Linotype" w:cs="Palatino Linotype"/>
          <w:color w:val="0070C0"/>
          <w:sz w:val="22"/>
          <w:szCs w:val="22"/>
        </w:rPr>
        <w:t>)</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establece que la nómina es un listado general de los trabajadores de una institución, en el cual se asientan las percepciones brutas, deducciones y alcance neto de las mismas.</w:t>
      </w:r>
    </w:p>
    <w:p w:rsidR="00B0325F" w:rsidRDefault="00B0325F">
      <w:pPr>
        <w:widowControl w:val="0"/>
        <w:spacing w:line="360" w:lineRule="auto"/>
        <w:jc w:val="both"/>
        <w:rPr>
          <w:rFonts w:ascii="Palatino Linotype" w:eastAsia="Palatino Linotype" w:hAnsi="Palatino Linotype" w:cs="Palatino Linotype"/>
          <w:sz w:val="22"/>
          <w:szCs w:val="22"/>
        </w:rPr>
      </w:pPr>
    </w:p>
    <w:p w:rsidR="00B0325F" w:rsidRDefault="004D5484">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anterior, se puede advertir que la nómina se puede referir a lo siguiente: </w:t>
      </w:r>
    </w:p>
    <w:p w:rsidR="00B0325F" w:rsidRDefault="00B0325F">
      <w:pPr>
        <w:widowControl w:val="0"/>
        <w:spacing w:line="360" w:lineRule="auto"/>
        <w:jc w:val="both"/>
        <w:rPr>
          <w:rFonts w:ascii="Palatino Linotype" w:eastAsia="Palatino Linotype" w:hAnsi="Palatino Linotype" w:cs="Palatino Linotype"/>
          <w:sz w:val="22"/>
          <w:szCs w:val="22"/>
        </w:rPr>
      </w:pPr>
    </w:p>
    <w:p w:rsidR="00B0325F" w:rsidRDefault="004D5484">
      <w:pPr>
        <w:widowControl w:val="0"/>
        <w:spacing w:line="360" w:lineRule="auto"/>
        <w:ind w:left="567"/>
        <w:jc w:val="both"/>
        <w:rPr>
          <w:rFonts w:ascii="Palatino Linotype" w:eastAsia="Palatino Linotype" w:hAnsi="Palatino Linotype" w:cs="Palatino Linotype"/>
          <w:sz w:val="22"/>
          <w:szCs w:val="22"/>
        </w:rPr>
      </w:pPr>
      <w:proofErr w:type="spellStart"/>
      <w:r>
        <w:rPr>
          <w:rFonts w:ascii="Palatino Linotype" w:eastAsia="Palatino Linotype" w:hAnsi="Palatino Linotype" w:cs="Palatino Linotype"/>
          <w:sz w:val="22"/>
          <w:szCs w:val="22"/>
        </w:rPr>
        <w:t>A.Relación</w:t>
      </w:r>
      <w:proofErr w:type="spellEnd"/>
      <w:r>
        <w:rPr>
          <w:rFonts w:ascii="Palatino Linotype" w:eastAsia="Palatino Linotype" w:hAnsi="Palatino Linotype" w:cs="Palatino Linotype"/>
          <w:sz w:val="22"/>
          <w:szCs w:val="22"/>
        </w:rPr>
        <w:t xml:space="preserve"> de trabajadores con las percepciones monetarias de cada uno.</w:t>
      </w:r>
    </w:p>
    <w:p w:rsidR="00B0325F" w:rsidRDefault="00B0325F">
      <w:pPr>
        <w:widowControl w:val="0"/>
        <w:spacing w:line="360" w:lineRule="auto"/>
        <w:ind w:left="567"/>
        <w:jc w:val="both"/>
        <w:rPr>
          <w:rFonts w:ascii="Palatino Linotype" w:eastAsia="Palatino Linotype" w:hAnsi="Palatino Linotype" w:cs="Palatino Linotype"/>
          <w:sz w:val="22"/>
          <w:szCs w:val="22"/>
        </w:rPr>
      </w:pPr>
    </w:p>
    <w:p w:rsidR="00B0325F" w:rsidRDefault="004D5484">
      <w:pPr>
        <w:widowControl w:val="0"/>
        <w:spacing w:line="360" w:lineRule="auto"/>
        <w:ind w:lef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B. Recibo individual que contiene las prestaciones y deducciones de un trabajador. </w:t>
      </w:r>
    </w:p>
    <w:p w:rsidR="00B0325F" w:rsidRDefault="00B0325F">
      <w:pPr>
        <w:widowControl w:val="0"/>
        <w:spacing w:line="360" w:lineRule="auto"/>
        <w:ind w:left="567"/>
        <w:jc w:val="both"/>
        <w:rPr>
          <w:rFonts w:ascii="Palatino Linotype" w:eastAsia="Palatino Linotype" w:hAnsi="Palatino Linotype" w:cs="Palatino Linotype"/>
          <w:sz w:val="22"/>
          <w:szCs w:val="22"/>
        </w:rPr>
      </w:pPr>
    </w:p>
    <w:p w:rsidR="00B0325F" w:rsidRDefault="004D5484">
      <w:pPr>
        <w:widowControl w:val="0"/>
        <w:spacing w:line="360" w:lineRule="auto"/>
        <w:ind w:lef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 Listado general de los servidores públicos de una institución o dependencia, en el cual se asientan las percepciones brutas, deducciones y alcance neto de las mismas.</w:t>
      </w:r>
    </w:p>
    <w:p w:rsidR="00B0325F" w:rsidRDefault="00B0325F">
      <w:pPr>
        <w:widowControl w:val="0"/>
        <w:spacing w:line="360" w:lineRule="auto"/>
        <w:jc w:val="both"/>
        <w:rPr>
          <w:rFonts w:ascii="Palatino Linotype" w:eastAsia="Palatino Linotype" w:hAnsi="Palatino Linotype" w:cs="Palatino Linotype"/>
          <w:sz w:val="22"/>
          <w:szCs w:val="22"/>
        </w:rPr>
      </w:pPr>
    </w:p>
    <w:p w:rsidR="00B0325F" w:rsidRDefault="004D5484">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Sobre el tema cabe mencionar que dentro del Bando Municipal de Acolman dos mil veinticinco, en su artículo 46 refiere que para el ejercicio de sus atribuciones, el H. Ayuntamiento se auxiliará de las  siguientes dependencias, mismas que realizarán sus funciones bajo los principios de  austeridad, igualdad, equidad, honestidad, respeto, transparencia y calidad, de conformidad con lo siguiente:</w:t>
      </w:r>
    </w:p>
    <w:p w:rsidR="00B0325F" w:rsidRDefault="00B0325F">
      <w:pPr>
        <w:widowControl w:val="0"/>
        <w:spacing w:line="360" w:lineRule="auto"/>
        <w:jc w:val="both"/>
        <w:rPr>
          <w:rFonts w:ascii="Palatino Linotype" w:eastAsia="Palatino Linotype" w:hAnsi="Palatino Linotype" w:cs="Palatino Linotype"/>
          <w:sz w:val="22"/>
          <w:szCs w:val="22"/>
        </w:rPr>
      </w:pPr>
    </w:p>
    <w:p w:rsidR="00B0325F" w:rsidRDefault="004D5484">
      <w:pPr>
        <w:widowControl w:val="0"/>
        <w:numPr>
          <w:ilvl w:val="0"/>
          <w:numId w:val="3"/>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Presidencia Municipal:</w:t>
      </w:r>
    </w:p>
    <w:p w:rsidR="00B0325F" w:rsidRDefault="004D5484">
      <w:pPr>
        <w:widowControl w:val="0"/>
        <w:numPr>
          <w:ilvl w:val="0"/>
          <w:numId w:val="3"/>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Secretaría del Ayuntamiento:</w:t>
      </w:r>
    </w:p>
    <w:p w:rsidR="00B0325F" w:rsidRDefault="004D5484">
      <w:pPr>
        <w:widowControl w:val="0"/>
        <w:numPr>
          <w:ilvl w:val="0"/>
          <w:numId w:val="3"/>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Tesorería Municipal.</w:t>
      </w:r>
    </w:p>
    <w:p w:rsidR="00B0325F" w:rsidRDefault="004D5484">
      <w:pPr>
        <w:widowControl w:val="0"/>
        <w:numPr>
          <w:ilvl w:val="0"/>
          <w:numId w:val="3"/>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Órgano Interno de Control</w:t>
      </w:r>
    </w:p>
    <w:p w:rsidR="00B0325F" w:rsidRDefault="00B0325F">
      <w:pPr>
        <w:widowControl w:val="0"/>
        <w:spacing w:line="360" w:lineRule="auto"/>
        <w:ind w:left="360"/>
        <w:rPr>
          <w:rFonts w:ascii="Palatino Linotype" w:eastAsia="Palatino Linotype" w:hAnsi="Palatino Linotype" w:cs="Palatino Linotype"/>
          <w:sz w:val="22"/>
          <w:szCs w:val="22"/>
        </w:rPr>
      </w:pPr>
    </w:p>
    <w:p w:rsidR="00B0325F" w:rsidRDefault="004D5484">
      <w:pPr>
        <w:widowControl w:val="0"/>
        <w:numPr>
          <w:ilvl w:val="0"/>
          <w:numId w:val="10"/>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Dirección de Administración:</w:t>
      </w:r>
    </w:p>
    <w:p w:rsidR="00B0325F" w:rsidRDefault="004D5484">
      <w:pPr>
        <w:widowControl w:val="0"/>
        <w:numPr>
          <w:ilvl w:val="0"/>
          <w:numId w:val="10"/>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Dirección de Servicios Generales. </w:t>
      </w:r>
    </w:p>
    <w:p w:rsidR="00B0325F" w:rsidRDefault="004D5484">
      <w:pPr>
        <w:widowControl w:val="0"/>
        <w:numPr>
          <w:ilvl w:val="0"/>
          <w:numId w:val="10"/>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Dirección de Gobierno:</w:t>
      </w:r>
    </w:p>
    <w:p w:rsidR="00B0325F" w:rsidRDefault="004D5484">
      <w:pPr>
        <w:widowControl w:val="0"/>
        <w:numPr>
          <w:ilvl w:val="0"/>
          <w:numId w:val="10"/>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Dirección de Seguridad Pública Municipal:</w:t>
      </w:r>
    </w:p>
    <w:p w:rsidR="00B0325F" w:rsidRDefault="004D5484">
      <w:pPr>
        <w:widowControl w:val="0"/>
        <w:numPr>
          <w:ilvl w:val="0"/>
          <w:numId w:val="10"/>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Secretaria Técnica del Consejo Municipal de Seguridad Pública</w:t>
      </w:r>
    </w:p>
    <w:p w:rsidR="00B0325F" w:rsidRDefault="004D5484">
      <w:pPr>
        <w:widowControl w:val="0"/>
        <w:numPr>
          <w:ilvl w:val="0"/>
          <w:numId w:val="10"/>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Dirección de Servicios Públicos:</w:t>
      </w:r>
    </w:p>
    <w:p w:rsidR="00B0325F" w:rsidRDefault="004D5484">
      <w:pPr>
        <w:widowControl w:val="0"/>
        <w:numPr>
          <w:ilvl w:val="0"/>
          <w:numId w:val="10"/>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Dirección de Desarrollo Urbano:</w:t>
      </w:r>
    </w:p>
    <w:p w:rsidR="00B0325F" w:rsidRDefault="004D5484">
      <w:pPr>
        <w:widowControl w:val="0"/>
        <w:numPr>
          <w:ilvl w:val="0"/>
          <w:numId w:val="10"/>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Dirección de Obras Públicas:</w:t>
      </w:r>
    </w:p>
    <w:p w:rsidR="00B0325F" w:rsidRDefault="004D5484">
      <w:pPr>
        <w:widowControl w:val="0"/>
        <w:numPr>
          <w:ilvl w:val="0"/>
          <w:numId w:val="10"/>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Dirección de Catastro Municipal.</w:t>
      </w:r>
    </w:p>
    <w:p w:rsidR="00B0325F" w:rsidRDefault="004D5484">
      <w:pPr>
        <w:widowControl w:val="0"/>
        <w:numPr>
          <w:ilvl w:val="0"/>
          <w:numId w:val="10"/>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Dirección de Bienestar Social:</w:t>
      </w:r>
    </w:p>
    <w:p w:rsidR="00B0325F" w:rsidRDefault="004D5484">
      <w:pPr>
        <w:widowControl w:val="0"/>
        <w:numPr>
          <w:ilvl w:val="0"/>
          <w:numId w:val="10"/>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Dirección de Diversidad Sexual y Equidad de Género.</w:t>
      </w:r>
    </w:p>
    <w:p w:rsidR="00B0325F" w:rsidRDefault="004D5484">
      <w:pPr>
        <w:widowControl w:val="0"/>
        <w:numPr>
          <w:ilvl w:val="0"/>
          <w:numId w:val="10"/>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Dirección de Desarrollo Económico:</w:t>
      </w:r>
    </w:p>
    <w:p w:rsidR="00B0325F" w:rsidRDefault="004D5484">
      <w:pPr>
        <w:widowControl w:val="0"/>
        <w:numPr>
          <w:ilvl w:val="0"/>
          <w:numId w:val="10"/>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Dirección Jurídica.</w:t>
      </w:r>
    </w:p>
    <w:p w:rsidR="00B0325F" w:rsidRDefault="004D5484">
      <w:pPr>
        <w:widowControl w:val="0"/>
        <w:numPr>
          <w:ilvl w:val="0"/>
          <w:numId w:val="10"/>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Dirección de Movilidad.</w:t>
      </w:r>
    </w:p>
    <w:p w:rsidR="00B0325F" w:rsidRDefault="004D5484">
      <w:pPr>
        <w:widowControl w:val="0"/>
        <w:numPr>
          <w:ilvl w:val="0"/>
          <w:numId w:val="10"/>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Dirección de Cultura.</w:t>
      </w:r>
    </w:p>
    <w:p w:rsidR="00B0325F" w:rsidRDefault="004D5484">
      <w:pPr>
        <w:widowControl w:val="0"/>
        <w:numPr>
          <w:ilvl w:val="0"/>
          <w:numId w:val="10"/>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Dirección de Educación:</w:t>
      </w:r>
    </w:p>
    <w:p w:rsidR="00B0325F" w:rsidRDefault="004D5484">
      <w:pPr>
        <w:widowControl w:val="0"/>
        <w:numPr>
          <w:ilvl w:val="0"/>
          <w:numId w:val="10"/>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Dirección del Campo:</w:t>
      </w:r>
    </w:p>
    <w:p w:rsidR="00B0325F" w:rsidRDefault="004D5484">
      <w:pPr>
        <w:widowControl w:val="0"/>
        <w:numPr>
          <w:ilvl w:val="0"/>
          <w:numId w:val="10"/>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Dirección de Ecología:</w:t>
      </w:r>
    </w:p>
    <w:p w:rsidR="00B0325F" w:rsidRDefault="004D5484">
      <w:pPr>
        <w:widowControl w:val="0"/>
        <w:numPr>
          <w:ilvl w:val="0"/>
          <w:numId w:val="10"/>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Dirección de Fomento Turístico:</w:t>
      </w:r>
    </w:p>
    <w:p w:rsidR="00B0325F" w:rsidRDefault="004D5484">
      <w:pPr>
        <w:widowControl w:val="0"/>
        <w:numPr>
          <w:ilvl w:val="0"/>
          <w:numId w:val="10"/>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Dirección Municipal para la Protección de los Derechos de las Mujeres.</w:t>
      </w:r>
    </w:p>
    <w:p w:rsidR="00B0325F" w:rsidRDefault="004D5484">
      <w:pPr>
        <w:widowControl w:val="0"/>
        <w:numPr>
          <w:ilvl w:val="0"/>
          <w:numId w:val="10"/>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Dirección de Asuntos Religiosos y Libertad de Culto.</w:t>
      </w:r>
    </w:p>
    <w:p w:rsidR="00B0325F" w:rsidRDefault="004D5484">
      <w:pPr>
        <w:widowControl w:val="0"/>
        <w:numPr>
          <w:ilvl w:val="0"/>
          <w:numId w:val="10"/>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Dirección de Asuntos Interinstitucionales.</w:t>
      </w:r>
    </w:p>
    <w:p w:rsidR="00B0325F" w:rsidRDefault="004D5484">
      <w:pPr>
        <w:widowControl w:val="0"/>
        <w:numPr>
          <w:ilvl w:val="0"/>
          <w:numId w:val="10"/>
        </w:numPr>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Defensoría Municipal de los Derechos Humanos.</w:t>
      </w:r>
    </w:p>
    <w:p w:rsidR="00B0325F" w:rsidRDefault="00B0325F">
      <w:pPr>
        <w:widowControl w:val="0"/>
        <w:spacing w:line="360" w:lineRule="auto"/>
        <w:jc w:val="both"/>
        <w:rPr>
          <w:rFonts w:ascii="Palatino Linotype" w:eastAsia="Palatino Linotype" w:hAnsi="Palatino Linotype" w:cs="Palatino Linotype"/>
          <w:sz w:val="22"/>
          <w:szCs w:val="22"/>
        </w:rPr>
      </w:pPr>
    </w:p>
    <w:p w:rsidR="00B0325F" w:rsidRDefault="004D5484">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Para el adecuado ejercicio de sus atribuciones el Ayuntamiento se auxiliará de los siguientes </w:t>
      </w:r>
    </w:p>
    <w:p w:rsidR="00B0325F" w:rsidRDefault="004D5484">
      <w:pPr>
        <w:widowControl w:val="0"/>
        <w:spacing w:line="360" w:lineRule="auto"/>
        <w:jc w:val="both"/>
        <w:rPr>
          <w:rFonts w:ascii="Palatino Linotype" w:eastAsia="Palatino Linotype" w:hAnsi="Palatino Linotype" w:cs="Palatino Linotype"/>
          <w:b/>
          <w:bCs/>
          <w:sz w:val="22"/>
          <w:szCs w:val="22"/>
          <w:u w:val="single"/>
        </w:rPr>
      </w:pPr>
      <w:r>
        <w:rPr>
          <w:rFonts w:ascii="Palatino Linotype" w:eastAsia="Palatino Linotype" w:hAnsi="Palatino Linotype" w:cs="Palatino Linotype"/>
          <w:sz w:val="22"/>
          <w:szCs w:val="22"/>
        </w:rPr>
        <w:t xml:space="preserve">Organismos Públicos Descentralizados, </w:t>
      </w:r>
      <w:r>
        <w:rPr>
          <w:rFonts w:ascii="Palatino Linotype" w:eastAsia="Palatino Linotype" w:hAnsi="Palatino Linotype" w:cs="Palatino Linotype"/>
          <w:b/>
          <w:bCs/>
          <w:sz w:val="22"/>
          <w:szCs w:val="22"/>
          <w:u w:val="single"/>
        </w:rPr>
        <w:t>con personalidad jurídica y patrimonio propio, solo por mencionar algunos:</w:t>
      </w:r>
    </w:p>
    <w:p w:rsidR="00B0325F" w:rsidRDefault="00B0325F">
      <w:pPr>
        <w:widowControl w:val="0"/>
        <w:spacing w:line="360" w:lineRule="auto"/>
        <w:jc w:val="both"/>
        <w:rPr>
          <w:rFonts w:ascii="Palatino Linotype" w:eastAsia="Palatino Linotype" w:hAnsi="Palatino Linotype" w:cs="Palatino Linotype"/>
          <w:sz w:val="22"/>
          <w:szCs w:val="22"/>
        </w:rPr>
      </w:pPr>
    </w:p>
    <w:p w:rsidR="00B0325F" w:rsidRDefault="004D5484">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Sistema Municipal para el Desarrollo Integral del Municipio de Acolman (SMDIF Acolman):</w:t>
      </w:r>
    </w:p>
    <w:p w:rsidR="00B0325F" w:rsidRDefault="004D5484">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Organismo Público Descentralizado denominado: Instituto Municipal de Cultura Física </w:t>
      </w:r>
    </w:p>
    <w:p w:rsidR="00B0325F" w:rsidRDefault="00B0325F">
      <w:pPr>
        <w:widowControl w:val="0"/>
        <w:spacing w:line="360" w:lineRule="auto"/>
        <w:jc w:val="both"/>
        <w:rPr>
          <w:rFonts w:ascii="Palatino Linotype" w:eastAsia="Palatino Linotype" w:hAnsi="Palatino Linotype" w:cs="Palatino Linotype"/>
          <w:sz w:val="22"/>
          <w:szCs w:val="22"/>
        </w:rPr>
      </w:pPr>
    </w:p>
    <w:p w:rsidR="00B0325F" w:rsidRDefault="004D5484">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logra vislumbrar que la pretensión de la persona Recurrente es obtener lo siguiente:</w:t>
      </w:r>
    </w:p>
    <w:p w:rsidR="00B0325F" w:rsidRDefault="00B0325F">
      <w:pPr>
        <w:widowControl w:val="0"/>
        <w:spacing w:line="360" w:lineRule="auto"/>
        <w:jc w:val="both"/>
        <w:rPr>
          <w:rFonts w:ascii="Palatino Linotype" w:eastAsia="Palatino Linotype" w:hAnsi="Palatino Linotype" w:cs="Palatino Linotype"/>
          <w:sz w:val="22"/>
          <w:szCs w:val="22"/>
        </w:rPr>
      </w:pPr>
    </w:p>
    <w:p w:rsidR="00B0325F" w:rsidRDefault="004D5484">
      <w:pPr>
        <w:widowControl w:val="0"/>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la relación de los sueldos o recibos de nómina donde conste el área de adscripción, nombre, cargo, sueldo bruto y neto de todo el personal de la última quincena de julio, del DIF, IMCUFIDE y Ayuntamiento de Acolman, y</w:t>
      </w:r>
    </w:p>
    <w:p w:rsidR="00B0325F" w:rsidRDefault="004D5484">
      <w:pPr>
        <w:widowControl w:val="0"/>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Los recibos de nómina de la primera y segunda quincena de agosto de dos mil veinticinco.</w:t>
      </w:r>
    </w:p>
    <w:p w:rsidR="00B0325F" w:rsidRDefault="00B0325F">
      <w:pPr>
        <w:widowControl w:val="0"/>
        <w:spacing w:line="360" w:lineRule="auto"/>
        <w:jc w:val="both"/>
        <w:rPr>
          <w:rFonts w:ascii="Palatino Linotype" w:eastAsia="Palatino Linotype" w:hAnsi="Palatino Linotype" w:cs="Palatino Linotype"/>
          <w:sz w:val="22"/>
          <w:szCs w:val="22"/>
        </w:rPr>
      </w:pPr>
    </w:p>
    <w:p w:rsidR="00B0325F" w:rsidRDefault="004D5484">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Establecida dicha circunstancia, se procede analizar la respuesta entregada, para lo cual, es de señalar que la Unidad de Transparencia, fue el área que dio respuesta a la solicitud;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rsidR="00B0325F" w:rsidRDefault="00B0325F">
      <w:pPr>
        <w:spacing w:line="360" w:lineRule="auto"/>
        <w:ind w:right="-28"/>
        <w:jc w:val="both"/>
        <w:rPr>
          <w:rFonts w:ascii="Palatino Linotype" w:eastAsia="Palatino Linotype" w:hAnsi="Palatino Linotype" w:cs="Palatino Linotype"/>
          <w:sz w:val="22"/>
          <w:szCs w:val="22"/>
        </w:rPr>
      </w:pPr>
    </w:p>
    <w:p w:rsidR="00B0325F" w:rsidRDefault="004D5484">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Dicho lo anterior, es necesario traer al estudio el artículo 79 del Bando Municipal de Acolman, dos mil veinticinco, en el que se establece la Unidad de Transparencia es la, encargada de garantizar a la ciudadanía los derechos de acceso a la información pública,  rectificación, cancelación y oposición de sus datos personales. De igual manera, la coordinación deberá ingresar, actualizar y mantener vigentes las obligaciones de  información pública en el portal de transparencia, por lo que dicha unidad se encargará de supervisar que estas funciones y las demás que confiera la normatividad en  materia de Transparencia y Protección de Datos Personales, sean cumplidas por las dependencias de la  administración pública municipal. </w:t>
      </w:r>
    </w:p>
    <w:p w:rsidR="00B0325F" w:rsidRDefault="00B0325F">
      <w:pPr>
        <w:spacing w:line="360" w:lineRule="auto"/>
        <w:ind w:right="-28"/>
        <w:jc w:val="both"/>
        <w:rPr>
          <w:rFonts w:ascii="Palatino Linotype" w:eastAsia="Palatino Linotype" w:hAnsi="Palatino Linotype" w:cs="Palatino Linotype"/>
          <w:sz w:val="22"/>
          <w:szCs w:val="22"/>
        </w:rPr>
      </w:pPr>
    </w:p>
    <w:p w:rsidR="00B0325F" w:rsidRDefault="004D5484">
      <w:pPr>
        <w:spacing w:line="360" w:lineRule="auto"/>
        <w:ind w:right="-28"/>
        <w:jc w:val="both"/>
        <w:rPr>
          <w:rFonts w:ascii="Palatino Linotype" w:eastAsia="Palatino Linotype" w:hAnsi="Palatino Linotype" w:cs="Palatino Linotype"/>
          <w:b/>
          <w:bCs/>
          <w:sz w:val="22"/>
          <w:szCs w:val="22"/>
          <w:u w:val="single"/>
        </w:rPr>
      </w:pPr>
      <w:r>
        <w:rPr>
          <w:rFonts w:ascii="Palatino Linotype" w:eastAsia="Palatino Linotype" w:hAnsi="Palatino Linotype" w:cs="Palatino Linotype"/>
          <w:sz w:val="22"/>
          <w:szCs w:val="22"/>
        </w:rPr>
        <w:t xml:space="preserve">Ahora bien sobre el tema cabe mencionar que el artículo 50 de la normativa en comento refiere que </w:t>
      </w:r>
      <w:r>
        <w:rPr>
          <w:rFonts w:ascii="Palatino Linotype" w:eastAsia="Palatino Linotype" w:hAnsi="Palatino Linotype" w:cs="Palatino Linotype"/>
          <w:b/>
          <w:bCs/>
          <w:sz w:val="22"/>
          <w:szCs w:val="22"/>
          <w:u w:val="single"/>
        </w:rPr>
        <w:t>la Tesorería es el  órgano encargado de la obtención y aplicación del recurso financiero en el municipio de conformidad con las demás disposiciones aplicables.</w:t>
      </w:r>
    </w:p>
    <w:p w:rsidR="00B0325F" w:rsidRDefault="00B0325F">
      <w:pPr>
        <w:spacing w:line="360" w:lineRule="auto"/>
        <w:ind w:right="-28"/>
        <w:jc w:val="both"/>
        <w:rPr>
          <w:rFonts w:ascii="Palatino Linotype" w:eastAsia="Palatino Linotype" w:hAnsi="Palatino Linotype" w:cs="Palatino Linotype"/>
          <w:sz w:val="22"/>
          <w:szCs w:val="22"/>
        </w:rPr>
      </w:pPr>
    </w:p>
    <w:p w:rsidR="00B0325F" w:rsidRDefault="004D5484">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sz w:val="22"/>
          <w:szCs w:val="22"/>
        </w:rPr>
        <w:t xml:space="preserve">Así, se advierte que fue la propia Unidad de Transparencia fue el área que brindo respuesta  y por lo tanto no cumplió con parte del procedimiento de búsqueda; aunado al hecho de que dicha área refirió que no recibió contestación del área competente, es decir, que no había emitido algún pronunciamiento expreso sobre la información solicitada; </w:t>
      </w:r>
      <w:r>
        <w:rPr>
          <w:rFonts w:ascii="Palatino Linotype" w:eastAsia="Palatino Linotype" w:hAnsi="Palatino Linotype" w:cs="Palatino Linotype"/>
          <w:color w:val="000000"/>
        </w:rPr>
        <w:t>sobre el tema, el artículo 1.8, fracción XIII, del Código Administrativo del Estado de México, establece que para que tenga validez, todo acto administrativo deberá resolver todos los puntos propuestos por los interesados.</w:t>
      </w:r>
    </w:p>
    <w:p w:rsidR="00B0325F" w:rsidRDefault="00B0325F">
      <w:pPr>
        <w:spacing w:line="360" w:lineRule="auto"/>
        <w:jc w:val="both"/>
      </w:pPr>
    </w:p>
    <w:p w:rsidR="00B0325F" w:rsidRDefault="004D5484">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Situación que se robustece, con el Criterio de Interpretación, con clave de control SO/002/2017, del Instituto Nacional de Transparencia, Acceso a la Información y Protección de Datos Personales, el cual establece que todo acto administrativo debe apegarse al </w:t>
      </w:r>
      <w:r>
        <w:rPr>
          <w:rFonts w:ascii="Palatino Linotype" w:eastAsia="Palatino Linotype" w:hAnsi="Palatino Linotype" w:cs="Palatino Linotype"/>
          <w:b/>
          <w:bCs/>
          <w:color w:val="000000"/>
        </w:rPr>
        <w:t>principio de exhaustividad,</w:t>
      </w:r>
      <w:r>
        <w:rPr>
          <w:rFonts w:ascii="Palatino Linotype" w:eastAsia="Palatino Linotype" w:hAnsi="Palatino Linotype" w:cs="Palatino Linotype"/>
          <w:color w:val="000000"/>
        </w:rPr>
        <w:t xml:space="preserve">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rsidR="00B0325F" w:rsidRDefault="00B0325F">
      <w:pPr>
        <w:spacing w:line="360" w:lineRule="auto"/>
        <w:jc w:val="both"/>
        <w:rPr>
          <w:rFonts w:ascii="Palatino Linotype" w:eastAsia="Palatino Linotype" w:hAnsi="Palatino Linotype" w:cs="Palatino Linotype"/>
          <w:color w:val="000000"/>
        </w:rPr>
      </w:pPr>
    </w:p>
    <w:p w:rsidR="00B0325F" w:rsidRDefault="004D5484">
      <w:pP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 xml:space="preserve">En esa tesitura, se concluye que el Sujeto Obligado no satisfizo el derecho de acceso a la información del Solicitante, pues el área competente no se pronunció sobre la información solicitada, lo cual da como resultado que el agravio sea </w:t>
      </w:r>
      <w:r>
        <w:rPr>
          <w:rFonts w:ascii="Palatino Linotype" w:eastAsia="Palatino Linotype" w:hAnsi="Palatino Linotype" w:cs="Palatino Linotype"/>
          <w:b/>
          <w:bCs/>
          <w:color w:val="000000"/>
        </w:rPr>
        <w:t xml:space="preserve">FUNDADO. </w:t>
      </w:r>
    </w:p>
    <w:p w:rsidR="00B0325F" w:rsidRDefault="00B0325F">
      <w:pPr>
        <w:spacing w:line="360" w:lineRule="auto"/>
        <w:jc w:val="both"/>
        <w:rPr>
          <w:rFonts w:ascii="Palatino Linotype" w:eastAsia="Palatino Linotype" w:hAnsi="Palatino Linotype" w:cs="Palatino Linotype"/>
          <w:b/>
          <w:bCs/>
          <w:color w:val="000000"/>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Ahora bien, durante la sustanciación del Medio de Impugnación, la Tesorería omitió pronunciarse y proporcionar los recibos de nómina; por lo que, para atender el </w:t>
      </w:r>
      <w:r>
        <w:rPr>
          <w:rFonts w:ascii="Palatino Linotype" w:eastAsia="Palatino Linotype" w:hAnsi="Palatino Linotype" w:cs="Palatino Linotype"/>
          <w:color w:val="000000"/>
          <w:sz w:val="22"/>
          <w:szCs w:val="22"/>
        </w:rPr>
        <w:lastRenderedPageBreak/>
        <w:t>requerimiento de información, el Sujeto Obligado deberá realizar una búsqueda exhaustiva y razonable en los archivos de la Tesorería, a efecto de que proporcione la información que obre en sus archivos; dicha determinación, toma sustento en el artículo 12 de la Ley de la materia,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esta manera, el derecho de acceso a la información pública se satisface en aquellos casos en que se entregue el soporte documental en el que conste la información solicitada, sin necesidad de elaborar documentos ad hoc; lo cual, de conformidad con en el artículo 160 de la Ley de Transparencia y Acceso a la Información Pública del Estado de México y Municipios, el cual refiere que los sujetos obligados deberán entregar la información que obre en sus archivos. </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tales circunstancias, se concluye que los sujetos obligados únicamente se encuentran constreñidos a proporcionar los documentos que den cuenta de la información solicitada, como obren en sus archivos, sin tener que elaborarlos a las necesidades de la persona Recurrente; por lo que, el Sujeto Obligado deberá entregar los recibos de nómina de agosto de dos mil veinticinco.</w:t>
      </w:r>
    </w:p>
    <w:p w:rsidR="00B0325F" w:rsidRDefault="00B0325F">
      <w:pPr>
        <w:spacing w:line="360" w:lineRule="auto"/>
        <w:jc w:val="both"/>
        <w:rPr>
          <w:rFonts w:ascii="Palatino Linotype" w:eastAsia="Palatino Linotype" w:hAnsi="Palatino Linotype" w:cs="Palatino Linotype"/>
          <w:b/>
          <w:bCs/>
          <w:color w:val="000000"/>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Ahora bien, durante la sustanciación del medio de impugnación el Sujeto Obligado a través de la Tesorería, señaló que era incompetente para conocer de la información del Sistema Municipal para el Desarrollo Integral de la Familia y el Instituto Municipal de Cultura Física y Deporte, al ser Sujetos Obligados distintos en materia de Transparencia.</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ese contexto, los artículos 49, fracción II, 53, fracción III y 167 de la Ley de Transparencia y Acceso a la Información Pública del Estado de México y Municipios, se desprende que las Unidades de Transparencia son responsables de orientar a los particulares respecto de la dependencia, entidad u órgano que pudiera tener la información requerida, </w:t>
      </w:r>
      <w:r>
        <w:rPr>
          <w:rFonts w:ascii="Palatino Linotype" w:eastAsia="Palatino Linotype" w:hAnsi="Palatino Linotype" w:cs="Palatino Linotype"/>
          <w:b/>
          <w:bCs/>
          <w:color w:val="000000"/>
          <w:sz w:val="22"/>
          <w:szCs w:val="22"/>
        </w:rPr>
        <w:t>cuando la misma no sea competencia del sujeto obligado ante el cual se formule la solicitud de acceso.</w:t>
      </w:r>
    </w:p>
    <w:p w:rsidR="00B0325F" w:rsidRDefault="00B0325F">
      <w:pPr>
        <w:spacing w:line="360" w:lineRule="auto"/>
        <w:jc w:val="both"/>
        <w:rPr>
          <w:rFonts w:ascii="Palatino Linotype" w:eastAsia="Palatino Linotype" w:hAnsi="Palatino Linotype" w:cs="Palatino Linotype"/>
          <w:b/>
          <w:bCs/>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Asimismo, que los Comités de Transparencia tienen entre sus atribuciones confirmar, modificar o revocar la </w:t>
      </w:r>
      <w:r>
        <w:rPr>
          <w:rFonts w:ascii="Palatino Linotype" w:eastAsia="Palatino Linotype" w:hAnsi="Palatino Linotype" w:cs="Palatino Linotype"/>
          <w:b/>
          <w:bCs/>
          <w:color w:val="000000"/>
          <w:sz w:val="22"/>
          <w:szCs w:val="22"/>
        </w:rPr>
        <w:t>declaración de incompetencia</w:t>
      </w:r>
      <w:r>
        <w:rPr>
          <w:rFonts w:ascii="Palatino Linotype" w:eastAsia="Palatino Linotype" w:hAnsi="Palatino Linotype" w:cs="Palatino Linotype"/>
          <w:color w:val="000000"/>
          <w:sz w:val="22"/>
          <w:szCs w:val="22"/>
        </w:rPr>
        <w:t xml:space="preserve"> que realicen los titulares de las unidades administrativas.</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esa tesitura, cuando las Unidades de Transparencia determinen </w:t>
      </w:r>
      <w:r>
        <w:rPr>
          <w:rFonts w:ascii="Palatino Linotype" w:eastAsia="Palatino Linotype" w:hAnsi="Palatino Linotype" w:cs="Palatino Linotype"/>
          <w:b/>
          <w:bCs/>
          <w:color w:val="000000"/>
          <w:sz w:val="22"/>
          <w:szCs w:val="22"/>
        </w:rPr>
        <w:t>la notoria incompetencia</w:t>
      </w:r>
      <w:r>
        <w:rPr>
          <w:rFonts w:ascii="Palatino Linotype" w:eastAsia="Palatino Linotype" w:hAnsi="Palatino Linotype" w:cs="Palatino Linotype"/>
          <w:color w:val="000000"/>
          <w:sz w:val="22"/>
          <w:szCs w:val="22"/>
        </w:rPr>
        <w:t xml:space="preserve"> por parte de los sujetos obligados deberán comunicar al solicitante la misma dentro de los tres días posteriores a la recepción de la solicitud. </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Como se logra observar, si bien la Ley de la materia, prevé el supuesto de incompetencia para que los sujetos obligados den atención a solitudes de información, también lo es, que no se precisa en que consiste dicho concepto; sobre dicha situación, según Cabanellas, Guillermo (1993), en el “Diccionario Jurídico Elemental” (p. 32 y 161), precisó los siguientes conceptos:</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numPr>
          <w:ilvl w:val="0"/>
          <w:numId w:val="6"/>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Competencia: </w:t>
      </w:r>
      <w:r>
        <w:rPr>
          <w:rFonts w:ascii="Palatino Linotype" w:eastAsia="Palatino Linotype" w:hAnsi="Palatino Linotype" w:cs="Palatino Linotype"/>
          <w:color w:val="000000"/>
          <w:sz w:val="22"/>
          <w:szCs w:val="22"/>
        </w:rPr>
        <w:t>La capacidad de una autoridad para conocer sobre una materia o asunto.</w:t>
      </w:r>
    </w:p>
    <w:p w:rsidR="00B0325F" w:rsidRDefault="00B0325F">
      <w:pPr>
        <w:spacing w:line="360" w:lineRule="auto"/>
        <w:ind w:left="780"/>
        <w:rPr>
          <w:rFonts w:ascii="Palatino Linotype" w:eastAsia="Palatino Linotype" w:hAnsi="Palatino Linotype" w:cs="Palatino Linotype"/>
          <w:color w:val="000000"/>
          <w:sz w:val="22"/>
          <w:szCs w:val="22"/>
        </w:rPr>
      </w:pPr>
    </w:p>
    <w:p w:rsidR="00B0325F" w:rsidRDefault="004D5484">
      <w:pPr>
        <w:numPr>
          <w:ilvl w:val="0"/>
          <w:numId w:val="6"/>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Incompetencia:</w:t>
      </w:r>
      <w:r>
        <w:rPr>
          <w:rFonts w:ascii="Palatino Linotype" w:eastAsia="Palatino Linotype" w:hAnsi="Palatino Linotype" w:cs="Palatino Linotype"/>
          <w:color w:val="000000"/>
          <w:sz w:val="22"/>
          <w:szCs w:val="22"/>
        </w:rPr>
        <w:t xml:space="preserve"> Falta de Competencia.</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Por lo que, </w:t>
      </w:r>
      <w:r>
        <w:rPr>
          <w:rFonts w:ascii="Palatino Linotype" w:eastAsia="Palatino Linotype" w:hAnsi="Palatino Linotype" w:cs="Palatino Linotype"/>
          <w:b/>
          <w:bCs/>
          <w:color w:val="000000"/>
          <w:sz w:val="22"/>
          <w:szCs w:val="22"/>
        </w:rPr>
        <w:t>la incompetencia</w:t>
      </w:r>
      <w:r>
        <w:rPr>
          <w:rFonts w:ascii="Palatino Linotype" w:eastAsia="Palatino Linotype" w:hAnsi="Palatino Linotype" w:cs="Palatino Linotype"/>
          <w:color w:val="000000"/>
          <w:sz w:val="22"/>
          <w:szCs w:val="22"/>
        </w:rPr>
        <w:t xml:space="preserve">, radica en la incapacidad de una autoridad para conocer de un tema o asunto; en el mismo sentido, conviene traer a cuenta tesis aislada número III.2o.P.11 K, publicada en el Semanario Judicial de la Federación y su Gaceta, Novena Época, Tomo XV, Mayo de 2002, Pág. 1243, ya que precisa lo siguiente: </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 xml:space="preserve">“LEGITIMACIÓN DE FUNCIONARIOS PÚBLICOS. LOS TRIBUNALES DE AMPARO, POR ESTAR VINCULADOS CON EL CONCEPTO DE COMPETENCIA A QUE SE REFIERE EL ARTÍCULO 16 CONSTITUCIONAL, NO PUEDEN CONOCER DE AQUÉLLA. </w:t>
      </w:r>
      <w:r>
        <w:rPr>
          <w:rFonts w:ascii="Palatino Linotype" w:eastAsia="Palatino Linotype" w:hAnsi="Palatino Linotype" w:cs="Palatino Linotype"/>
          <w:i/>
          <w:iCs/>
          <w:color w:val="000000"/>
        </w:rPr>
        <w:t>El artículo </w:t>
      </w:r>
      <w:hyperlink r:id="rId11">
        <w:r>
          <w:rPr>
            <w:rFonts w:ascii="Palatino Linotype" w:eastAsia="Palatino Linotype" w:hAnsi="Palatino Linotype" w:cs="Palatino Linotype"/>
            <w:i/>
            <w:iCs/>
            <w:color w:val="0563C1"/>
            <w:u w:val="single"/>
          </w:rPr>
          <w:t>16 constitucional</w:t>
        </w:r>
      </w:hyperlink>
      <w:r>
        <w:rPr>
          <w:rFonts w:ascii="Palatino Linotype" w:eastAsia="Palatino Linotype" w:hAnsi="Palatino Linotype" w:cs="Palatino Linotype"/>
          <w:i/>
          <w:iCs/>
          <w:color w:val="000000"/>
        </w:rPr>
        <w:t>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la misma manera, resulta necesario traer a colación, Criterio Orientador, de la Segunda Época, con clave de control SO/013/2017, emitido por el entonces Instituto Nacional de Transparencia, Acceso a la Información y Protección de Datos Personales, vigente a la fecha de la solicitud, el cual dispone que la </w:t>
      </w:r>
      <w:r>
        <w:rPr>
          <w:rFonts w:ascii="Palatino Linotype" w:eastAsia="Palatino Linotype" w:hAnsi="Palatino Linotype" w:cs="Palatino Linotype"/>
          <w:b/>
          <w:bCs/>
          <w:color w:val="000000"/>
          <w:sz w:val="22"/>
          <w:szCs w:val="22"/>
        </w:rPr>
        <w:t xml:space="preserve">incompetencia </w:t>
      </w:r>
      <w:r>
        <w:rPr>
          <w:rFonts w:ascii="Palatino Linotype" w:eastAsia="Palatino Linotype" w:hAnsi="Palatino Linotype" w:cs="Palatino Linotype"/>
          <w:color w:val="000000"/>
          <w:sz w:val="22"/>
          <w:szCs w:val="22"/>
        </w:rPr>
        <w:t>implica que, de conformidad con las atribuciones conferidas al Sujeto Obligado, no habría razón por la cual éste deba contar con la información solicitada, en cuyo caso, tendría que orientar al particular para que acuda a la instancia competente.</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color w:val="000000"/>
          <w:sz w:val="22"/>
          <w:szCs w:val="22"/>
        </w:rPr>
        <w:lastRenderedPageBreak/>
        <w:t>En otro orden de ideas, dicho concepto refiere a la ausencia de atribuciones por parte de los Entes sujetos a las Leyes de Transparencia, para contar con la información que se requiere, es decir, se trata de una situación que se dilucida a partir de las facultades atribuidas a éste.</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widowControl w:val="0"/>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Así, se procede analizar si el Sujeto Obligado cuenta con atribuciones para conocer respecto a sus Organismos Públicos Municipales Descentralizados, entre los cuales se encuentran los solicitados, consistentes en el Sistema Municipal para el Desarrollo Integral de la Familia y el Instituto </w:t>
      </w:r>
      <w:proofErr w:type="spellStart"/>
      <w:r>
        <w:rPr>
          <w:rFonts w:ascii="Palatino Linotype" w:eastAsia="Palatino Linotype" w:hAnsi="Palatino Linotype" w:cs="Palatino Linotype"/>
          <w:color w:val="000000"/>
          <w:sz w:val="22"/>
          <w:szCs w:val="22"/>
        </w:rPr>
        <w:t>Municipoal</w:t>
      </w:r>
      <w:proofErr w:type="spellEnd"/>
      <w:r>
        <w:rPr>
          <w:rFonts w:ascii="Palatino Linotype" w:eastAsia="Palatino Linotype" w:hAnsi="Palatino Linotype" w:cs="Palatino Linotype"/>
          <w:color w:val="000000"/>
          <w:sz w:val="22"/>
          <w:szCs w:val="22"/>
        </w:rPr>
        <w:t xml:space="preserve"> de Cultura Física y Deporte.</w:t>
      </w:r>
    </w:p>
    <w:p w:rsidR="00B0325F" w:rsidRDefault="00B0325F">
      <w:pPr>
        <w:widowControl w:val="0"/>
        <w:spacing w:line="360" w:lineRule="auto"/>
        <w:jc w:val="both"/>
        <w:rPr>
          <w:rFonts w:ascii="Palatino Linotype" w:eastAsia="Palatino Linotype" w:hAnsi="Palatino Linotype" w:cs="Palatino Linotype"/>
          <w:color w:val="000000"/>
          <w:sz w:val="22"/>
          <w:szCs w:val="22"/>
        </w:rPr>
      </w:pPr>
    </w:p>
    <w:p w:rsidR="00B0325F" w:rsidRDefault="004D5484">
      <w:p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Al respecto, este instituto verifico el apartado de Directorio de Sujetos Obligados, de la página oficial de este instituto, del cual se advierte que son considerados como sujetos obligados que se encuentran constreñidos a cumplir con las Leyes de Transparencia, al Ayuntamiento y los dos mencionados en el párrafo anterior, tal como se observa a continuación:</w:t>
      </w:r>
    </w:p>
    <w:p w:rsidR="00B0325F" w:rsidRDefault="00B0325F">
      <w:pPr>
        <w:tabs>
          <w:tab w:val="left" w:pos="4962"/>
        </w:tabs>
        <w:spacing w:line="360" w:lineRule="auto"/>
        <w:jc w:val="both"/>
        <w:rPr>
          <w:rFonts w:ascii="Palatino Linotype" w:eastAsia="Palatino Linotype" w:hAnsi="Palatino Linotype" w:cs="Palatino Linotype"/>
          <w:color w:val="000000"/>
          <w:sz w:val="22"/>
          <w:szCs w:val="22"/>
        </w:rPr>
      </w:pPr>
    </w:p>
    <w:p w:rsidR="00B0325F" w:rsidRDefault="004D5484">
      <w:p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rPr>
        <w:drawing>
          <wp:inline distT="0" distB="0" distL="0" distR="0">
            <wp:extent cx="5612130" cy="2076450"/>
            <wp:effectExtent l="0" t="0" r="0" b="0"/>
            <wp:docPr id="168152160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612130" cy="2076450"/>
                    </a:xfrm>
                    <a:prstGeom prst="rect">
                      <a:avLst/>
                    </a:prstGeom>
                    <a:ln/>
                  </pic:spPr>
                </pic:pic>
              </a:graphicData>
            </a:graphic>
          </wp:inline>
        </w:drawing>
      </w:r>
    </w:p>
    <w:p w:rsidR="00B0325F" w:rsidRDefault="004D5484">
      <w:pPr>
        <w:tabs>
          <w:tab w:val="left" w:pos="4962"/>
        </w:tabs>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w:t>
      </w:r>
    </w:p>
    <w:p w:rsidR="00B0325F" w:rsidRDefault="004D5484">
      <w:pPr>
        <w:tabs>
          <w:tab w:val="left" w:pos="4962"/>
        </w:tabs>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rPr>
        <w:lastRenderedPageBreak/>
        <w:drawing>
          <wp:inline distT="0" distB="0" distL="0" distR="0">
            <wp:extent cx="5612130" cy="1883410"/>
            <wp:effectExtent l="0" t="0" r="0" b="0"/>
            <wp:docPr id="168152159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612130" cy="1883410"/>
                    </a:xfrm>
                    <a:prstGeom prst="rect">
                      <a:avLst/>
                    </a:prstGeom>
                    <a:ln/>
                  </pic:spPr>
                </pic:pic>
              </a:graphicData>
            </a:graphic>
          </wp:inline>
        </w:drawing>
      </w:r>
    </w:p>
    <w:p w:rsidR="00B0325F" w:rsidRDefault="004D5484">
      <w:pPr>
        <w:tabs>
          <w:tab w:val="left" w:pos="4962"/>
        </w:tabs>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w:t>
      </w:r>
    </w:p>
    <w:p w:rsidR="00B0325F" w:rsidRDefault="004D5484">
      <w:pPr>
        <w:tabs>
          <w:tab w:val="left" w:pos="4962"/>
        </w:tabs>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rPr>
        <w:drawing>
          <wp:inline distT="0" distB="0" distL="0" distR="0">
            <wp:extent cx="5612130" cy="1389380"/>
            <wp:effectExtent l="0" t="0" r="0" b="0"/>
            <wp:docPr id="16815216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612130" cy="1389380"/>
                    </a:xfrm>
                    <a:prstGeom prst="rect">
                      <a:avLst/>
                    </a:prstGeom>
                    <a:ln/>
                  </pic:spPr>
                </pic:pic>
              </a:graphicData>
            </a:graphic>
          </wp:inline>
        </w:drawing>
      </w:r>
    </w:p>
    <w:p w:rsidR="00B0325F" w:rsidRDefault="00B0325F">
      <w:pPr>
        <w:tabs>
          <w:tab w:val="left" w:pos="4962"/>
        </w:tabs>
        <w:spacing w:line="360" w:lineRule="auto"/>
        <w:jc w:val="center"/>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Además, cabe resaltar, que los </w:t>
      </w:r>
      <w:proofErr w:type="spellStart"/>
      <w:r>
        <w:rPr>
          <w:rFonts w:ascii="Palatino Linotype" w:eastAsia="Palatino Linotype" w:hAnsi="Palatino Linotype" w:cs="Palatino Linotype"/>
          <w:color w:val="000000"/>
          <w:sz w:val="22"/>
          <w:szCs w:val="22"/>
        </w:rPr>
        <w:t>los</w:t>
      </w:r>
      <w:proofErr w:type="spellEnd"/>
      <w:r>
        <w:rPr>
          <w:rFonts w:ascii="Palatino Linotype" w:eastAsia="Palatino Linotype" w:hAnsi="Palatino Linotype" w:cs="Palatino Linotype"/>
          <w:color w:val="000000"/>
          <w:sz w:val="22"/>
          <w:szCs w:val="22"/>
        </w:rPr>
        <w:t xml:space="preserve"> entes mencionados, cuentan con su portal de información, para la publicación de la información que deriva de sus obligaciones de transparencia, como se muestra a continuación:</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rPr>
        <w:lastRenderedPageBreak/>
        <w:drawing>
          <wp:inline distT="0" distB="0" distL="0" distR="0">
            <wp:extent cx="5612130" cy="4217035"/>
            <wp:effectExtent l="0" t="0" r="0" b="0"/>
            <wp:docPr id="168152160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612130" cy="4217035"/>
                    </a:xfrm>
                    <a:prstGeom prst="rect">
                      <a:avLst/>
                    </a:prstGeom>
                    <a:ln/>
                  </pic:spPr>
                </pic:pic>
              </a:graphicData>
            </a:graphic>
          </wp:inline>
        </w:drawing>
      </w:r>
    </w:p>
    <w:p w:rsidR="00B0325F" w:rsidRDefault="00B0325F">
      <w:pPr>
        <w:widowControl w:val="0"/>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Conforme a lo anterior, se logra vislumbrar que el Instituto Municipal de Cultura Física y Deporte y el Sistema Municipal para el Desarrollo Integral de la Familia, son Sujetos Obligados distintos que cuenta con una personalidad jurídica y un patrimonio propio, es decir, su organización y su archivo ya que no depende del Ayuntamiento, por lo que, se logra vislumbrar que el Sujeto Obligado es notoriamente incompetente</w:t>
      </w:r>
      <w:r>
        <w:rPr>
          <w:rFonts w:ascii="Palatino Linotype" w:eastAsia="Palatino Linotype" w:hAnsi="Palatino Linotype" w:cs="Palatino Linotype"/>
          <w:b/>
          <w:bCs/>
          <w:color w:val="000000"/>
          <w:sz w:val="22"/>
          <w:szCs w:val="22"/>
        </w:rPr>
        <w:t xml:space="preserve"> </w:t>
      </w:r>
      <w:r>
        <w:rPr>
          <w:rFonts w:ascii="Palatino Linotype" w:eastAsia="Palatino Linotype" w:hAnsi="Palatino Linotype" w:cs="Palatino Linotype"/>
          <w:color w:val="000000"/>
          <w:sz w:val="22"/>
          <w:szCs w:val="22"/>
        </w:rPr>
        <w:t>para conocer de la información requerida, pues dichos Organismos son Sujetos Obligados distinto y a través de sus áreas competentes tendrá en sus archivos el sueldo de todo su personal.</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Conforme a lo expuesto, se considera que el Sujeto Obligado fue congruente con su respuesta, al señalar que carecía de atribuciones para conocer de lo peticionado; por lo que, </w:t>
      </w:r>
      <w:r>
        <w:rPr>
          <w:rFonts w:ascii="Palatino Linotype" w:eastAsia="Palatino Linotype" w:hAnsi="Palatino Linotype" w:cs="Palatino Linotype"/>
          <w:color w:val="000000"/>
          <w:sz w:val="22"/>
          <w:szCs w:val="22"/>
        </w:rPr>
        <w:lastRenderedPageBreak/>
        <w:t>se concluye que el Ayuntamiento de Acolman, es notoriamente incompetente para conocer de la solicitud de información y, por lo tanto, se tiene por atendido el requerimiento.</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otra parte, la Tesorería Municipal proporcionó la relación de la segunda quincena de julio de dos mil veinticinco, la cual contiene los datos solicitados, tal como lo es el nombre, puesto, sueldo bruto y neto y área adscripción de todos los servidores públicos, se muestra un extracto a continuación:</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rPr>
        <w:drawing>
          <wp:inline distT="0" distB="0" distL="0" distR="0">
            <wp:extent cx="5612130" cy="2118995"/>
            <wp:effectExtent l="0" t="0" r="0" b="0"/>
            <wp:docPr id="168152160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612130" cy="2118995"/>
                    </a:xfrm>
                    <a:prstGeom prst="rect">
                      <a:avLst/>
                    </a:prstGeom>
                    <a:ln/>
                  </pic:spPr>
                </pic:pic>
              </a:graphicData>
            </a:graphic>
          </wp:inline>
        </w:drawing>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Conforme a lo anterior se logra vislumbrar que el Sujeto Obligado proporcionó el documento que daba cuenta de lo solicitado, al </w:t>
      </w:r>
      <w:r>
        <w:rPr>
          <w:rFonts w:ascii="Palatino Linotype" w:eastAsia="Palatino Linotype" w:hAnsi="Palatino Linotype" w:cs="Palatino Linotype"/>
          <w:sz w:val="22"/>
          <w:szCs w:val="22"/>
        </w:rPr>
        <w:t>contener</w:t>
      </w:r>
      <w:r>
        <w:rPr>
          <w:rFonts w:ascii="Palatino Linotype" w:eastAsia="Palatino Linotype" w:hAnsi="Palatino Linotype" w:cs="Palatino Linotype"/>
          <w:color w:val="000000"/>
          <w:sz w:val="22"/>
          <w:szCs w:val="22"/>
        </w:rPr>
        <w:t xml:space="preserve"> las remuneraciones pagadas en la quincena solicitada de todos los servidores públicos; por lo cual cumplió con los artículos 12 y 160 de la Ley de Transparencia y Acceso a la Información Pública del Estado de México y Municipios; sin embargo, los proporcionó en versión pública donde clasificó los siguientes datos:</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Nombre y cargo de servidores públicos adscritos al área de Protección Civil y de Seguridad Pública;</w:t>
      </w:r>
    </w:p>
    <w:p w:rsidR="00B0325F" w:rsidRDefault="004D5484">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Número de empleado o número identificador del área.</w:t>
      </w:r>
    </w:p>
    <w:p w:rsidR="00B0325F" w:rsidRDefault="00B0325F">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lo que, se procede analizar si dichos datos son públicos o privados; para lo cual, cabe mencionar que el artículo 143, fracción I, de la Ley previamente citada, establece que la información privada y los datos personales, concernientes a una persona física o jurídica colectiva identificada o identificable son confidenciales.</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términos de lo expuesto, la documentación y aquellos datos que se consideren confidenciales, serán una limitante del derecho de acceso a la información, siempre y cuando:</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numPr>
          <w:ilvl w:val="0"/>
          <w:numId w:val="1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Se trate de datos personales o información privada; esto es, información concerniente a una persona física o jurídico colectiva y que esta sea identificada o identificable. </w:t>
      </w:r>
    </w:p>
    <w:p w:rsidR="00B0325F" w:rsidRDefault="004D5484">
      <w:pPr>
        <w:numPr>
          <w:ilvl w:val="0"/>
          <w:numId w:val="1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Para la difusión de los datos, se requiera el consentimiento del titular. </w:t>
      </w:r>
    </w:p>
    <w:p w:rsidR="00B0325F" w:rsidRDefault="00B0325F">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numPr>
          <w:ilvl w:val="0"/>
          <w:numId w:val="8"/>
        </w:num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Nombre de servidores públicos</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Al respecto, cabe precisar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Pr>
          <w:rFonts w:ascii="Palatino Linotype" w:eastAsia="Palatino Linotype" w:hAnsi="Palatino Linotype" w:cs="Palatino Linotype"/>
          <w:i/>
          <w:iCs/>
          <w:sz w:val="22"/>
          <w:szCs w:val="22"/>
        </w:rPr>
        <w:t>per se</w:t>
      </w:r>
      <w:r>
        <w:rPr>
          <w:rFonts w:ascii="Palatino Linotype" w:eastAsia="Palatino Linotype" w:hAnsi="Palatino Linotype" w:cs="Palatino Linotype"/>
          <w:sz w:val="22"/>
          <w:szCs w:val="22"/>
        </w:rPr>
        <w:t xml:space="preserve"> es un elemento que hace a una persona física identificada o identificable.</w:t>
      </w:r>
    </w:p>
    <w:p w:rsidR="00B0325F" w:rsidRDefault="00B0325F">
      <w:pPr>
        <w:spacing w:line="360" w:lineRule="auto"/>
        <w:ind w:right="-93"/>
        <w:jc w:val="both"/>
        <w:rPr>
          <w:rFonts w:ascii="Palatino Linotype" w:eastAsia="Palatino Linotype" w:hAnsi="Palatino Linotype" w:cs="Palatino Linotype"/>
          <w:sz w:val="22"/>
          <w:szCs w:val="22"/>
        </w:rPr>
      </w:pPr>
    </w:p>
    <w:p w:rsidR="00B0325F" w:rsidRDefault="004D5484">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contexto, es importante mencionar que si bien es cierto que el nombre de una persona es atributo de la personalidad, de conformidad con la legislación civil, al tratarse de un dato personal hace identificable a su titular, además la Ley de Transparencia y Acceso a la </w:t>
      </w:r>
      <w:r>
        <w:rPr>
          <w:rFonts w:ascii="Palatino Linotype" w:eastAsia="Palatino Linotype" w:hAnsi="Palatino Linotype" w:cs="Palatino Linotype"/>
          <w:sz w:val="22"/>
          <w:szCs w:val="22"/>
        </w:rPr>
        <w:lastRenderedPageBreak/>
        <w:t xml:space="preserve">Información Pública del Estado de México y Municipios ha establecido un régimen de excepción tratándose de </w:t>
      </w:r>
      <w:r>
        <w:rPr>
          <w:rFonts w:ascii="Palatino Linotype" w:eastAsia="Palatino Linotype" w:hAnsi="Palatino Linotype" w:cs="Palatino Linotype"/>
          <w:b/>
          <w:bCs/>
          <w:sz w:val="22"/>
          <w:szCs w:val="22"/>
        </w:rPr>
        <w:t>los nombres de servidores públicos,</w:t>
      </w:r>
      <w:r>
        <w:rPr>
          <w:rFonts w:ascii="Palatino Linotype" w:eastAsia="Palatino Linotype" w:hAnsi="Palatino Linotype" w:cs="Palatino Linotype"/>
          <w:sz w:val="22"/>
          <w:szCs w:val="22"/>
        </w:rPr>
        <w:t xml:space="preserve"> ya que la difusión de dicho dato constituye una obligación de transparencia por parte de los sujetos obligados.</w:t>
      </w:r>
    </w:p>
    <w:p w:rsidR="00B0325F" w:rsidRDefault="00B0325F">
      <w:pPr>
        <w:spacing w:line="360" w:lineRule="auto"/>
        <w:ind w:right="-93"/>
        <w:jc w:val="both"/>
        <w:rPr>
          <w:rFonts w:ascii="Palatino Linotype" w:eastAsia="Palatino Linotype" w:hAnsi="Palatino Linotype" w:cs="Palatino Linotype"/>
          <w:sz w:val="22"/>
          <w:szCs w:val="22"/>
        </w:rPr>
      </w:pPr>
    </w:p>
    <w:p w:rsidR="00B0325F" w:rsidRDefault="004D5484">
      <w:pPr>
        <w:spacing w:line="360" w:lineRule="auto"/>
        <w:ind w:right="-93"/>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 xml:space="preserve">Toma sustento con el artículo 92, fracciones VII y VIII, de la Ley de la materia, el cual establece que los sujetos obligados tienen la obligación de poner a disposición del público y mantener actualizada el directorio y remuneraciones de los servidores públicos, que deberán incluir al menos, entre otros datos, </w:t>
      </w:r>
      <w:r>
        <w:rPr>
          <w:rFonts w:ascii="Palatino Linotype" w:eastAsia="Palatino Linotype" w:hAnsi="Palatino Linotype" w:cs="Palatino Linotype"/>
          <w:b/>
          <w:bCs/>
          <w:sz w:val="22"/>
          <w:szCs w:val="22"/>
        </w:rPr>
        <w:t>el nombre del trabajador.</w:t>
      </w:r>
    </w:p>
    <w:p w:rsidR="00B0325F" w:rsidRDefault="00B0325F">
      <w:pPr>
        <w:spacing w:line="360" w:lineRule="auto"/>
        <w:ind w:right="-93"/>
        <w:jc w:val="both"/>
        <w:rPr>
          <w:rFonts w:ascii="Palatino Linotype" w:eastAsia="Palatino Linotype" w:hAnsi="Palatino Linotype" w:cs="Palatino Linotype"/>
          <w:b/>
          <w:bCs/>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se robustece con los formatos 7 LGT_Art_70_Fr_VII (Directorio) y 8a LGT_Art_70_Fr_VIII (Remuneraciones bruta y neta de todos los(as) servidores(as) públicos(as) de base y de confianza), de los Lineamientos técnicos generales para la publicación, homologación y estandarización de la información de las obligaciones establecidas en el título quinto y en la fracción IV del artículo 31 de la Ley General de Transparencia y Acceso a la Información Pública, dado que establecen que el nombre de los servidores públicos es un dato que se debe publicar, tal como se muestra a continuación:</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rPr>
        <w:drawing>
          <wp:inline distT="0" distB="0" distL="0" distR="0">
            <wp:extent cx="5344651" cy="1695141"/>
            <wp:effectExtent l="0" t="0" r="0" b="0"/>
            <wp:docPr id="168152160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344651" cy="1695141"/>
                    </a:xfrm>
                    <a:prstGeom prst="rect">
                      <a:avLst/>
                    </a:prstGeom>
                    <a:ln/>
                  </pic:spPr>
                </pic:pic>
              </a:graphicData>
            </a:graphic>
          </wp:inline>
        </w:drawing>
      </w:r>
    </w:p>
    <w:p w:rsidR="00B0325F" w:rsidRDefault="00B0325F">
      <w:pPr>
        <w:spacing w:line="360" w:lineRule="auto"/>
        <w:jc w:val="center"/>
        <w:rPr>
          <w:rFonts w:ascii="Palatino Linotype" w:eastAsia="Palatino Linotype" w:hAnsi="Palatino Linotype" w:cs="Palatino Linotype"/>
          <w:sz w:val="22"/>
          <w:szCs w:val="22"/>
        </w:rPr>
      </w:pPr>
    </w:p>
    <w:p w:rsidR="00B0325F" w:rsidRDefault="004D5484">
      <w:pPr>
        <w:spacing w:line="360" w:lineRule="auto"/>
        <w:jc w:val="center"/>
        <w:rPr>
          <w:rFonts w:ascii="Palatino Linotype" w:eastAsia="Palatino Linotype" w:hAnsi="Palatino Linotype" w:cs="Palatino Linotype"/>
          <w:b/>
          <w:bCs/>
          <w:sz w:val="22"/>
          <w:szCs w:val="22"/>
        </w:rPr>
      </w:pPr>
      <w:r>
        <w:rPr>
          <w:rFonts w:ascii="Palatino Linotype" w:eastAsia="Palatino Linotype" w:hAnsi="Palatino Linotype" w:cs="Palatino Linotype"/>
          <w:noProof/>
        </w:rPr>
        <w:lastRenderedPageBreak/>
        <w:drawing>
          <wp:inline distT="0" distB="0" distL="0" distR="0">
            <wp:extent cx="5356786" cy="1435322"/>
            <wp:effectExtent l="0" t="0" r="0" b="0"/>
            <wp:docPr id="168152160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356786" cy="1435322"/>
                    </a:xfrm>
                    <a:prstGeom prst="rect">
                      <a:avLst/>
                    </a:prstGeom>
                    <a:ln/>
                  </pic:spPr>
                </pic:pic>
              </a:graphicData>
            </a:graphic>
          </wp:inline>
        </w:drawing>
      </w:r>
    </w:p>
    <w:p w:rsidR="00B0325F" w:rsidRDefault="00B0325F">
      <w:pPr>
        <w:spacing w:line="360" w:lineRule="auto"/>
        <w:jc w:val="center"/>
        <w:rPr>
          <w:rFonts w:ascii="Palatino Linotype" w:eastAsia="Palatino Linotype" w:hAnsi="Palatino Linotype" w:cs="Palatino Linotype"/>
          <w:b/>
          <w:bCs/>
          <w:sz w:val="22"/>
          <w:szCs w:val="22"/>
        </w:rPr>
      </w:pPr>
    </w:p>
    <w:p w:rsidR="00B0325F" w:rsidRDefault="004D5484">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Situación, que se robustece con el penúltimo párrafo, del artículo 23 de la Ley de Transparencia y Acceso a la Información Pública del Estado de México y Municipios, que precisa que los sujetos obligados, deberá hacer pública, toda aquella información relativa a los montos y las personas a quienes entreguen recursos públicos, lo cual incluye su nombre.</w:t>
      </w:r>
    </w:p>
    <w:p w:rsidR="00B0325F" w:rsidRDefault="00B0325F">
      <w:pPr>
        <w:spacing w:line="360" w:lineRule="auto"/>
        <w:ind w:right="-93"/>
        <w:jc w:val="both"/>
        <w:rPr>
          <w:rFonts w:ascii="Palatino Linotype" w:eastAsia="Palatino Linotype" w:hAnsi="Palatino Linotype" w:cs="Palatino Linotype"/>
          <w:sz w:val="22"/>
          <w:szCs w:val="22"/>
        </w:rPr>
      </w:pPr>
    </w:p>
    <w:p w:rsidR="00B0325F" w:rsidRDefault="004D5484">
      <w:pPr>
        <w:spacing w:line="360" w:lineRule="auto"/>
        <w:ind w:right="-93"/>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 xml:space="preserve">Por lo tanto, la Ley de Transparencia y Acceso a la Información Pública del Estado de México y Municipios, considera que </w:t>
      </w:r>
      <w:r>
        <w:rPr>
          <w:rFonts w:ascii="Palatino Linotype" w:eastAsia="Palatino Linotype" w:hAnsi="Palatino Linotype" w:cs="Palatino Linotype"/>
          <w:b/>
          <w:bCs/>
          <w:sz w:val="22"/>
          <w:szCs w:val="22"/>
        </w:rPr>
        <w:t xml:space="preserve">los datos de servidores públicos </w:t>
      </w:r>
      <w:r>
        <w:rPr>
          <w:rFonts w:ascii="Palatino Linotype" w:eastAsia="Palatino Linotype" w:hAnsi="Palatino Linotype" w:cs="Palatino Linotype"/>
          <w:sz w:val="22"/>
          <w:szCs w:val="22"/>
        </w:rPr>
        <w:t xml:space="preserve">son de naturaleza pública, ya que su publicidad orienta a cumplir los objetivos que persigue la Ley; toda vez, </w:t>
      </w:r>
      <w:r>
        <w:rPr>
          <w:rFonts w:ascii="Palatino Linotype" w:eastAsia="Palatino Linotype" w:hAnsi="Palatino Linotype" w:cs="Palatino Linotype"/>
          <w:b/>
          <w:bCs/>
          <w:sz w:val="22"/>
          <w:szCs w:val="22"/>
        </w:rPr>
        <w:t>que ayuda a transparentar a quienes se les han otorgado recursos públicos, así como, porque razones se les otorgaron dichos montos.</w:t>
      </w:r>
    </w:p>
    <w:p w:rsidR="00B0325F" w:rsidRDefault="00B0325F">
      <w:pPr>
        <w:spacing w:line="360" w:lineRule="auto"/>
        <w:jc w:val="both"/>
        <w:rPr>
          <w:rFonts w:ascii="Palatino Linotype" w:eastAsia="Palatino Linotype" w:hAnsi="Palatino Linotype" w:cs="Palatino Linotype"/>
          <w:b/>
          <w:bCs/>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que, se considera que no procede la clasificación del nombre de los servidores públicos, en términos del artículo 143, fracción I de la Ley de Transparencia y Acceso a la Información Pública del Estado de México y Municipios.</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numPr>
          <w:ilvl w:val="0"/>
          <w:numId w:val="8"/>
        </w:num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Cargo </w:t>
      </w:r>
    </w:p>
    <w:p w:rsidR="00B0325F" w:rsidRDefault="00B0325F">
      <w:pPr>
        <w:spacing w:line="360" w:lineRule="auto"/>
        <w:jc w:val="both"/>
        <w:rPr>
          <w:rFonts w:ascii="Palatino Linotype" w:eastAsia="Palatino Linotype" w:hAnsi="Palatino Linotype" w:cs="Palatino Linotype"/>
          <w:b/>
          <w:bCs/>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principio, es necesario señalar que se le conoce al cargo, al conjunto de funciones o tareas desarrolladas por un trabajador; en otro orden de ideas, es el grupo de responsabilidades, obligaciones y funciones que debe cumplir una persona; por lo que, el cargo es el nombre </w:t>
      </w:r>
      <w:r>
        <w:rPr>
          <w:rFonts w:ascii="Palatino Linotype" w:eastAsia="Palatino Linotype" w:hAnsi="Palatino Linotype" w:cs="Palatino Linotype"/>
          <w:sz w:val="22"/>
          <w:szCs w:val="22"/>
        </w:rPr>
        <w:lastRenderedPageBreak/>
        <w:t>que se le da una plaza dentro de una institución, entidad, dependencia, o cualquier organismo gubernamental.</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otras palabras, el cargo, corresponde al puesto que desempeña un servidor público de acuerdo con su nombramiento; mientras que el área de adscripción es la unidad administrativa en donde realiza o ejecuta sus funciones.</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el artículo 49, fracción II, de la Ley del Trabajo de los Servidores Públicos del Estado y Municipios, establece que los nombramientos, contratos o formato único de Movimientos de Personal, deberán contener entre otras cosas, el cargo para el que fue designado y el área de adscripción.</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conforme al artículo 92, fracción VII, de la Ley de Transparencia y Acceso a la Información Pública del Estado de México y Municipios, el cargo de los servidores públicos es público y los Lineamientos técnicos generales para la publicación, homologación y estandarización de la información de las obligaciones establecidas en el título quinto y en la fracción IV del artículo 31 de la Ley General de Transparencia y Acceso a la Información Pública</w:t>
      </w:r>
    </w:p>
    <w:p w:rsidR="00B0325F" w:rsidRDefault="00B0325F">
      <w:pPr>
        <w:spacing w:line="360" w:lineRule="auto"/>
        <w:ind w:right="-93"/>
        <w:jc w:val="both"/>
        <w:rPr>
          <w:rFonts w:ascii="Palatino Linotype" w:eastAsia="Palatino Linotype" w:hAnsi="Palatino Linotype" w:cs="Palatino Linotype"/>
          <w:sz w:val="22"/>
          <w:szCs w:val="22"/>
        </w:rPr>
      </w:pPr>
    </w:p>
    <w:p w:rsidR="00B0325F" w:rsidRDefault="004D5484">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anterior, se logra observar que los cargos no se </w:t>
      </w:r>
      <w:proofErr w:type="gramStart"/>
      <w:r>
        <w:rPr>
          <w:rFonts w:ascii="Palatino Linotype" w:eastAsia="Palatino Linotype" w:hAnsi="Palatino Linotype" w:cs="Palatino Linotype"/>
          <w:sz w:val="22"/>
          <w:szCs w:val="22"/>
        </w:rPr>
        <w:t>considera</w:t>
      </w:r>
      <w:proofErr w:type="gramEnd"/>
      <w:r>
        <w:rPr>
          <w:rFonts w:ascii="Palatino Linotype" w:eastAsia="Palatino Linotype" w:hAnsi="Palatino Linotype" w:cs="Palatino Linotype"/>
          <w:sz w:val="22"/>
          <w:szCs w:val="22"/>
        </w:rPr>
        <w:t xml:space="preserve"> información confidencial y no actualiza la causal de clasificación establecida en el artículo 143, fracción I de la Ley de Transparencia y Acceso a la Información Pública del Estado de México y Municipios.</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numPr>
          <w:ilvl w:val="0"/>
          <w:numId w:val="9"/>
        </w:numP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Número de trabajador</w:t>
      </w:r>
    </w:p>
    <w:p w:rsidR="00B0325F" w:rsidRDefault="00B0325F">
      <w:pPr>
        <w:spacing w:line="360" w:lineRule="auto"/>
        <w:jc w:val="both"/>
        <w:rPr>
          <w:rFonts w:ascii="Palatino Linotype" w:eastAsia="Palatino Linotype" w:hAnsi="Palatino Linotype" w:cs="Palatino Linotype"/>
          <w:b/>
          <w:bCs/>
          <w:color w:val="000000"/>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En relación, con el número de empleado, clave de trabajo de los servidores públicos o su equivalente, independencia del nombre que reciba, constituye un instrumento de control interno que permite a las dependencias y entidades identificar a sus trabajadores y a estos les facilita la realización de gestiones en su carácter de empleado.</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cuando el número de empleado se integre o de acceso a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toma sustento en el Criterio Orientador, de la Segunda Época, con número de registro SO/006/2019, emitido por el entonces Instituto Nacional de Transparencia, Acceso a la Información y Protección de Datos Personales, el cual se encontraba vigente a la fecha de la solicitud y que establece lo siguiente:</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ind w:left="567" w:right="567" w:firstLine="32"/>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 xml:space="preserve">“Número de empleado. </w:t>
      </w:r>
      <w:r>
        <w:rPr>
          <w:rFonts w:ascii="Palatino Linotype" w:eastAsia="Palatino Linotype" w:hAnsi="Palatino Linotype" w:cs="Palatino Linotype"/>
          <w:i/>
          <w:iCs/>
          <w:color w:val="000000"/>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rsidR="00B0325F" w:rsidRDefault="00B0325F">
      <w:pPr>
        <w:spacing w:line="360" w:lineRule="auto"/>
        <w:jc w:val="both"/>
        <w:rPr>
          <w:rFonts w:ascii="Palatino Linotype" w:eastAsia="Palatino Linotype" w:hAnsi="Palatino Linotype" w:cs="Palatino Linotype"/>
          <w:color w:val="FF0000"/>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se colige que solamente procederá la clasificación del número de empleado, cuando se integre con datos personales de los servidores públicos o funcione como clave de acceso que no requiera una contraseña para ingresar a sistemas o bases de datos.</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sz w:val="22"/>
          <w:szCs w:val="22"/>
        </w:rPr>
        <w:lastRenderedPageBreak/>
        <w:t xml:space="preserve">Por lo que, se logra vislumbrar que, en el presente caso, al desconocer </w:t>
      </w:r>
      <w:proofErr w:type="spellStart"/>
      <w:r>
        <w:rPr>
          <w:rFonts w:ascii="Palatino Linotype" w:eastAsia="Palatino Linotype" w:hAnsi="Palatino Linotype" w:cs="Palatino Linotype"/>
          <w:sz w:val="22"/>
          <w:szCs w:val="22"/>
        </w:rPr>
        <w:t>como</w:t>
      </w:r>
      <w:proofErr w:type="spellEnd"/>
      <w:r>
        <w:rPr>
          <w:rFonts w:ascii="Palatino Linotype" w:eastAsia="Palatino Linotype" w:hAnsi="Palatino Linotype" w:cs="Palatino Linotype"/>
          <w:sz w:val="22"/>
          <w:szCs w:val="22"/>
        </w:rPr>
        <w:t xml:space="preserve"> se conforma el dato, deberá proporcionarlo en el caso que no </w:t>
      </w:r>
      <w:proofErr w:type="spellStart"/>
      <w:r>
        <w:rPr>
          <w:rFonts w:ascii="Palatino Linotype" w:eastAsia="Palatino Linotype" w:hAnsi="Palatino Linotype" w:cs="Palatino Linotype"/>
          <w:sz w:val="22"/>
          <w:szCs w:val="22"/>
        </w:rPr>
        <w:t>de</w:t>
      </w:r>
      <w:proofErr w:type="spellEnd"/>
      <w:r>
        <w:rPr>
          <w:rFonts w:ascii="Palatino Linotype" w:eastAsia="Palatino Linotype" w:hAnsi="Palatino Linotype" w:cs="Palatino Linotype"/>
          <w:sz w:val="22"/>
          <w:szCs w:val="22"/>
        </w:rPr>
        <w:t xml:space="preserve"> cuenta de datos personales y deberá clasificarlo, en el caso, que de acceso a estos, en términos del artículo 143, fracción I, de la Ley de Transparencia y Acceso a la Información Pública del Estado de México y Municipios.</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numPr>
          <w:ilvl w:val="0"/>
          <w:numId w:val="9"/>
        </w:numP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Número identificador de área de </w:t>
      </w:r>
      <w:proofErr w:type="spellStart"/>
      <w:r>
        <w:rPr>
          <w:rFonts w:ascii="Palatino Linotype" w:eastAsia="Palatino Linotype" w:hAnsi="Palatino Linotype" w:cs="Palatino Linotype"/>
          <w:b/>
          <w:bCs/>
          <w:color w:val="000000"/>
          <w:sz w:val="22"/>
          <w:szCs w:val="22"/>
        </w:rPr>
        <w:t>adcripción</w:t>
      </w:r>
      <w:proofErr w:type="spellEnd"/>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Al respecto, dicho dato es un código o clave utilizado para identificar de manera </w:t>
      </w:r>
      <w:proofErr w:type="spellStart"/>
      <w:r>
        <w:rPr>
          <w:rFonts w:ascii="Palatino Linotype" w:eastAsia="Palatino Linotype" w:hAnsi="Palatino Linotype" w:cs="Palatino Linotype"/>
          <w:color w:val="000000"/>
          <w:sz w:val="22"/>
          <w:szCs w:val="22"/>
        </w:rPr>
        <w:t>espécífica</w:t>
      </w:r>
      <w:proofErr w:type="spellEnd"/>
      <w:r>
        <w:rPr>
          <w:rFonts w:ascii="Palatino Linotype" w:eastAsia="Palatino Linotype" w:hAnsi="Palatino Linotype" w:cs="Palatino Linotype"/>
          <w:color w:val="000000"/>
          <w:sz w:val="22"/>
          <w:szCs w:val="22"/>
        </w:rPr>
        <w:t xml:space="preserve"> a una unidad administrativa o área, asignada por una Institución </w:t>
      </w:r>
      <w:proofErr w:type="spellStart"/>
      <w:r>
        <w:rPr>
          <w:rFonts w:ascii="Palatino Linotype" w:eastAsia="Palatino Linotype" w:hAnsi="Palatino Linotype" w:cs="Palatino Linotype"/>
          <w:color w:val="000000"/>
          <w:sz w:val="22"/>
          <w:szCs w:val="22"/>
        </w:rPr>
        <w:t>Públicca</w:t>
      </w:r>
      <w:proofErr w:type="spellEnd"/>
      <w:r>
        <w:rPr>
          <w:rFonts w:ascii="Palatino Linotype" w:eastAsia="Palatino Linotype" w:hAnsi="Palatino Linotype" w:cs="Palatino Linotype"/>
          <w:color w:val="000000"/>
          <w:sz w:val="22"/>
          <w:szCs w:val="22"/>
        </w:rPr>
        <w:t>, por lo que, no da cuenta de datos personales y por lo tanto, no procede la clasificación e</w:t>
      </w:r>
      <w:r>
        <w:rPr>
          <w:rFonts w:ascii="Palatino Linotype" w:eastAsia="Palatino Linotype" w:hAnsi="Palatino Linotype" w:cs="Palatino Linotype"/>
          <w:sz w:val="22"/>
          <w:szCs w:val="22"/>
        </w:rPr>
        <w:t>n términos del artículo 143, fracción I, de la Ley de Transparencia y Acceso a la Información Pública del Estado de México y Municipios</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Ahora bien, de manera oficiosa, se procede analizar los datos personales que pudieran contener los recibos de nómina, conforme a lo siguiente:</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Registro Federal de Contribuyentes (RFC)</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De acuerdo a lo establecido en el artículo en comento, esta clave se compone de trece caracteres alfanuméricos, con datos obtenidos de los apellidos, nombre(s), fecha de nacimiento del titular, más una </w:t>
      </w:r>
      <w:proofErr w:type="spellStart"/>
      <w:r>
        <w:rPr>
          <w:rFonts w:ascii="Palatino Linotype" w:eastAsia="Palatino Linotype" w:hAnsi="Palatino Linotype" w:cs="Palatino Linotype"/>
          <w:color w:val="000000"/>
          <w:sz w:val="22"/>
          <w:szCs w:val="22"/>
        </w:rPr>
        <w:t>homoclave</w:t>
      </w:r>
      <w:proofErr w:type="spellEnd"/>
      <w:r>
        <w:rPr>
          <w:rFonts w:ascii="Palatino Linotype" w:eastAsia="Palatino Linotype" w:hAnsi="Palatino Linotype" w:cs="Palatino Linotype"/>
          <w:color w:val="000000"/>
          <w:sz w:val="22"/>
          <w:szCs w:val="22"/>
        </w:rPr>
        <w:t xml:space="preserve"> que establece el sistema automático del Servicio de Administración Tributaria.</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 anterior, resulta congruente con el Criterio Orientador, de la Segunda Época, con número de registro SO/019/2017, emitido por el entonces Instituto Nacional de Transparencia, Acceso a la Información y Protección de Datos Personales, vigente a la fecha de la solicitud, en el cual se señala lo siguiente:</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“Registro Federal de Contribuyentes (RFC) de personas físicas. El RFC es una clave de carácter fiscal, única e irrepetible, que permite identificar al titular, su edad y fecha de nacimiento, por lo que es un dato personal de carácter confidencial.”</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Número de seguridad social del Instituto de Seguridad Social del Estado de México y Municipios</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numPr>
          <w:ilvl w:val="0"/>
          <w:numId w:val="14"/>
        </w:numPr>
        <w:pBdr>
          <w:top w:val="nil"/>
          <w:left w:val="nil"/>
          <w:bottom w:val="nil"/>
          <w:right w:val="nil"/>
          <w:between w:val="nil"/>
        </w:pBd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Deducciones personales</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Asimismo, hay otras que se generan con motivo de una sentencia judicial, como es la pensión alimenticia que periódicamente se retira de la cuenta de un empleado, a efecto de que sea entregado a un tercero.  </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Por otra parte, respecto al nombre del personal adscrito a la Dirección de Seguridad Pública, es necesario analizar la clasificación del personal operativo, como lo son los policías municipales; al respecto, con relación, los primeros dos datos referidos, el artículo 140, fracción IV, de la Ley de Transparencia y Acceso a la Información Pública del Estado de México y Municipios, homólogo a parte del artículo 113, fracción V de la Ley General de Transparencia y Acceso a la Información Pública, vigente a la fecha de la solicitud, prevé lo siguiente:</w:t>
      </w:r>
    </w:p>
    <w:p w:rsidR="00B0325F" w:rsidRDefault="00B0325F">
      <w:pPr>
        <w:tabs>
          <w:tab w:val="left" w:pos="4962"/>
        </w:tabs>
        <w:spacing w:line="360" w:lineRule="auto"/>
        <w:ind w:left="567" w:right="567"/>
        <w:jc w:val="both"/>
        <w:rPr>
          <w:rFonts w:ascii="Palatino Linotype" w:eastAsia="Palatino Linotype" w:hAnsi="Palatino Linotype" w:cs="Palatino Linotype"/>
          <w:i/>
          <w:iCs/>
          <w:sz w:val="22"/>
          <w:szCs w:val="22"/>
        </w:rPr>
      </w:pPr>
    </w:p>
    <w:p w:rsidR="00B0325F" w:rsidRDefault="004D5484">
      <w:pPr>
        <w:tabs>
          <w:tab w:val="left" w:pos="4962"/>
        </w:tabs>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 “</w:t>
      </w:r>
      <w:r>
        <w:rPr>
          <w:rFonts w:ascii="Palatino Linotype" w:eastAsia="Palatino Linotype" w:hAnsi="Palatino Linotype" w:cs="Palatino Linotype"/>
          <w:b/>
          <w:bCs/>
          <w:i/>
          <w:iCs/>
        </w:rPr>
        <w:t>Artículo 140.</w:t>
      </w:r>
      <w:r>
        <w:rPr>
          <w:rFonts w:ascii="Palatino Linotype" w:eastAsia="Palatino Linotype" w:hAnsi="Palatino Linotype" w:cs="Palatino Linotype"/>
          <w:i/>
          <w:iCs/>
        </w:rPr>
        <w:t xml:space="preserve"> El acceso a la información pública será restringido excepcionalmente, cuando por razones de interés público, ésta sea clasificada como reservada, conforme a los criterios siguientes: </w:t>
      </w:r>
    </w:p>
    <w:p w:rsidR="00B0325F" w:rsidRDefault="004D5484">
      <w:pPr>
        <w:tabs>
          <w:tab w:val="left" w:pos="4962"/>
        </w:tabs>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B0325F" w:rsidRDefault="004D5484">
      <w:pPr>
        <w:tabs>
          <w:tab w:val="left" w:pos="4962"/>
        </w:tabs>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IV. Ponga en riesgo la vida, la seguridad o la salud de una persona física;</w:t>
      </w:r>
    </w:p>
    <w:p w:rsidR="00B0325F" w:rsidRDefault="004D5484">
      <w:pPr>
        <w:tabs>
          <w:tab w:val="left" w:pos="4962"/>
        </w:tabs>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 </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Del precepto legal anteriormente citado se desprende que como información reservada podrá clasificarse aquella cuya publicación pueda poner en riesgo la vida, seguridad o salud de una persona física; para acreditar lo anterior, los Lineamientos Generales vigentes a la fecha de la solicitud, establecen lo siguiente:</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 xml:space="preserve">“Vigésimo tercero. </w:t>
      </w:r>
      <w:r>
        <w:rPr>
          <w:rFonts w:ascii="Palatino Linotype" w:eastAsia="Palatino Linotype" w:hAnsi="Palatino Linotype" w:cs="Palatino Linotype"/>
          <w:i/>
          <w:iCs/>
        </w:rPr>
        <w:t>Para clasificar la información como reservada, de conformidad con el artículo 113, fracción V de la Ley General, será necesario acreditar un vínculo, entre una o varias personas físicas y la información que pueda poner en riesgo su vida, seguridad o salud; especificando cuál de estos bienes jurídicos será afectado, así como el potencial daño o riesgo que causaría su difusión”</w:t>
      </w:r>
    </w:p>
    <w:p w:rsidR="00B0325F" w:rsidRDefault="00B0325F">
      <w:pPr>
        <w:spacing w:line="360" w:lineRule="auto"/>
        <w:ind w:left="567" w:right="567"/>
        <w:jc w:val="both"/>
        <w:rPr>
          <w:rFonts w:ascii="Palatino Linotype" w:eastAsia="Palatino Linotype" w:hAnsi="Palatino Linotype" w:cs="Palatino Linotype"/>
          <w:i/>
          <w:iCs/>
          <w:sz w:val="22"/>
          <w:szCs w:val="22"/>
        </w:rPr>
      </w:pPr>
    </w:p>
    <w:p w:rsidR="00B0325F" w:rsidRDefault="004D5484">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Del Lineamiento referido, se desprende que para clasificar la información como reservada, será necesario acreditar un vínculo, entre la persona física y la información que pueda poner en riesgo su vida, seguridad o salud, es decir, se deben señalar el bien jurídico específico afectado y el potencial de daño o riesgo que causaría su difusión.</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el artículo 81, fracción III, de la Ley de Seguridad del Estado de México, establece lo siguiente:</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“Artículo 81.-</w:t>
      </w:r>
      <w:r>
        <w:rPr>
          <w:rFonts w:ascii="Palatino Linotype" w:eastAsia="Palatino Linotype" w:hAnsi="Palatino Linotype" w:cs="Palatino Linotype"/>
          <w:i/>
          <w:iC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rsidR="00B0325F" w:rsidRDefault="004D5484">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B0325F" w:rsidRDefault="004D5484">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III. La relativa a los servidores públicos integrantes de las instituciones de seguridad pública, cuya revelación pueda poner en riesgo su vida e integridad física con motivo de sus funciones;</w:t>
      </w:r>
    </w:p>
    <w:p w:rsidR="00B0325F" w:rsidRDefault="004D5484">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lastRenderedPageBreak/>
        <w:t>…”</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es de señalar que los datos de servidores públicos, entre los que se encuentran el nombre de los trabajadores, por regla general, son de naturaleza pública, de conformidad con el 92, fracción VII, de la Ley de Transparencia y Acceso a la Información Pública del Estado de México y Municipios.</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No obstante, resulta necesario traer a colación por analogía, el </w:t>
      </w:r>
      <w:r>
        <w:rPr>
          <w:rFonts w:ascii="Palatino Linotype" w:eastAsia="Palatino Linotype" w:hAnsi="Palatino Linotype" w:cs="Palatino Linotype"/>
          <w:color w:val="000000"/>
          <w:sz w:val="22"/>
          <w:szCs w:val="22"/>
        </w:rPr>
        <w:t xml:space="preserve">Criterio Orientador, con número de registro SO/006/2009, de la Primera Época, </w:t>
      </w:r>
      <w:r>
        <w:rPr>
          <w:rFonts w:ascii="Palatino Linotype" w:eastAsia="Palatino Linotype" w:hAnsi="Palatino Linotype" w:cs="Palatino Linotype"/>
          <w:sz w:val="22"/>
          <w:szCs w:val="22"/>
        </w:rPr>
        <w:t>emitido por el entonces Instituto Federal de Acceso a la Información y Protección de Datos ahora Instituto Nacional de Transparencia, Acceso a la Información y Protección de Datos Personales, vigente a la fecha de la solicitud, que establece lo siguiente:</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tabs>
          <w:tab w:val="left" w:pos="4962"/>
        </w:tabs>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“Nombres de servidores públicos dedicados a actividades en materia de seguridad, por excepción pueden considerarse información reservada.</w:t>
      </w:r>
      <w:r>
        <w:rPr>
          <w:rFonts w:ascii="Palatino Linotype" w:eastAsia="Palatino Linotype" w:hAnsi="Palatino Linotype" w:cs="Palatino Linotype"/>
          <w:i/>
          <w:iCs/>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w:t>
      </w:r>
      <w:r>
        <w:rPr>
          <w:rFonts w:ascii="Palatino Linotype" w:eastAsia="Palatino Linotype" w:hAnsi="Palatino Linotype" w:cs="Palatino Linotype"/>
          <w:i/>
          <w:iCs/>
        </w:rPr>
        <w:lastRenderedPageBreak/>
        <w:t>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Además, el Criterio Reiterado 09/24, emitido por el Pleno de este Instituto, precisa que el nombre del personal operativo de seguridad pública debe clasificarse como información reservada, previa acreditación de la prueba de daño, ya que su publicidad podría poner en riesgo la vida, la seguridad o la salud del servidor público, ya que los vuelve plenamente identificables ante grupos delictivos.</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orden de ideas, si bien por regla general los nombres de los trabajadores gubernamentales son información pública de oficio, existe una excepción relativa a </w:t>
      </w:r>
      <w:r>
        <w:rPr>
          <w:rFonts w:ascii="Palatino Linotype" w:eastAsia="Palatino Linotype" w:hAnsi="Palatino Linotype" w:cs="Palatino Linotype"/>
          <w:b/>
          <w:bCs/>
          <w:sz w:val="22"/>
          <w:szCs w:val="22"/>
        </w:rPr>
        <w:t>aquellos que realicen actividades operativas en materia de seguridad,</w:t>
      </w:r>
      <w:r>
        <w:rPr>
          <w:rFonts w:ascii="Palatino Linotype" w:eastAsia="Palatino Linotype" w:hAnsi="Palatino Linotype" w:cs="Palatino Linotype"/>
          <w:sz w:val="22"/>
          <w:szCs w:val="22"/>
        </w:rPr>
        <w:t xml:space="preserve"> como es el caso de los elementos operativos y la policía municipal.</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el artículo 6°, fracciones XI y XII de dicho ordenamiento jurídico, establece los siguientes conceptos:</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numPr>
          <w:ilvl w:val="0"/>
          <w:numId w:val="12"/>
        </w:num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Instituciones Policiales: </w:t>
      </w:r>
      <w:r>
        <w:rPr>
          <w:rFonts w:ascii="Palatino Linotype" w:eastAsia="Palatino Linotype" w:hAnsi="Palatino Linotype" w:cs="Palatino Linotype"/>
          <w:sz w:val="22"/>
          <w:szCs w:val="22"/>
        </w:rPr>
        <w:t xml:space="preserve">Son los cuerpos de policía, de vigilancia y custodia de los establecimientos penitenciarios, detención preventiva, centros de arraigo y en general, </w:t>
      </w:r>
      <w:r>
        <w:rPr>
          <w:rFonts w:ascii="Palatino Linotype" w:eastAsia="Palatino Linotype" w:hAnsi="Palatino Linotype" w:cs="Palatino Linotype"/>
          <w:b/>
          <w:bCs/>
          <w:sz w:val="22"/>
          <w:szCs w:val="22"/>
        </w:rPr>
        <w:t>todas las dependencias encargadas de la seguridad pública a nivel</w:t>
      </w:r>
      <w:r>
        <w:rPr>
          <w:rFonts w:ascii="Palatino Linotype" w:eastAsia="Palatino Linotype" w:hAnsi="Palatino Linotype" w:cs="Palatino Linotype"/>
          <w:sz w:val="22"/>
          <w:szCs w:val="22"/>
        </w:rPr>
        <w:t xml:space="preserve"> estatal y </w:t>
      </w:r>
      <w:r>
        <w:rPr>
          <w:rFonts w:ascii="Palatino Linotype" w:eastAsia="Palatino Linotype" w:hAnsi="Palatino Linotype" w:cs="Palatino Linotype"/>
          <w:b/>
          <w:bCs/>
          <w:sz w:val="22"/>
          <w:szCs w:val="22"/>
        </w:rPr>
        <w:t>municipal.</w:t>
      </w:r>
    </w:p>
    <w:p w:rsidR="00B0325F" w:rsidRDefault="00B0325F">
      <w:pPr>
        <w:spacing w:line="360" w:lineRule="auto"/>
        <w:ind w:left="720"/>
        <w:jc w:val="both"/>
        <w:rPr>
          <w:rFonts w:ascii="Palatino Linotype" w:eastAsia="Palatino Linotype" w:hAnsi="Palatino Linotype" w:cs="Palatino Linotype"/>
          <w:sz w:val="22"/>
          <w:szCs w:val="22"/>
        </w:rPr>
      </w:pPr>
    </w:p>
    <w:p w:rsidR="00B0325F" w:rsidRDefault="004D5484">
      <w:pPr>
        <w:numPr>
          <w:ilvl w:val="0"/>
          <w:numId w:val="12"/>
        </w:num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Instituciones de Seguridad Pública: </w:t>
      </w:r>
      <w:r>
        <w:rPr>
          <w:rFonts w:ascii="Palatino Linotype" w:eastAsia="Palatino Linotype" w:hAnsi="Palatino Linotype" w:cs="Palatino Linotype"/>
          <w:sz w:val="22"/>
          <w:szCs w:val="22"/>
        </w:rPr>
        <w:t xml:space="preserve">Instituciones Policiales, Procuración de Justicia, Sistema Penitenciario y </w:t>
      </w:r>
      <w:r>
        <w:rPr>
          <w:rFonts w:ascii="Palatino Linotype" w:eastAsia="Palatino Linotype" w:hAnsi="Palatino Linotype" w:cs="Palatino Linotype"/>
          <w:b/>
          <w:bCs/>
          <w:sz w:val="22"/>
          <w:szCs w:val="22"/>
        </w:rPr>
        <w:t xml:space="preserve">dependencias encargadas de la seguridad pública a nivel </w:t>
      </w:r>
      <w:r>
        <w:rPr>
          <w:rFonts w:ascii="Palatino Linotype" w:eastAsia="Palatino Linotype" w:hAnsi="Palatino Linotype" w:cs="Palatino Linotype"/>
          <w:sz w:val="22"/>
          <w:szCs w:val="22"/>
        </w:rPr>
        <w:t xml:space="preserve">estatal y </w:t>
      </w:r>
      <w:r>
        <w:rPr>
          <w:rFonts w:ascii="Palatino Linotype" w:eastAsia="Palatino Linotype" w:hAnsi="Palatino Linotype" w:cs="Palatino Linotype"/>
          <w:b/>
          <w:bCs/>
          <w:sz w:val="22"/>
          <w:szCs w:val="22"/>
        </w:rPr>
        <w:t>municipal.</w:t>
      </w:r>
    </w:p>
    <w:p w:rsidR="00B0325F" w:rsidRDefault="00B0325F">
      <w:pPr>
        <w:spacing w:line="360" w:lineRule="auto"/>
        <w:jc w:val="both"/>
        <w:rPr>
          <w:rFonts w:ascii="Palatino Linotype" w:eastAsia="Palatino Linotype" w:hAnsi="Palatino Linotype" w:cs="Palatino Linotype"/>
          <w:b/>
          <w:bCs/>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puede deducir que la</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sz w:val="22"/>
          <w:szCs w:val="22"/>
        </w:rPr>
        <w:t>Dirección de Seguridad Pública y Seguridad Vial, es una institución de seguridad pública, pues tiene como atribución principal, la prevención de delitos y proteger a las personas, sus propiedades, posesiones y derechos.</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tabs>
          <w:tab w:val="left" w:pos="4962"/>
        </w:tabs>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Además, el Instructivo de llenado del Formato “Personal de Seguridad Pública”, del Secretariado Ejecutivo del Sistema Nacional de Seguridad Pública, establece que los elementos operativos de seguridad pública, son aquellos que desempeñan funciones de campo (policiacas, especializadas o equivalentes y que no </w:t>
      </w:r>
      <w:r>
        <w:rPr>
          <w:rFonts w:ascii="Palatino Linotype" w:eastAsia="Palatino Linotype" w:hAnsi="Palatino Linotype" w:cs="Palatino Linotype"/>
          <w:b/>
          <w:bCs/>
          <w:sz w:val="22"/>
          <w:szCs w:val="22"/>
        </w:rPr>
        <w:t>desempeña funciones de mando</w:t>
      </w:r>
      <w:r>
        <w:rPr>
          <w:rFonts w:ascii="Palatino Linotype" w:eastAsia="Palatino Linotype" w:hAnsi="Palatino Linotype" w:cs="Palatino Linotype"/>
          <w:sz w:val="22"/>
          <w:szCs w:val="22"/>
        </w:rPr>
        <w:t xml:space="preserve">), entre los cuales, se encuentra </w:t>
      </w:r>
      <w:r>
        <w:rPr>
          <w:rFonts w:ascii="Palatino Linotype" w:eastAsia="Palatino Linotype" w:hAnsi="Palatino Linotype" w:cs="Palatino Linotype"/>
          <w:b/>
          <w:bCs/>
          <w:sz w:val="22"/>
          <w:szCs w:val="22"/>
        </w:rPr>
        <w:t>la Policía Municipal</w:t>
      </w:r>
      <w:r>
        <w:rPr>
          <w:rFonts w:ascii="Palatino Linotype" w:eastAsia="Palatino Linotype" w:hAnsi="Palatino Linotype" w:cs="Palatino Linotype"/>
          <w:sz w:val="22"/>
          <w:szCs w:val="22"/>
        </w:rPr>
        <w:t>.</w:t>
      </w:r>
    </w:p>
    <w:p w:rsidR="00B0325F" w:rsidRDefault="00B0325F">
      <w:pPr>
        <w:tabs>
          <w:tab w:val="left" w:pos="4962"/>
        </w:tabs>
        <w:spacing w:line="360" w:lineRule="auto"/>
        <w:ind w:right="-28"/>
        <w:jc w:val="both"/>
        <w:rPr>
          <w:rFonts w:ascii="Palatino Linotype" w:eastAsia="Palatino Linotype" w:hAnsi="Palatino Linotype" w:cs="Palatino Linotype"/>
          <w:sz w:val="22"/>
          <w:szCs w:val="22"/>
        </w:rPr>
      </w:pPr>
    </w:p>
    <w:p w:rsidR="00B0325F" w:rsidRDefault="004D5484">
      <w:pPr>
        <w:tabs>
          <w:tab w:val="left" w:pos="4962"/>
        </w:tabs>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Asimismo, se advierte que las Instituciones Policiales, se conforman del personal </w:t>
      </w:r>
      <w:r>
        <w:rPr>
          <w:rFonts w:ascii="Palatino Linotype" w:eastAsia="Palatino Linotype" w:hAnsi="Palatino Linotype" w:cs="Palatino Linotype"/>
          <w:b/>
          <w:bCs/>
          <w:sz w:val="22"/>
          <w:szCs w:val="22"/>
        </w:rPr>
        <w:t>administrativo,</w:t>
      </w:r>
      <w:r>
        <w:rPr>
          <w:rFonts w:ascii="Palatino Linotype" w:eastAsia="Palatino Linotype" w:hAnsi="Palatino Linotype" w:cs="Palatino Linotype"/>
          <w:sz w:val="22"/>
          <w:szCs w:val="22"/>
        </w:rPr>
        <w:t xml:space="preserve"> que son los trabajadores de apoyo (chofer, personal de mantenimiento, servicios generales y área secretaria); </w:t>
      </w:r>
      <w:r>
        <w:rPr>
          <w:rFonts w:ascii="Palatino Linotype" w:eastAsia="Palatino Linotype" w:hAnsi="Palatino Linotype" w:cs="Palatino Linotype"/>
          <w:b/>
          <w:bCs/>
          <w:sz w:val="22"/>
          <w:szCs w:val="22"/>
        </w:rPr>
        <w:t>así como, el personal de mando</w:t>
      </w:r>
      <w:r>
        <w:rPr>
          <w:rFonts w:ascii="Palatino Linotype" w:eastAsia="Palatino Linotype" w:hAnsi="Palatino Linotype" w:cs="Palatino Linotype"/>
          <w:sz w:val="22"/>
          <w:szCs w:val="22"/>
        </w:rPr>
        <w:t xml:space="preserve"> (alto, medio y superior), que es aquel que realiza funciones de dirección, coordinación y supervisión, por lo cual, corresponde a aquel que tenga trabajadores a su cargo.</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dar a conocer el nombre de las personas, vinculado con el hecho que son policías,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Sin embargo, por lo que hace al </w:t>
      </w:r>
      <w:r>
        <w:rPr>
          <w:rFonts w:ascii="Palatino Linotype" w:eastAsia="Palatino Linotype" w:hAnsi="Palatino Linotype" w:cs="Palatino Linotype"/>
          <w:b/>
          <w:bCs/>
          <w:sz w:val="22"/>
          <w:szCs w:val="22"/>
        </w:rPr>
        <w:t>personal administrativo y los mandos medios y superiores</w:t>
      </w:r>
      <w:r>
        <w:rPr>
          <w:rFonts w:ascii="Palatino Linotype" w:eastAsia="Palatino Linotype" w:hAnsi="Palatino Linotype" w:cs="Palatino Linotype"/>
          <w:sz w:val="22"/>
          <w:szCs w:val="22"/>
        </w:rPr>
        <w:t xml:space="preserve">, se advierte que estos no realizan funciones operativas, sino únicamente realizan actividades de apoyo y dirección respectivamente, por lo que, no procede la causal de reserva </w:t>
      </w:r>
      <w:r>
        <w:rPr>
          <w:rFonts w:ascii="Palatino Linotype" w:eastAsia="Palatino Linotype" w:hAnsi="Palatino Linotype" w:cs="Palatino Linotype"/>
          <w:sz w:val="22"/>
          <w:szCs w:val="22"/>
        </w:rPr>
        <w:lastRenderedPageBreak/>
        <w:t>establecida en el artículo 140, fracción IV, de la Ley de la materia, pues por el tipo de funciones que realizan, no se pone en peligro su vida, seguridad o salud de este tipo de trabajadores.</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tal situación, se considera que dar a conocer el nombre de los elementos operativos en materia de seguridad, como lo son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toma relevancia pues los individuos con pretensiones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vulnerando así, el interés general.</w:t>
      </w: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tales consideraciones, </w:t>
      </w:r>
      <w:r>
        <w:rPr>
          <w:rFonts w:ascii="Palatino Linotype" w:eastAsia="Palatino Linotype" w:hAnsi="Palatino Linotype" w:cs="Palatino Linotype"/>
          <w:b/>
          <w:bCs/>
          <w:sz w:val="22"/>
          <w:szCs w:val="22"/>
        </w:rPr>
        <w:t>resulta procedente la reserva del nombre de los elementos operativos adscritos a la</w:t>
      </w:r>
      <w:r>
        <w:rPr>
          <w:rFonts w:ascii="Palatino Linotype" w:eastAsia="Palatino Linotype" w:hAnsi="Palatino Linotype" w:cs="Palatino Linotype"/>
          <w:b/>
          <w:bCs/>
          <w:color w:val="000000"/>
          <w:sz w:val="22"/>
          <w:szCs w:val="22"/>
        </w:rPr>
        <w:t xml:space="preserve"> Dirección de Seguridad Pública y Seguridad Vial</w:t>
      </w:r>
      <w:r>
        <w:rPr>
          <w:rFonts w:ascii="Palatino Linotype" w:eastAsia="Palatino Linotype" w:hAnsi="Palatino Linotype" w:cs="Palatino Linotype"/>
          <w:b/>
          <w:bCs/>
          <w:sz w:val="22"/>
          <w:szCs w:val="22"/>
        </w:rPr>
        <w:t xml:space="preserve">, en términos del artículo 140, fracción IV, de </w:t>
      </w:r>
      <w:proofErr w:type="spellStart"/>
      <w:r>
        <w:rPr>
          <w:rFonts w:ascii="Palatino Linotype" w:eastAsia="Palatino Linotype" w:hAnsi="Palatino Linotype" w:cs="Palatino Linotype"/>
          <w:b/>
          <w:bCs/>
          <w:sz w:val="22"/>
          <w:szCs w:val="22"/>
        </w:rPr>
        <w:t>de</w:t>
      </w:r>
      <w:proofErr w:type="spellEnd"/>
      <w:r>
        <w:rPr>
          <w:rFonts w:ascii="Palatino Linotype" w:eastAsia="Palatino Linotype" w:hAnsi="Palatino Linotype" w:cs="Palatino Linotype"/>
          <w:b/>
          <w:bCs/>
          <w:sz w:val="22"/>
          <w:szCs w:val="22"/>
        </w:rPr>
        <w:t xml:space="preserve"> la Ley de Transparencia y Acceso a la Información Pública del Estado de México y Municipios. No obstante, no podrá clasificar al personal administrativo, ni los mandos medios o superiores de dicha área.</w:t>
      </w:r>
    </w:p>
    <w:p w:rsidR="00B0325F" w:rsidRDefault="00B0325F">
      <w:pPr>
        <w:spacing w:line="360" w:lineRule="auto"/>
        <w:jc w:val="both"/>
        <w:rPr>
          <w:rFonts w:ascii="Palatino Linotype" w:eastAsia="Palatino Linotype" w:hAnsi="Palatino Linotype" w:cs="Palatino Linotype"/>
          <w:b/>
          <w:bCs/>
          <w:sz w:val="22"/>
          <w:szCs w:val="22"/>
        </w:rPr>
      </w:pPr>
    </w:p>
    <w:p w:rsidR="00B0325F" w:rsidRDefault="004D5484">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Sobre el particular, cabe traer a colación el artículo 141 de la Ley de Transparencia y Acceso a la Información Pública del Estado de México y Municipios, que establece que las causales de reserva se deberán fundar y motivar, a través de la aplicación de la prueba de daño </w:t>
      </w:r>
      <w:r>
        <w:rPr>
          <w:rFonts w:ascii="Palatino Linotype" w:eastAsia="Palatino Linotype" w:hAnsi="Palatino Linotype" w:cs="Palatino Linotype"/>
          <w:sz w:val="22"/>
          <w:szCs w:val="22"/>
        </w:rPr>
        <w:lastRenderedPageBreak/>
        <w:t>establecida en el artículo 129 de dicho ordenamiento, que se debe justificar de la siguiente manera:</w:t>
      </w:r>
    </w:p>
    <w:p w:rsidR="00B0325F" w:rsidRDefault="00B0325F">
      <w:pPr>
        <w:tabs>
          <w:tab w:val="left" w:pos="4962"/>
        </w:tabs>
        <w:spacing w:line="360" w:lineRule="auto"/>
        <w:jc w:val="both"/>
        <w:rPr>
          <w:rFonts w:ascii="Palatino Linotype" w:eastAsia="Palatino Linotype" w:hAnsi="Palatino Linotype" w:cs="Palatino Linotype"/>
          <w:sz w:val="22"/>
          <w:szCs w:val="22"/>
        </w:rPr>
      </w:pPr>
    </w:p>
    <w:p w:rsidR="00B0325F" w:rsidRDefault="004D5484">
      <w:pPr>
        <w:numPr>
          <w:ilvl w:val="0"/>
          <w:numId w:val="11"/>
        </w:numPr>
        <w:tabs>
          <w:tab w:val="left" w:pos="4962"/>
        </w:tabs>
        <w:spacing w:line="360" w:lineRule="auto"/>
        <w:ind w:left="709" w:hanging="43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 divulgación de la información representa un riesgo real, demostrable e identificable de perjuicio significativo al interés público o a la seguridad nacional.</w:t>
      </w:r>
    </w:p>
    <w:p w:rsidR="00B0325F" w:rsidRDefault="004D5484">
      <w:pPr>
        <w:numPr>
          <w:ilvl w:val="0"/>
          <w:numId w:val="11"/>
        </w:numPr>
        <w:tabs>
          <w:tab w:val="left" w:pos="4962"/>
        </w:tabs>
        <w:spacing w:line="360" w:lineRule="auto"/>
        <w:ind w:left="709" w:hanging="43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riesgo de perjuicio supera el interés público general de que se difunda.</w:t>
      </w:r>
    </w:p>
    <w:p w:rsidR="00B0325F" w:rsidRDefault="004D5484">
      <w:pPr>
        <w:numPr>
          <w:ilvl w:val="0"/>
          <w:numId w:val="11"/>
        </w:numPr>
        <w:tabs>
          <w:tab w:val="left" w:pos="4962"/>
        </w:tabs>
        <w:spacing w:line="360" w:lineRule="auto"/>
        <w:ind w:left="709" w:hanging="43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Que la limitación se adecua al principio de proporcionalidad y representa el medio menos restrictivo disponible para evitar el perjuicio.</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cinco años. </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versiones públicas, deberá clasificar el nombre de los elementos operativos de la</w:t>
      </w:r>
      <w:r>
        <w:rPr>
          <w:rFonts w:ascii="Palatino Linotype" w:eastAsia="Palatino Linotype" w:hAnsi="Palatino Linotype" w:cs="Palatino Linotype"/>
          <w:color w:val="000000"/>
          <w:sz w:val="22"/>
          <w:szCs w:val="22"/>
        </w:rPr>
        <w:t xml:space="preserve"> Dirección de Seguridad Municipal</w:t>
      </w:r>
      <w:r>
        <w:rPr>
          <w:rFonts w:ascii="Palatino Linotype" w:eastAsia="Palatino Linotype" w:hAnsi="Palatino Linotype" w:cs="Palatino Linotype"/>
          <w:sz w:val="22"/>
          <w:szCs w:val="22"/>
        </w:rPr>
        <w:t>, de manera fundada y motivada, mediante la respectiva prueba de daño, y deberá proporcionar la información del personal administrativo y mandos medios y superiores de dicha área.</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Conforme a lo anterior, el Sujeto Obligado deberá proporcionar la relación entregada en Informe Justificado, en donde únicamente podrá clasificar el nombre del personal operativo en materia de seguridad; además, de proporcionar los recibos de nómina, en donde teste los datos, conforme a lo analizado en párrafos anteriores.</w:t>
      </w:r>
    </w:p>
    <w:p w:rsidR="00B0325F" w:rsidRDefault="00B0325F">
      <w:pPr>
        <w:tabs>
          <w:tab w:val="center" w:pos="4522"/>
        </w:tabs>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Ahora bien, de la revisión de los documentos entregados en Informe Justificado, se advierte que se pueden obtener los datos clasificados al copiar y pegar,</w:t>
      </w:r>
      <w:r>
        <w:rPr>
          <w:rFonts w:ascii="Palatino Linotype" w:eastAsia="Palatino Linotype" w:hAnsi="Palatino Linotype" w:cs="Palatino Linotype"/>
          <w:color w:val="000000"/>
          <w:sz w:val="22"/>
          <w:szCs w:val="22"/>
        </w:rPr>
        <w:t xml:space="preserve">  por lo que es necesario traer a colación los Lineamientos Generales en materia de clasificación y desclasificación de la Información, así como para la elaboración de versiones públicas, establecen los requisitos que deben cumplir las versiones públicas, tal como se muestra a continuación:</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numPr>
          <w:ilvl w:val="0"/>
          <w:numId w:val="15"/>
        </w:numP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(Quincuagésimo octavo): </w:t>
      </w:r>
      <w:r>
        <w:rPr>
          <w:rFonts w:ascii="Palatino Linotype" w:eastAsia="Palatino Linotype" w:hAnsi="Palatino Linotype" w:cs="Palatino Linotype"/>
          <w:color w:val="000000"/>
          <w:sz w:val="22"/>
          <w:szCs w:val="22"/>
        </w:rPr>
        <w:t>Los sujetos obligados garantizarán que los sistemas o medios empleados para eliminar la información en las versiones públicas</w:t>
      </w:r>
      <w:r>
        <w:rPr>
          <w:rFonts w:ascii="Palatino Linotype" w:eastAsia="Palatino Linotype" w:hAnsi="Palatino Linotype" w:cs="Palatino Linotype"/>
          <w:b/>
          <w:bCs/>
          <w:color w:val="000000"/>
          <w:sz w:val="22"/>
          <w:szCs w:val="22"/>
        </w:rPr>
        <w:t xml:space="preserve"> no permitan la recuperación o visualización de la misma.</w:t>
      </w:r>
    </w:p>
    <w:p w:rsidR="00B0325F" w:rsidRDefault="00B0325F">
      <w:pPr>
        <w:spacing w:line="360" w:lineRule="auto"/>
        <w:jc w:val="both"/>
        <w:rPr>
          <w:rFonts w:ascii="Palatino Linotype" w:eastAsia="Palatino Linotype" w:hAnsi="Palatino Linotype" w:cs="Palatino Linotype"/>
          <w:b/>
          <w:bCs/>
          <w:color w:val="000000"/>
          <w:sz w:val="22"/>
          <w:szCs w:val="22"/>
        </w:rPr>
      </w:pPr>
    </w:p>
    <w:p w:rsidR="00B0325F" w:rsidRDefault="004D5484">
      <w:pPr>
        <w:numPr>
          <w:ilvl w:val="0"/>
          <w:numId w:val="15"/>
        </w:numP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(Sexagésimo): </w:t>
      </w:r>
      <w:r>
        <w:rPr>
          <w:rFonts w:ascii="Palatino Linotype" w:eastAsia="Palatino Linotype" w:hAnsi="Palatino Linotype" w:cs="Palatino Linotype"/>
          <w:color w:val="000000"/>
          <w:sz w:val="22"/>
          <w:szCs w:val="22"/>
        </w:rPr>
        <w:t>En el caso de que el documento se posea en formato electrónico, deberá crearse un nuevo archivo electrónico para que sobre el mismo se elabore una versión pública, eliminando las partes o secciones clasificadas, de acuerdo con el modelo para testar documentos electrónicos, denominado “Modelo para testar documentos electrónicos”, mismo que se reproduce a continuación:</w:t>
      </w:r>
    </w:p>
    <w:p w:rsidR="00B0325F" w:rsidRDefault="00B0325F">
      <w:pPr>
        <w:spacing w:line="360" w:lineRule="auto"/>
        <w:jc w:val="both"/>
        <w:rPr>
          <w:rFonts w:ascii="Palatino Linotype" w:eastAsia="Palatino Linotype" w:hAnsi="Palatino Linotype" w:cs="Palatino Linotype"/>
          <w:b/>
          <w:bCs/>
          <w:color w:val="000000"/>
          <w:sz w:val="22"/>
          <w:szCs w:val="22"/>
        </w:rPr>
      </w:pPr>
    </w:p>
    <w:p w:rsidR="00B0325F" w:rsidRDefault="004D5484">
      <w:pPr>
        <w:spacing w:line="360" w:lineRule="auto"/>
        <w:jc w:val="center"/>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noProof/>
          <w:color w:val="000000"/>
          <w:sz w:val="22"/>
          <w:szCs w:val="22"/>
        </w:rPr>
        <w:lastRenderedPageBreak/>
        <w:drawing>
          <wp:inline distT="0" distB="0" distL="0" distR="0">
            <wp:extent cx="2667000" cy="3390900"/>
            <wp:effectExtent l="0" t="0" r="0" b="0"/>
            <wp:docPr id="1681521605" name="image7.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Texto&#10;&#10;Descripción generada automáticamente"/>
                    <pic:cNvPicPr preferRelativeResize="0"/>
                  </pic:nvPicPr>
                  <pic:blipFill>
                    <a:blip r:embed="rId19"/>
                    <a:srcRect/>
                    <a:stretch>
                      <a:fillRect/>
                    </a:stretch>
                  </pic:blipFill>
                  <pic:spPr>
                    <a:xfrm>
                      <a:off x="0" y="0"/>
                      <a:ext cx="2667000" cy="3390900"/>
                    </a:xfrm>
                    <a:prstGeom prst="rect">
                      <a:avLst/>
                    </a:prstGeom>
                    <a:ln/>
                  </pic:spPr>
                </pic:pic>
              </a:graphicData>
            </a:graphic>
          </wp:inline>
        </w:drawing>
      </w:r>
    </w:p>
    <w:p w:rsidR="00B0325F" w:rsidRDefault="00B0325F">
      <w:pPr>
        <w:spacing w:line="360" w:lineRule="auto"/>
        <w:jc w:val="center"/>
        <w:rPr>
          <w:rFonts w:ascii="Palatino Linotype" w:eastAsia="Palatino Linotype" w:hAnsi="Palatino Linotype" w:cs="Palatino Linotype"/>
          <w:b/>
          <w:bCs/>
          <w:color w:val="000000"/>
          <w:sz w:val="22"/>
          <w:szCs w:val="22"/>
        </w:rPr>
      </w:pPr>
    </w:p>
    <w:p w:rsidR="00B0325F" w:rsidRDefault="004D5484">
      <w:pPr>
        <w:numPr>
          <w:ilvl w:val="0"/>
          <w:numId w:val="15"/>
        </w:numP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 xml:space="preserve">(Sexagésimo primero): </w:t>
      </w:r>
      <w:r>
        <w:rPr>
          <w:rFonts w:ascii="Palatino Linotype" w:eastAsia="Palatino Linotype" w:hAnsi="Palatino Linotype" w:cs="Palatino Linotype"/>
          <w:color w:val="000000"/>
          <w:sz w:val="22"/>
          <w:szCs w:val="22"/>
        </w:rPr>
        <w:t xml:space="preserve">En la parte del documento donde se hubiese ubicado originalmente el texto eliminado, deberá insertarse un cuadro de texto en color distinto al utilizado en el resto del documento con la palabra "Eliminado", el tipo de dato o información cancelado y señalarse si la omisión es una palabra, </w:t>
      </w:r>
      <w:r>
        <w:rPr>
          <w:rFonts w:ascii="Palatino Linotype" w:eastAsia="Palatino Linotype" w:hAnsi="Palatino Linotype" w:cs="Palatino Linotype"/>
          <w:sz w:val="22"/>
          <w:szCs w:val="22"/>
        </w:rPr>
        <w:t>renglón</w:t>
      </w:r>
      <w:r>
        <w:rPr>
          <w:rFonts w:ascii="Palatino Linotype" w:eastAsia="Palatino Linotype" w:hAnsi="Palatino Linotype" w:cs="Palatino Linotype"/>
          <w:color w:val="000000"/>
          <w:sz w:val="22"/>
          <w:szCs w:val="22"/>
        </w:rPr>
        <w:t xml:space="preserve"> o párrafo; así como, </w:t>
      </w:r>
      <w:r>
        <w:rPr>
          <w:rFonts w:ascii="Palatino Linotype" w:eastAsia="Palatino Linotype" w:hAnsi="Palatino Linotype" w:cs="Palatino Linotype"/>
          <w:sz w:val="22"/>
          <w:szCs w:val="22"/>
        </w:rPr>
        <w:t>el fundamento</w:t>
      </w:r>
      <w:r>
        <w:rPr>
          <w:rFonts w:ascii="Palatino Linotype" w:eastAsia="Palatino Linotype" w:hAnsi="Palatino Linotype" w:cs="Palatino Linotype"/>
          <w:color w:val="000000"/>
          <w:sz w:val="22"/>
          <w:szCs w:val="22"/>
        </w:rPr>
        <w:t xml:space="preserve"> legal.</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Como se logra observar, cuando se elabora una versión pública, se debe generar conforme a los requisitos previamente referidos en los Lineamientos Generales; lo cual no acontece en el presente caso, pues el Sujeto Obligado generó la documentación de manera tal que se pueden acceder a los datos y por tal circunstancia, tampoco se pudieron dar a la vista del Particular, por lo que, deberá generar los documentos tomando en consideración lo señalado en párrafos anteriores.</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Así, este Instituto considera que el Sujeto Obligado deberá proporcionar lo solicitado, en versión pública; sobre dicha circunstancia, el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jc w:val="both"/>
        <w:rPr>
          <w:rFonts w:ascii="Palatino Linotype" w:eastAsia="Palatino Linotype" w:hAnsi="Palatino Linotype" w:cs="Palatino Linotype"/>
          <w:color w:val="FF0000"/>
          <w:sz w:val="22"/>
          <w:szCs w:val="22"/>
        </w:rPr>
      </w:pPr>
      <w:r>
        <w:rPr>
          <w:rFonts w:ascii="Palatino Linotype" w:eastAsia="Palatino Linotype" w:hAnsi="Palatino Linotype" w:cs="Palatino Linotype"/>
          <w:sz w:val="22"/>
          <w:szCs w:val="22"/>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B0325F" w:rsidRDefault="00B0325F">
      <w:pPr>
        <w:tabs>
          <w:tab w:val="center" w:pos="4522"/>
        </w:tabs>
        <w:spacing w:line="360" w:lineRule="auto"/>
        <w:jc w:val="both"/>
        <w:rPr>
          <w:rFonts w:ascii="Palatino Linotype" w:eastAsia="Palatino Linotype" w:hAnsi="Palatino Linotype" w:cs="Palatino Linotype"/>
          <w:color w:val="000000"/>
          <w:sz w:val="22"/>
          <w:szCs w:val="22"/>
        </w:rPr>
      </w:pPr>
    </w:p>
    <w:p w:rsidR="00B0325F" w:rsidRDefault="004D5484">
      <w:pPr>
        <w:pStyle w:val="Ttulo2"/>
        <w:spacing w:before="0" w:after="0" w:line="360" w:lineRule="auto"/>
        <w:jc w:val="both"/>
        <w:rPr>
          <w:rFonts w:ascii="Palatino Linotype" w:eastAsia="Palatino Linotype" w:hAnsi="Palatino Linotype" w:cs="Palatino Linotype"/>
          <w:b/>
          <w:bCs/>
          <w:color w:val="000000"/>
          <w:sz w:val="22"/>
          <w:szCs w:val="22"/>
        </w:rPr>
      </w:pPr>
      <w:bookmarkStart w:id="24" w:name="_heading=h.h1xzd4sxa2mz" w:colFirst="0" w:colLast="0"/>
      <w:bookmarkStart w:id="25" w:name="_Toc215130303"/>
      <w:bookmarkEnd w:id="24"/>
      <w:r>
        <w:rPr>
          <w:rFonts w:ascii="Palatino Linotype" w:eastAsia="Palatino Linotype" w:hAnsi="Palatino Linotype" w:cs="Palatino Linotype"/>
          <w:b/>
          <w:bCs/>
          <w:color w:val="000000"/>
          <w:sz w:val="22"/>
          <w:szCs w:val="22"/>
        </w:rPr>
        <w:t>SEXTO. Decisión</w:t>
      </w:r>
      <w:bookmarkEnd w:id="25"/>
    </w:p>
    <w:p w:rsidR="00B0325F" w:rsidRDefault="00B0325F">
      <w:pPr>
        <w:spacing w:line="360" w:lineRule="auto"/>
        <w:jc w:val="both"/>
        <w:rPr>
          <w:rFonts w:ascii="Palatino Linotype" w:eastAsia="Palatino Linotype" w:hAnsi="Palatino Linotype" w:cs="Palatino Linotype"/>
          <w:b/>
          <w:bCs/>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Con fundamento en el artículo 186, fracción III, de la Ley de Transparencia y Acceso a la Información Pública del Estado de México y Municipios, este Instituto considera procedente </w:t>
      </w:r>
      <w:r>
        <w:rPr>
          <w:rFonts w:ascii="Palatino Linotype" w:eastAsia="Palatino Linotype" w:hAnsi="Palatino Linotype" w:cs="Palatino Linotype"/>
          <w:b/>
          <w:bCs/>
          <w:color w:val="000000"/>
          <w:sz w:val="22"/>
          <w:szCs w:val="22"/>
        </w:rPr>
        <w:t>REVOCAR</w:t>
      </w:r>
      <w:r>
        <w:rPr>
          <w:rFonts w:ascii="Palatino Linotype" w:eastAsia="Palatino Linotype" w:hAnsi="Palatino Linotype" w:cs="Palatino Linotype"/>
          <w:color w:val="000000"/>
          <w:sz w:val="22"/>
          <w:szCs w:val="22"/>
        </w:rPr>
        <w:t xml:space="preserve"> las respuestas otorgadas por el Sujeto Obligado a las solicitudes de información 00061/ACOLMAN/IP/2025 y 00065/ACOLMAN/IP/2025, efecto de que entregue la información de manera completa en versión pública y conforme a las temporalidades solicitadas.</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Términos de la Resolución para conocimiento del Particular</w:t>
      </w:r>
    </w:p>
    <w:p w:rsidR="00B0325F" w:rsidRDefault="00B0325F">
      <w:pPr>
        <w:spacing w:line="360" w:lineRule="auto"/>
        <w:jc w:val="both"/>
        <w:rPr>
          <w:rFonts w:ascii="Palatino Linotype" w:eastAsia="Palatino Linotype" w:hAnsi="Palatino Linotype" w:cs="Palatino Linotype"/>
          <w:b/>
          <w:bCs/>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Se le hace del conocimiento a la persona Recurrente que, en el presente asunto, se le da la razón, pues el Sujeto Obligado omitió entregar la información solicitada, por lo que, deberá hacer la entrega conforme a la temporalidad requerida y en versión pública. </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bookmarkStart w:id="26" w:name="_heading=h.7gp7sb9dvky1" w:colFirst="0" w:colLast="0"/>
      <w:bookmarkEnd w:id="26"/>
      <w:r>
        <w:rPr>
          <w:rFonts w:ascii="Palatino Linotype" w:eastAsia="Palatino Linotype" w:hAnsi="Palatino Linotype" w:cs="Palatino Linotype"/>
          <w:color w:val="000000"/>
          <w:sz w:val="22"/>
          <w:szCs w:val="22"/>
        </w:rPr>
        <w:t>Además, se le hace del conocimiento que se le dejan a salvo sus derechos, a efecto de que, si es de su interés, presente la solicitud de información nuevamente, ante el Sistema Municipal para el Desarrollo Integral de la Familia de Acolman y el Instituto de Cultura Física y Deporte de Acolman.</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 labor del Instituto es apoyar a la población a acceder a la información pública y garantizar la protección de sus datos personales.</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lo expuesto y fundado, este Pleno:</w:t>
      </w:r>
    </w:p>
    <w:p w:rsidR="00B0325F" w:rsidRDefault="00B0325F">
      <w:pPr>
        <w:spacing w:line="360" w:lineRule="auto"/>
        <w:jc w:val="both"/>
        <w:rPr>
          <w:rFonts w:ascii="Palatino Linotype" w:eastAsia="Palatino Linotype" w:hAnsi="Palatino Linotype" w:cs="Palatino Linotype"/>
          <w:sz w:val="22"/>
          <w:szCs w:val="22"/>
        </w:rPr>
      </w:pPr>
    </w:p>
    <w:p w:rsidR="00B0325F" w:rsidRDefault="004D5484">
      <w:pPr>
        <w:pStyle w:val="Ttulo1"/>
        <w:spacing w:before="0" w:after="0" w:line="360" w:lineRule="auto"/>
        <w:jc w:val="center"/>
        <w:rPr>
          <w:rFonts w:ascii="Palatino Linotype" w:eastAsia="Palatino Linotype" w:hAnsi="Palatino Linotype" w:cs="Palatino Linotype"/>
          <w:b/>
          <w:bCs/>
          <w:color w:val="000000"/>
          <w:sz w:val="22"/>
          <w:szCs w:val="22"/>
        </w:rPr>
      </w:pPr>
      <w:bookmarkStart w:id="27" w:name="_heading=h.zfwtk1v60o6i" w:colFirst="0" w:colLast="0"/>
      <w:bookmarkStart w:id="28" w:name="_Toc215130304"/>
      <w:bookmarkEnd w:id="27"/>
      <w:r>
        <w:rPr>
          <w:rFonts w:ascii="Palatino Linotype" w:eastAsia="Palatino Linotype" w:hAnsi="Palatino Linotype" w:cs="Palatino Linotype"/>
          <w:b/>
          <w:bCs/>
          <w:color w:val="000000"/>
          <w:sz w:val="22"/>
          <w:szCs w:val="22"/>
        </w:rPr>
        <w:t>R E S U E L V E</w:t>
      </w:r>
      <w:bookmarkEnd w:id="28"/>
    </w:p>
    <w:p w:rsidR="00B0325F" w:rsidRDefault="00B0325F">
      <w:pPr>
        <w:spacing w:line="360" w:lineRule="auto"/>
        <w:ind w:right="-91"/>
        <w:jc w:val="both"/>
        <w:rPr>
          <w:rFonts w:ascii="Palatino Linotype" w:eastAsia="Palatino Linotype" w:hAnsi="Palatino Linotype" w:cs="Palatino Linotype"/>
          <w:b/>
          <w:bCs/>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PRIMERO. Se REVOCA </w:t>
      </w:r>
      <w:r>
        <w:rPr>
          <w:rFonts w:ascii="Palatino Linotype" w:eastAsia="Palatino Linotype" w:hAnsi="Palatino Linotype" w:cs="Palatino Linotype"/>
          <w:color w:val="000000"/>
          <w:sz w:val="22"/>
          <w:szCs w:val="22"/>
        </w:rPr>
        <w:t xml:space="preserve">la respuesta entregada por el Ayuntamiento de Acolman, a las solicitudes de información 00061/ACOLMAN/IP/2025 y 00065/ACOLMAN/IP/2025, por resultar </w:t>
      </w:r>
      <w:r>
        <w:rPr>
          <w:rFonts w:ascii="Palatino Linotype" w:eastAsia="Palatino Linotype" w:hAnsi="Palatino Linotype" w:cs="Palatino Linotype"/>
          <w:b/>
          <w:bCs/>
          <w:color w:val="000000"/>
          <w:sz w:val="22"/>
          <w:szCs w:val="22"/>
        </w:rPr>
        <w:t>FUNDADAS</w:t>
      </w:r>
      <w:r>
        <w:rPr>
          <w:rFonts w:ascii="Palatino Linotype" w:eastAsia="Palatino Linotype" w:hAnsi="Palatino Linotype" w:cs="Palatino Linotype"/>
          <w:color w:val="000000"/>
          <w:sz w:val="22"/>
          <w:szCs w:val="22"/>
        </w:rPr>
        <w:t xml:space="preserve"> las razones o motivos de inconformidad hechos valer por la persona Recurrente, en términos de los considerandos </w:t>
      </w:r>
      <w:r>
        <w:rPr>
          <w:rFonts w:ascii="Palatino Linotype" w:eastAsia="Palatino Linotype" w:hAnsi="Palatino Linotype" w:cs="Palatino Linotype"/>
          <w:b/>
          <w:bCs/>
          <w:color w:val="000000"/>
          <w:sz w:val="22"/>
          <w:szCs w:val="22"/>
        </w:rPr>
        <w:t>QUINTO y SEXTO</w:t>
      </w:r>
      <w:r>
        <w:rPr>
          <w:rFonts w:ascii="Palatino Linotype" w:eastAsia="Palatino Linotype" w:hAnsi="Palatino Linotype" w:cs="Palatino Linotype"/>
          <w:color w:val="000000"/>
          <w:sz w:val="22"/>
          <w:szCs w:val="22"/>
        </w:rPr>
        <w:t xml:space="preserve"> de la presente Resolución.</w:t>
      </w:r>
    </w:p>
    <w:p w:rsidR="00B0325F" w:rsidRDefault="00B0325F">
      <w:pPr>
        <w:spacing w:line="360" w:lineRule="auto"/>
        <w:jc w:val="both"/>
        <w:rPr>
          <w:rFonts w:ascii="Palatino Linotype" w:eastAsia="Palatino Linotype" w:hAnsi="Palatino Linotype" w:cs="Palatino Linotype"/>
          <w:b/>
          <w:bCs/>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SEGUNDO. </w:t>
      </w:r>
      <w:r>
        <w:rPr>
          <w:rFonts w:ascii="Palatino Linotype" w:eastAsia="Palatino Linotype" w:hAnsi="Palatino Linotype" w:cs="Palatino Linotype"/>
          <w:color w:val="000000"/>
          <w:sz w:val="22"/>
          <w:szCs w:val="22"/>
        </w:rPr>
        <w:t>Se</w:t>
      </w:r>
      <w:r>
        <w:rPr>
          <w:rFonts w:ascii="Palatino Linotype" w:eastAsia="Palatino Linotype" w:hAnsi="Palatino Linotype" w:cs="Palatino Linotype"/>
          <w:b/>
          <w:bCs/>
          <w:color w:val="000000"/>
          <w:sz w:val="22"/>
          <w:szCs w:val="22"/>
        </w:rPr>
        <w:t xml:space="preserve"> ORDENA </w:t>
      </w:r>
      <w:r>
        <w:rPr>
          <w:rFonts w:ascii="Palatino Linotype" w:eastAsia="Palatino Linotype" w:hAnsi="Palatino Linotype" w:cs="Palatino Linotype"/>
          <w:color w:val="000000"/>
          <w:sz w:val="22"/>
          <w:szCs w:val="22"/>
        </w:rPr>
        <w:t>al Sujeto Obligado, a efecto de que previa búsqueda exhaustiva y razonable en los archivos de las unidades administrativas competentes, entregue a través del Sistema de Acceso a la Información Mexiquense (SAIMEX), en versión pública, lo siguiente:</w:t>
      </w:r>
    </w:p>
    <w:p w:rsidR="00B0325F" w:rsidRDefault="00B0325F">
      <w:pPr>
        <w:spacing w:line="360" w:lineRule="auto"/>
        <w:jc w:val="both"/>
        <w:rPr>
          <w:rFonts w:ascii="Palatino Linotype" w:eastAsia="Palatino Linotype" w:hAnsi="Palatino Linotype" w:cs="Palatino Linotype"/>
          <w:color w:val="000000"/>
          <w:sz w:val="22"/>
          <w:szCs w:val="22"/>
        </w:rPr>
      </w:pPr>
    </w:p>
    <w:p w:rsidR="00B0325F" w:rsidRDefault="004D5484">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La Relación de Sueldos de los Servidores Públicos proporcionado en Informe Justificado, y</w:t>
      </w:r>
    </w:p>
    <w:p w:rsidR="00B0325F" w:rsidRDefault="00B0325F">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p>
    <w:p w:rsidR="00B0325F" w:rsidRDefault="004D5484">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Los recibos de nómina de la primera y segunda quincena de agosto de dos mil veinticinco, de todos los servidores públicos adscritos al Ayuntamiento de Acolman.</w:t>
      </w:r>
    </w:p>
    <w:p w:rsidR="00B0325F" w:rsidRDefault="00B0325F">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Además, deberá proporcionar el Acuerdo de Clasificación donde el Comité de Transparencia, confirme la eliminación de los datos o información clasificada, en la versión pública, en términos del Considerando QUINTO, de conformidad con los artículos 49, fracciones II y VIII y 132, fracción II de la Ley de Transparencia y Acceso a la Información Pública del Estado de México y Municipios.</w:t>
      </w:r>
    </w:p>
    <w:p w:rsidR="00B0325F" w:rsidRDefault="00B0325F">
      <w:pPr>
        <w:spacing w:line="360" w:lineRule="auto"/>
        <w:jc w:val="both"/>
        <w:rPr>
          <w:rFonts w:ascii="Palatino Linotype" w:eastAsia="Palatino Linotype" w:hAnsi="Palatino Linotype" w:cs="Palatino Linotype"/>
          <w:b/>
          <w:bCs/>
          <w:color w:val="000000"/>
          <w:sz w:val="22"/>
          <w:szCs w:val="22"/>
        </w:rPr>
      </w:pPr>
    </w:p>
    <w:p w:rsidR="00B0325F" w:rsidRDefault="004D5484">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b/>
          <w:bCs/>
          <w:color w:val="000000"/>
          <w:sz w:val="22"/>
          <w:szCs w:val="22"/>
        </w:rPr>
        <w:t xml:space="preserve">TERCERO. </w:t>
      </w:r>
      <w:r>
        <w:rPr>
          <w:rFonts w:ascii="Palatino Linotype" w:eastAsia="Palatino Linotype" w:hAnsi="Palatino Linotype" w:cs="Palatino Linotype"/>
          <w:b/>
          <w:bCs/>
          <w:sz w:val="22"/>
          <w:szCs w:val="22"/>
        </w:rPr>
        <w:t xml:space="preserve">NOTIFÍQUESE POR SAIMEX </w:t>
      </w:r>
      <w:r>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p>
    <w:p w:rsidR="00B0325F" w:rsidRDefault="00B0325F">
      <w:pPr>
        <w:spacing w:line="360" w:lineRule="auto"/>
        <w:ind w:right="-28"/>
        <w:jc w:val="both"/>
        <w:rPr>
          <w:rFonts w:ascii="Palatino Linotype" w:eastAsia="Palatino Linotype" w:hAnsi="Palatino Linotype" w:cs="Palatino Linotype"/>
          <w:sz w:val="22"/>
          <w:szCs w:val="22"/>
        </w:rPr>
      </w:pPr>
    </w:p>
    <w:p w:rsidR="00B0325F" w:rsidRDefault="004D5484">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conformidad con el artículo 198 de la Ley de la materia, de considerarlo procedente, el Sujeto Obligado de manera fundada y motivada, podrá solicitar una ampliación de plazo para el cumplimiento de la presente resolución.</w:t>
      </w:r>
    </w:p>
    <w:p w:rsidR="00B0325F" w:rsidRDefault="00B0325F">
      <w:pPr>
        <w:spacing w:line="360" w:lineRule="auto"/>
        <w:jc w:val="both"/>
        <w:rPr>
          <w:rFonts w:ascii="Palatino Linotype" w:eastAsia="Palatino Linotype" w:hAnsi="Palatino Linotype" w:cs="Palatino Linotype"/>
          <w:b/>
          <w:bCs/>
          <w:color w:val="000000"/>
          <w:sz w:val="22"/>
          <w:szCs w:val="22"/>
        </w:rPr>
      </w:pPr>
    </w:p>
    <w:p w:rsidR="00B0325F" w:rsidRDefault="004D5484">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lastRenderedPageBreak/>
        <w:t xml:space="preserve">CUARTO. NOTIFÍQUESE POR SAIMEX </w:t>
      </w:r>
      <w:r>
        <w:rPr>
          <w:rFonts w:ascii="Palatino Linotype" w:eastAsia="Palatino Linotype" w:hAnsi="Palatino Linotype" w:cs="Palatino Linotype"/>
          <w:color w:val="000000"/>
          <w:sz w:val="22"/>
          <w:szCs w:val="22"/>
        </w:rPr>
        <w:t xml:space="preserve">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w:t>
      </w:r>
    </w:p>
    <w:p w:rsidR="00B0325F" w:rsidRDefault="00B0325F">
      <w:pPr>
        <w:spacing w:line="360" w:lineRule="auto"/>
        <w:jc w:val="both"/>
        <w:rPr>
          <w:rFonts w:ascii="Palatino Linotype" w:eastAsia="Palatino Linotype" w:hAnsi="Palatino Linotype" w:cs="Palatino Linotype"/>
          <w:b/>
          <w:bCs/>
          <w:color w:val="000000"/>
          <w:sz w:val="22"/>
          <w:szCs w:val="22"/>
        </w:rPr>
      </w:pPr>
    </w:p>
    <w:p w:rsidR="00B0325F" w:rsidRDefault="004D548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ASÍ LO RESUELVE, POR </w:t>
      </w:r>
      <w:r>
        <w:rPr>
          <w:rFonts w:ascii="Palatino Linotype" w:eastAsia="Palatino Linotype" w:hAnsi="Palatino Linotype" w:cs="Palatino Linotype"/>
          <w:b/>
          <w:bCs/>
          <w:color w:val="000000"/>
          <w:sz w:val="22"/>
          <w:szCs w:val="22"/>
        </w:rPr>
        <w:t>UNANIMIDAD</w:t>
      </w:r>
      <w:r>
        <w:rPr>
          <w:rFonts w:ascii="Palatino Linotype" w:eastAsia="Palatino Linotype" w:hAnsi="Palatino Linotype" w:cs="Palatino Linotype"/>
          <w:color w:val="000000"/>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w:t>
      </w:r>
      <w:r w:rsidR="001E1B28">
        <w:rPr>
          <w:rFonts w:ascii="Palatino Linotype" w:eastAsia="Palatino Linotype" w:hAnsi="Palatino Linotype" w:cs="Palatino Linotype"/>
          <w:color w:val="000000"/>
          <w:sz w:val="22"/>
          <w:szCs w:val="22"/>
        </w:rPr>
        <w:t xml:space="preserve">EZ, LUIS GUSTAVO PARRA NORIEGA </w:t>
      </w:r>
      <w:r>
        <w:rPr>
          <w:rFonts w:ascii="Palatino Linotype" w:eastAsia="Palatino Linotype" w:hAnsi="Palatino Linotype" w:cs="Palatino Linotype"/>
          <w:color w:val="000000"/>
          <w:sz w:val="22"/>
          <w:szCs w:val="22"/>
        </w:rPr>
        <w:t>C</w:t>
      </w:r>
      <w:r>
        <w:rPr>
          <w:rFonts w:ascii="Palatino Linotype" w:eastAsia="Palatino Linotype" w:hAnsi="Palatino Linotype" w:cs="Palatino Linotype"/>
          <w:sz w:val="22"/>
          <w:szCs w:val="22"/>
        </w:rPr>
        <w:t>ON VOTO PARTICULAR</w:t>
      </w:r>
      <w:r>
        <w:rPr>
          <w:rFonts w:ascii="Palatino Linotype" w:eastAsia="Palatino Linotype" w:hAnsi="Palatino Linotype" w:cs="Palatino Linotype"/>
          <w:color w:val="000000"/>
          <w:sz w:val="22"/>
          <w:szCs w:val="22"/>
        </w:rPr>
        <w:t xml:space="preserve"> Y GUADALUPE RAMÍREZ PEÑA</w:t>
      </w:r>
      <w:r w:rsidR="001E1B28">
        <w:rPr>
          <w:rFonts w:ascii="Palatino Linotype" w:eastAsia="Palatino Linotype" w:hAnsi="Palatino Linotype" w:cs="Palatino Linotype"/>
          <w:sz w:val="22"/>
          <w:szCs w:val="22"/>
        </w:rPr>
        <w:t xml:space="preserve"> CON VOTO PARTICULAR</w:t>
      </w:r>
      <w:bookmarkStart w:id="29" w:name="_GoBack"/>
      <w:bookmarkEnd w:id="29"/>
      <w:r>
        <w:rPr>
          <w:rFonts w:ascii="Palatino Linotype" w:eastAsia="Palatino Linotype" w:hAnsi="Palatino Linotype" w:cs="Palatino Linotype"/>
          <w:color w:val="000000"/>
          <w:sz w:val="22"/>
          <w:szCs w:val="22"/>
        </w:rPr>
        <w:t xml:space="preserve">, EN LA </w:t>
      </w:r>
      <w:r>
        <w:rPr>
          <w:rFonts w:ascii="Palatino Linotype" w:eastAsia="Palatino Linotype" w:hAnsi="Palatino Linotype" w:cs="Palatino Linotype"/>
          <w:sz w:val="22"/>
          <w:szCs w:val="22"/>
        </w:rPr>
        <w:t>CUADRAGÉSIMA</w:t>
      </w:r>
      <w:r>
        <w:rPr>
          <w:rFonts w:ascii="Palatino Linotype" w:eastAsia="Palatino Linotype" w:hAnsi="Palatino Linotype" w:cs="Palatino Linotype"/>
          <w:color w:val="000000"/>
          <w:sz w:val="22"/>
          <w:szCs w:val="22"/>
        </w:rPr>
        <w:t xml:space="preserve"> SEGUNDA SESIÓN ORDINARIA, CELEBRADA EL VEINTICINCO DE NOVIEMBRE DE DOS MIL VEINTICINCO, ANTE EL SECRETARIO TÉCNICO DEL PLENO, ALEXIS TAPIA RAMÍREZ.</w:t>
      </w:r>
    </w:p>
    <w:p w:rsidR="00B0325F" w:rsidRDefault="00B0325F">
      <w:pPr>
        <w:spacing w:line="360" w:lineRule="auto"/>
        <w:rPr>
          <w:rFonts w:ascii="Palatino Linotype" w:eastAsia="Palatino Linotype" w:hAnsi="Palatino Linotype" w:cs="Palatino Linotype"/>
        </w:rPr>
      </w:pPr>
    </w:p>
    <w:p w:rsidR="00B0325F" w:rsidRDefault="00B0325F">
      <w:pPr>
        <w:spacing w:line="360" w:lineRule="auto"/>
        <w:rPr>
          <w:rFonts w:ascii="Palatino Linotype" w:eastAsia="Palatino Linotype" w:hAnsi="Palatino Linotype" w:cs="Palatino Linotype"/>
        </w:rPr>
      </w:pPr>
    </w:p>
    <w:p w:rsidR="00B0325F" w:rsidRDefault="00B0325F">
      <w:pPr>
        <w:spacing w:line="360" w:lineRule="auto"/>
        <w:rPr>
          <w:rFonts w:ascii="Palatino Linotype" w:eastAsia="Palatino Linotype" w:hAnsi="Palatino Linotype" w:cs="Palatino Linotype"/>
        </w:rPr>
      </w:pPr>
    </w:p>
    <w:p w:rsidR="00B0325F" w:rsidRDefault="00B0325F">
      <w:pPr>
        <w:spacing w:line="360" w:lineRule="auto"/>
        <w:rPr>
          <w:rFonts w:ascii="Palatino Linotype" w:eastAsia="Palatino Linotype" w:hAnsi="Palatino Linotype" w:cs="Palatino Linotype"/>
        </w:rPr>
      </w:pPr>
    </w:p>
    <w:p w:rsidR="00B0325F" w:rsidRDefault="00B0325F">
      <w:pPr>
        <w:spacing w:line="360" w:lineRule="auto"/>
        <w:rPr>
          <w:rFonts w:ascii="Palatino Linotype" w:eastAsia="Palatino Linotype" w:hAnsi="Palatino Linotype" w:cs="Palatino Linotype"/>
        </w:rPr>
      </w:pPr>
    </w:p>
    <w:p w:rsidR="00B0325F" w:rsidRDefault="00B0325F">
      <w:pPr>
        <w:spacing w:line="360" w:lineRule="auto"/>
        <w:rPr>
          <w:rFonts w:ascii="Palatino Linotype" w:eastAsia="Palatino Linotype" w:hAnsi="Palatino Linotype" w:cs="Palatino Linotype"/>
        </w:rPr>
      </w:pPr>
    </w:p>
    <w:p w:rsidR="00B0325F" w:rsidRDefault="00B0325F">
      <w:pPr>
        <w:spacing w:line="360" w:lineRule="auto"/>
        <w:rPr>
          <w:rFonts w:ascii="Palatino Linotype" w:eastAsia="Palatino Linotype" w:hAnsi="Palatino Linotype" w:cs="Palatino Linotype"/>
        </w:rPr>
      </w:pPr>
    </w:p>
    <w:p w:rsidR="00B0325F" w:rsidRDefault="00B0325F">
      <w:pPr>
        <w:spacing w:line="360" w:lineRule="auto"/>
        <w:rPr>
          <w:rFonts w:ascii="Palatino Linotype" w:eastAsia="Palatino Linotype" w:hAnsi="Palatino Linotype" w:cs="Palatino Linotype"/>
        </w:rPr>
      </w:pPr>
    </w:p>
    <w:p w:rsidR="00B0325F" w:rsidRDefault="00B0325F">
      <w:pPr>
        <w:spacing w:line="360" w:lineRule="auto"/>
        <w:rPr>
          <w:rFonts w:ascii="Palatino Linotype" w:eastAsia="Palatino Linotype" w:hAnsi="Palatino Linotype" w:cs="Palatino Linotype"/>
        </w:rPr>
      </w:pPr>
    </w:p>
    <w:p w:rsidR="00B0325F" w:rsidRDefault="00B0325F">
      <w:pPr>
        <w:spacing w:line="360" w:lineRule="auto"/>
        <w:rPr>
          <w:rFonts w:ascii="Palatino Linotype" w:eastAsia="Palatino Linotype" w:hAnsi="Palatino Linotype" w:cs="Palatino Linotype"/>
        </w:rPr>
      </w:pPr>
    </w:p>
    <w:p w:rsidR="00B0325F" w:rsidRDefault="00B0325F">
      <w:pPr>
        <w:spacing w:line="360" w:lineRule="auto"/>
        <w:rPr>
          <w:rFonts w:ascii="Palatino Linotype" w:eastAsia="Palatino Linotype" w:hAnsi="Palatino Linotype" w:cs="Palatino Linotype"/>
        </w:rPr>
      </w:pPr>
    </w:p>
    <w:p w:rsidR="00B0325F" w:rsidRDefault="00B0325F">
      <w:pPr>
        <w:spacing w:line="360" w:lineRule="auto"/>
        <w:rPr>
          <w:rFonts w:ascii="Palatino Linotype" w:eastAsia="Palatino Linotype" w:hAnsi="Palatino Linotype" w:cs="Palatino Linotype"/>
        </w:rPr>
      </w:pPr>
    </w:p>
    <w:p w:rsidR="00B0325F" w:rsidRDefault="00B0325F">
      <w:pPr>
        <w:spacing w:line="360" w:lineRule="auto"/>
        <w:rPr>
          <w:rFonts w:ascii="Palatino Linotype" w:eastAsia="Palatino Linotype" w:hAnsi="Palatino Linotype" w:cs="Palatino Linotype"/>
        </w:rPr>
      </w:pPr>
    </w:p>
    <w:p w:rsidR="00B0325F" w:rsidRDefault="00B0325F">
      <w:pPr>
        <w:spacing w:line="360" w:lineRule="auto"/>
        <w:rPr>
          <w:rFonts w:ascii="Palatino Linotype" w:eastAsia="Palatino Linotype" w:hAnsi="Palatino Linotype" w:cs="Palatino Linotype"/>
        </w:rPr>
      </w:pPr>
    </w:p>
    <w:p w:rsidR="00B0325F" w:rsidRDefault="00B0325F">
      <w:pPr>
        <w:spacing w:line="360" w:lineRule="auto"/>
        <w:rPr>
          <w:rFonts w:ascii="Palatino Linotype" w:eastAsia="Palatino Linotype" w:hAnsi="Palatino Linotype" w:cs="Palatino Linotype"/>
        </w:rPr>
      </w:pPr>
    </w:p>
    <w:p w:rsidR="00B0325F" w:rsidRDefault="00B0325F">
      <w:pPr>
        <w:spacing w:line="360" w:lineRule="auto"/>
        <w:rPr>
          <w:rFonts w:ascii="Palatino Linotype" w:eastAsia="Palatino Linotype" w:hAnsi="Palatino Linotype" w:cs="Palatino Linotype"/>
        </w:rPr>
      </w:pPr>
    </w:p>
    <w:p w:rsidR="00B0325F" w:rsidRDefault="00B0325F">
      <w:pPr>
        <w:spacing w:line="360" w:lineRule="auto"/>
        <w:rPr>
          <w:rFonts w:ascii="Palatino Linotype" w:eastAsia="Palatino Linotype" w:hAnsi="Palatino Linotype" w:cs="Palatino Linotype"/>
        </w:rPr>
      </w:pPr>
    </w:p>
    <w:p w:rsidR="00B0325F" w:rsidRDefault="00B0325F">
      <w:pPr>
        <w:spacing w:line="360" w:lineRule="auto"/>
        <w:rPr>
          <w:rFonts w:ascii="Palatino Linotype" w:eastAsia="Palatino Linotype" w:hAnsi="Palatino Linotype" w:cs="Palatino Linotype"/>
        </w:rPr>
      </w:pPr>
    </w:p>
    <w:p w:rsidR="00B0325F" w:rsidRDefault="00B0325F">
      <w:pPr>
        <w:spacing w:line="360" w:lineRule="auto"/>
        <w:rPr>
          <w:rFonts w:ascii="Palatino Linotype" w:eastAsia="Palatino Linotype" w:hAnsi="Palatino Linotype" w:cs="Palatino Linotype"/>
        </w:rPr>
      </w:pPr>
    </w:p>
    <w:p w:rsidR="00B0325F" w:rsidRDefault="00B0325F">
      <w:pPr>
        <w:spacing w:line="360" w:lineRule="auto"/>
        <w:rPr>
          <w:rFonts w:ascii="Palatino Linotype" w:eastAsia="Palatino Linotype" w:hAnsi="Palatino Linotype" w:cs="Palatino Linotype"/>
        </w:rPr>
      </w:pPr>
    </w:p>
    <w:p w:rsidR="00B0325F" w:rsidRDefault="00B0325F">
      <w:pPr>
        <w:spacing w:line="360" w:lineRule="auto"/>
        <w:rPr>
          <w:rFonts w:ascii="Palatino Linotype" w:eastAsia="Palatino Linotype" w:hAnsi="Palatino Linotype" w:cs="Palatino Linotype"/>
        </w:rPr>
      </w:pPr>
    </w:p>
    <w:p w:rsidR="00B0325F" w:rsidRDefault="00B0325F">
      <w:pPr>
        <w:spacing w:line="360" w:lineRule="auto"/>
      </w:pPr>
    </w:p>
    <w:p w:rsidR="00B0325F" w:rsidRDefault="00B0325F">
      <w:pPr>
        <w:spacing w:line="360" w:lineRule="auto"/>
      </w:pPr>
    </w:p>
    <w:p w:rsidR="00B0325F" w:rsidRDefault="00B0325F">
      <w:pPr>
        <w:spacing w:line="360" w:lineRule="auto"/>
      </w:pPr>
    </w:p>
    <w:p w:rsidR="00B0325F" w:rsidRDefault="00B0325F">
      <w:pPr>
        <w:spacing w:line="360" w:lineRule="auto"/>
      </w:pPr>
    </w:p>
    <w:p w:rsidR="00B0325F" w:rsidRDefault="00B0325F">
      <w:pPr>
        <w:spacing w:line="360" w:lineRule="auto"/>
      </w:pPr>
    </w:p>
    <w:p w:rsidR="00B0325F" w:rsidRDefault="00B0325F">
      <w:pPr>
        <w:spacing w:line="360" w:lineRule="auto"/>
      </w:pPr>
    </w:p>
    <w:p w:rsidR="00B0325F" w:rsidRDefault="00B0325F">
      <w:pPr>
        <w:spacing w:line="360" w:lineRule="auto"/>
      </w:pPr>
    </w:p>
    <w:p w:rsidR="00B0325F" w:rsidRDefault="00B0325F">
      <w:pPr>
        <w:spacing w:line="360" w:lineRule="auto"/>
      </w:pPr>
    </w:p>
    <w:p w:rsidR="00B0325F" w:rsidRDefault="00B0325F">
      <w:pPr>
        <w:spacing w:line="360" w:lineRule="auto"/>
      </w:pPr>
    </w:p>
    <w:sectPr w:rsidR="00B0325F">
      <w:headerReference w:type="even" r:id="rId20"/>
      <w:headerReference w:type="default" r:id="rId21"/>
      <w:footerReference w:type="even" r:id="rId22"/>
      <w:footerReference w:type="default" r:id="rId23"/>
      <w:headerReference w:type="first" r:id="rId24"/>
      <w:footerReference w:type="first" r:id="rId25"/>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0CBE" w:rsidRDefault="00F40CBE">
      <w:r>
        <w:separator/>
      </w:r>
    </w:p>
  </w:endnote>
  <w:endnote w:type="continuationSeparator" w:id="0">
    <w:p w:rsidR="00F40CBE" w:rsidRDefault="00F40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CA4AA4F7-9010-4E68-902D-76E6CE5B94A2}"/>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712460D5-6F8C-48EE-A4B7-D4AB5B4ADC5B}"/>
    <w:embedBold r:id="rId3" w:fontKey="{33B6E0C5-B486-4B24-B44D-685562D89605}"/>
    <w:embedItalic r:id="rId4" w:fontKey="{1DFF4372-7803-4F3C-A9C2-16A83D498213}"/>
    <w:embedBoldItalic r:id="rId5" w:fontKey="{0B068A74-C7D6-458F-8C1E-D9F4ABA881D7}"/>
  </w:font>
  <w:font w:name="Calibri">
    <w:panose1 w:val="020F0502020204030204"/>
    <w:charset w:val="00"/>
    <w:family w:val="swiss"/>
    <w:pitch w:val="variable"/>
    <w:sig w:usb0="E4002EFF" w:usb1="C200247B" w:usb2="00000009" w:usb3="00000000" w:csb0="000001FF" w:csb1="00000000"/>
    <w:embedRegular r:id="rId6" w:fontKey="{0F7A0320-88F4-4FC0-A2B4-385FDD1DB260}"/>
  </w:font>
  <w:font w:name="Calibri Light">
    <w:panose1 w:val="020F0302020204030204"/>
    <w:charset w:val="00"/>
    <w:family w:val="swiss"/>
    <w:pitch w:val="variable"/>
    <w:sig w:usb0="E4002EFF" w:usb1="C200247B" w:usb2="00000009" w:usb3="00000000" w:csb0="000001FF" w:csb1="00000000"/>
    <w:embedRegular r:id="rId7" w:fontKey="{EC845E48-5B1D-4951-BBCE-797326FA25C9}"/>
  </w:font>
  <w:font w:name="Georgia">
    <w:panose1 w:val="02040502050405020303"/>
    <w:charset w:val="00"/>
    <w:family w:val="roman"/>
    <w:pitch w:val="variable"/>
    <w:sig w:usb0="00000287" w:usb1="00000000" w:usb2="00000000" w:usb3="00000000" w:csb0="0000009F" w:csb1="00000000"/>
    <w:embedItalic r:id="rId8" w:fontKey="{1B7B7D88-E6D8-4E81-BDEB-04E178E96BC0}"/>
  </w:font>
  <w:font w:name="Garamond">
    <w:panose1 w:val="02020404030301010803"/>
    <w:charset w:val="00"/>
    <w:family w:val="roman"/>
    <w:pitch w:val="variable"/>
    <w:sig w:usb0="00000287" w:usb1="00000000" w:usb2="00000000" w:usb3="00000000" w:csb0="0000009F" w:csb1="00000000"/>
    <w:embedRegular r:id="rId9" w:fontKey="{64ADED21-B712-4E7E-8785-492FBFC9E50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25F" w:rsidRDefault="004D5484">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sidR="006E2C1C">
      <w:rPr>
        <w:rFonts w:ascii="Palatino Linotype" w:eastAsia="Palatino Linotype" w:hAnsi="Palatino Linotype" w:cs="Palatino Linotype"/>
        <w:b/>
        <w:bCs/>
        <w:color w:val="000000"/>
        <w:sz w:val="22"/>
        <w:szCs w:val="22"/>
      </w:rPr>
      <w:fldChar w:fldCharType="separate"/>
    </w:r>
    <w:r w:rsidR="006E2C1C">
      <w:rPr>
        <w:rFonts w:ascii="Palatino Linotype" w:eastAsia="Palatino Linotype" w:hAnsi="Palatino Linotype" w:cs="Palatino Linotype"/>
        <w:b/>
        <w:bCs/>
        <w:noProof/>
        <w:color w:val="000000"/>
        <w:sz w:val="22"/>
        <w:szCs w:val="22"/>
      </w:rPr>
      <w:t>50</w:t>
    </w:r>
    <w:r>
      <w:rPr>
        <w:rFonts w:ascii="Palatino Linotype" w:eastAsia="Palatino Linotype" w:hAnsi="Palatino Linotype" w:cs="Palatino Linotype"/>
        <w:b/>
        <w:bCs/>
        <w:color w:val="000000"/>
        <w:sz w:val="22"/>
        <w:szCs w:val="22"/>
      </w:rPr>
      <w:fldChar w:fldCharType="end"/>
    </w:r>
  </w:p>
  <w:p w:rsidR="00B0325F" w:rsidRDefault="00B0325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25F" w:rsidRDefault="004D5484">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6E2C1C">
      <w:rPr>
        <w:rFonts w:ascii="Palatino Linotype" w:eastAsia="Palatino Linotype" w:hAnsi="Palatino Linotype" w:cs="Palatino Linotype"/>
        <w:b/>
        <w:bCs/>
        <w:noProof/>
        <w:color w:val="000000"/>
        <w:sz w:val="22"/>
        <w:szCs w:val="22"/>
      </w:rPr>
      <w:t>49</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6E2C1C">
      <w:rPr>
        <w:rFonts w:ascii="Palatino Linotype" w:eastAsia="Palatino Linotype" w:hAnsi="Palatino Linotype" w:cs="Palatino Linotype"/>
        <w:b/>
        <w:bCs/>
        <w:noProof/>
        <w:color w:val="000000"/>
        <w:sz w:val="22"/>
        <w:szCs w:val="22"/>
      </w:rPr>
      <w:t>50</w:t>
    </w:r>
    <w:r>
      <w:rPr>
        <w:rFonts w:ascii="Palatino Linotype" w:eastAsia="Palatino Linotype" w:hAnsi="Palatino Linotype" w:cs="Palatino Linotype"/>
        <w:b/>
        <w:bCs/>
        <w:color w:val="000000"/>
        <w:sz w:val="22"/>
        <w:szCs w:val="22"/>
      </w:rPr>
      <w:fldChar w:fldCharType="end"/>
    </w:r>
  </w:p>
  <w:p w:rsidR="00B0325F" w:rsidRDefault="00B0325F">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25F" w:rsidRDefault="004D5484">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6E2C1C">
      <w:rPr>
        <w:rFonts w:ascii="Palatino Linotype" w:eastAsia="Palatino Linotype" w:hAnsi="Palatino Linotype" w:cs="Palatino Linotype"/>
        <w:b/>
        <w:bCs/>
        <w:noProof/>
        <w:color w:val="000000"/>
        <w:sz w:val="22"/>
        <w:szCs w:val="22"/>
      </w:rPr>
      <w:t>1</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6E2C1C">
      <w:rPr>
        <w:rFonts w:ascii="Palatino Linotype" w:eastAsia="Palatino Linotype" w:hAnsi="Palatino Linotype" w:cs="Palatino Linotype"/>
        <w:b/>
        <w:bCs/>
        <w:noProof/>
        <w:color w:val="000000"/>
        <w:sz w:val="22"/>
        <w:szCs w:val="22"/>
      </w:rPr>
      <w:t>50</w:t>
    </w:r>
    <w:r>
      <w:rPr>
        <w:rFonts w:ascii="Palatino Linotype" w:eastAsia="Palatino Linotype" w:hAnsi="Palatino Linotype" w:cs="Palatino Linotype"/>
        <w:b/>
        <w:bCs/>
        <w:color w:val="000000"/>
        <w:sz w:val="22"/>
        <w:szCs w:val="22"/>
      </w:rPr>
      <w:fldChar w:fldCharType="end"/>
    </w:r>
  </w:p>
  <w:p w:rsidR="00B0325F" w:rsidRDefault="00B0325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0CBE" w:rsidRDefault="00F40CBE">
      <w:r>
        <w:separator/>
      </w:r>
    </w:p>
  </w:footnote>
  <w:footnote w:type="continuationSeparator" w:id="0">
    <w:p w:rsidR="00F40CBE" w:rsidRDefault="00F40C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25F" w:rsidRDefault="00B0325F">
    <w:pPr>
      <w:widowControl w:val="0"/>
      <w:pBdr>
        <w:top w:val="nil"/>
        <w:left w:val="nil"/>
        <w:bottom w:val="nil"/>
        <w:right w:val="nil"/>
        <w:between w:val="nil"/>
      </w:pBdr>
      <w:spacing w:line="276" w:lineRule="auto"/>
    </w:pPr>
  </w:p>
  <w:tbl>
    <w:tblPr>
      <w:tblStyle w:val="a9"/>
      <w:tblW w:w="9705" w:type="dxa"/>
      <w:tblInd w:w="0" w:type="dxa"/>
      <w:tblLayout w:type="fixed"/>
      <w:tblLook w:val="0400" w:firstRow="0" w:lastRow="0" w:firstColumn="0" w:lastColumn="0" w:noHBand="0" w:noVBand="1"/>
    </w:tblPr>
    <w:tblGrid>
      <w:gridCol w:w="2972"/>
      <w:gridCol w:w="6733"/>
    </w:tblGrid>
    <w:tr w:rsidR="00B0325F">
      <w:trPr>
        <w:trHeight w:val="1435"/>
      </w:trPr>
      <w:tc>
        <w:tcPr>
          <w:tcW w:w="0" w:type="auto"/>
        </w:tcPr>
        <w:p w:rsidR="00B0325F" w:rsidRDefault="00B0325F">
          <w:pPr>
            <w:tabs>
              <w:tab w:val="right" w:pos="4273"/>
            </w:tabs>
            <w:spacing w:line="256" w:lineRule="auto"/>
            <w:rPr>
              <w:rFonts w:ascii="Garamond" w:eastAsia="Garamond" w:hAnsi="Garamond" w:cs="Garamond"/>
              <w:sz w:val="22"/>
              <w:szCs w:val="22"/>
            </w:rPr>
          </w:pPr>
        </w:p>
      </w:tc>
      <w:tc>
        <w:tcPr>
          <w:tcW w:w="0" w:type="auto"/>
        </w:tcPr>
        <w:p w:rsidR="00B0325F" w:rsidRDefault="00B0325F">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a"/>
            <w:tblW w:w="5535" w:type="dxa"/>
            <w:tblInd w:w="322" w:type="dxa"/>
            <w:tblBorders>
              <w:top w:val="nil"/>
              <w:left w:val="nil"/>
              <w:bottom w:val="nil"/>
              <w:right w:val="nil"/>
              <w:insideH w:val="nil"/>
              <w:insideV w:val="nil"/>
            </w:tblBorders>
            <w:tblLayout w:type="fixed"/>
            <w:tblLook w:val="0400" w:firstRow="0" w:lastRow="0" w:firstColumn="0" w:lastColumn="0" w:noHBand="0" w:noVBand="1"/>
          </w:tblPr>
          <w:tblGrid>
            <w:gridCol w:w="2447"/>
            <w:gridCol w:w="3088"/>
          </w:tblGrid>
          <w:tr w:rsidR="00B0325F">
            <w:trPr>
              <w:trHeight w:val="144"/>
            </w:trPr>
            <w:tc>
              <w:tcPr>
                <w:tcW w:w="0" w:type="auto"/>
              </w:tcPr>
              <w:p w:rsidR="00B0325F" w:rsidRDefault="004D5484">
                <w:pPr>
                  <w:tabs>
                    <w:tab w:val="right" w:pos="8838"/>
                  </w:tabs>
                  <w:ind w:left="-69"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0" w:type="auto"/>
              </w:tcPr>
              <w:p w:rsidR="00B0325F" w:rsidRDefault="004D5484">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02946/INFOEM/IP/RR/2021</w:t>
                </w:r>
              </w:p>
            </w:tc>
          </w:tr>
          <w:tr w:rsidR="00B0325F">
            <w:trPr>
              <w:trHeight w:val="283"/>
            </w:trPr>
            <w:tc>
              <w:tcPr>
                <w:tcW w:w="0" w:type="auto"/>
              </w:tcPr>
              <w:p w:rsidR="00B0325F" w:rsidRDefault="004D5484">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0" w:type="auto"/>
              </w:tcPr>
              <w:p w:rsidR="00B0325F" w:rsidRDefault="004D5484">
                <w:pPr>
                  <w:tabs>
                    <w:tab w:val="left" w:pos="2834"/>
                    <w:tab w:val="right" w:pos="8838"/>
                  </w:tabs>
                  <w:ind w:left="-74" w:right="-105"/>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Ayuntamiento de San Antonio la Isla</w:t>
                </w:r>
              </w:p>
            </w:tc>
          </w:tr>
          <w:tr w:rsidR="00B0325F">
            <w:trPr>
              <w:trHeight w:val="283"/>
            </w:trPr>
            <w:tc>
              <w:tcPr>
                <w:tcW w:w="0" w:type="auto"/>
              </w:tcPr>
              <w:p w:rsidR="00B0325F" w:rsidRDefault="004D5484">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0" w:type="auto"/>
              </w:tcPr>
              <w:p w:rsidR="00B0325F" w:rsidRDefault="004D5484">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p w:rsidR="00B0325F" w:rsidRDefault="00B0325F">
                <w:pPr>
                  <w:tabs>
                    <w:tab w:val="right" w:pos="8838"/>
                  </w:tabs>
                  <w:ind w:left="-74" w:right="-105"/>
                  <w:jc w:val="both"/>
                  <w:rPr>
                    <w:rFonts w:ascii="Palatino Linotype" w:eastAsia="Palatino Linotype" w:hAnsi="Palatino Linotype" w:cs="Palatino Linotype"/>
                    <w:b/>
                    <w:bCs/>
                    <w:sz w:val="22"/>
                    <w:szCs w:val="22"/>
                  </w:rPr>
                </w:pPr>
              </w:p>
            </w:tc>
          </w:tr>
        </w:tbl>
        <w:p w:rsidR="00B0325F" w:rsidRDefault="00B0325F">
          <w:pPr>
            <w:tabs>
              <w:tab w:val="right" w:pos="8838"/>
            </w:tabs>
            <w:spacing w:line="256" w:lineRule="auto"/>
            <w:ind w:left="-28"/>
            <w:jc w:val="both"/>
            <w:rPr>
              <w:rFonts w:ascii="Arial" w:eastAsia="Arial" w:hAnsi="Arial" w:cs="Arial"/>
              <w:b/>
              <w:bCs/>
              <w:sz w:val="22"/>
              <w:szCs w:val="22"/>
            </w:rPr>
          </w:pPr>
        </w:p>
      </w:tc>
    </w:tr>
  </w:tbl>
  <w:p w:rsidR="00B0325F" w:rsidRDefault="004D5484">
    <w:pPr>
      <w:pBdr>
        <w:top w:val="nil"/>
        <w:left w:val="nil"/>
        <w:bottom w:val="nil"/>
        <w:right w:val="nil"/>
        <w:between w:val="nil"/>
      </w:pBdr>
      <w:tabs>
        <w:tab w:val="center" w:pos="4419"/>
        <w:tab w:val="right" w:pos="8838"/>
      </w:tabs>
      <w:rPr>
        <w:color w:val="000000"/>
      </w:rPr>
    </w:pPr>
    <w:r>
      <w:rPr>
        <w:rFonts w:ascii="Garamond" w:eastAsia="Garamond" w:hAnsi="Garamond" w:cs="Garamond"/>
        <w:noProof/>
        <w:color w:val="000000"/>
        <w:sz w:val="22"/>
        <w:szCs w:val="22"/>
      </w:rPr>
      <w:drawing>
        <wp:anchor distT="0" distB="0" distL="0" distR="0" simplePos="0" relativeHeight="251657728" behindDoc="1" locked="0" layoutInCell="1" hidden="0" allowOverlap="1">
          <wp:simplePos x="0" y="0"/>
          <wp:positionH relativeFrom="margin">
            <wp:posOffset>-1381123</wp:posOffset>
          </wp:positionH>
          <wp:positionV relativeFrom="margin">
            <wp:posOffset>-1611628</wp:posOffset>
          </wp:positionV>
          <wp:extent cx="5612130" cy="7308215"/>
          <wp:effectExtent l="0" t="0" r="0" b="0"/>
          <wp:wrapNone/>
          <wp:docPr id="168152159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
                  <a:srcRect/>
                  <a:stretch>
                    <a:fillRect/>
                  </a:stretch>
                </pic:blipFill>
                <pic:spPr>
                  <a:xfrm>
                    <a:off x="0" y="0"/>
                    <a:ext cx="5612130" cy="730821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25F" w:rsidRDefault="00B0325F">
    <w:pPr>
      <w:widowControl w:val="0"/>
      <w:pBdr>
        <w:top w:val="nil"/>
        <w:left w:val="nil"/>
        <w:bottom w:val="nil"/>
        <w:right w:val="nil"/>
        <w:between w:val="nil"/>
      </w:pBdr>
      <w:spacing w:line="276" w:lineRule="auto"/>
      <w:rPr>
        <w:color w:val="000000"/>
      </w:rPr>
    </w:pPr>
  </w:p>
  <w:tbl>
    <w:tblPr>
      <w:tblStyle w:val="ab"/>
      <w:tblW w:w="9356" w:type="dxa"/>
      <w:tblInd w:w="0" w:type="dxa"/>
      <w:tblLayout w:type="fixed"/>
      <w:tblLook w:val="0400" w:firstRow="0" w:lastRow="0" w:firstColumn="0" w:lastColumn="0" w:noHBand="0" w:noVBand="1"/>
    </w:tblPr>
    <w:tblGrid>
      <w:gridCol w:w="1985"/>
      <w:gridCol w:w="7371"/>
    </w:tblGrid>
    <w:tr w:rsidR="00B0325F">
      <w:trPr>
        <w:trHeight w:val="1435"/>
      </w:trPr>
      <w:tc>
        <w:tcPr>
          <w:tcW w:w="1985" w:type="dxa"/>
        </w:tcPr>
        <w:p w:rsidR="00B0325F" w:rsidRDefault="00B0325F">
          <w:pPr>
            <w:tabs>
              <w:tab w:val="right" w:pos="4273"/>
            </w:tabs>
            <w:spacing w:line="256" w:lineRule="auto"/>
            <w:rPr>
              <w:rFonts w:ascii="Garamond" w:eastAsia="Garamond" w:hAnsi="Garamond" w:cs="Garamond"/>
              <w:sz w:val="22"/>
              <w:szCs w:val="22"/>
            </w:rPr>
          </w:pPr>
        </w:p>
      </w:tc>
      <w:tc>
        <w:tcPr>
          <w:tcW w:w="7371" w:type="dxa"/>
        </w:tcPr>
        <w:p w:rsidR="00B0325F" w:rsidRDefault="00B0325F">
          <w:pPr>
            <w:rPr>
              <w:sz w:val="28"/>
              <w:szCs w:val="28"/>
            </w:rPr>
          </w:pPr>
        </w:p>
        <w:tbl>
          <w:tblPr>
            <w:tblStyle w:val="ac"/>
            <w:tblW w:w="948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841"/>
            <w:gridCol w:w="4389"/>
            <w:gridCol w:w="2254"/>
          </w:tblGrid>
          <w:tr w:rsidR="00B0325F">
            <w:trPr>
              <w:trHeight w:val="194"/>
            </w:trPr>
            <w:tc>
              <w:tcPr>
                <w:tcW w:w="2841" w:type="dxa"/>
              </w:tcPr>
              <w:p w:rsidR="00B0325F" w:rsidRDefault="004D5484">
                <w:pPr>
                  <w:tabs>
                    <w:tab w:val="right" w:pos="8838"/>
                  </w:tabs>
                  <w:ind w:left="-11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Recurso de Revisión:</w:t>
                </w:r>
              </w:p>
            </w:tc>
            <w:tc>
              <w:tcPr>
                <w:tcW w:w="4389" w:type="dxa"/>
              </w:tcPr>
              <w:p w:rsidR="00B0325F" w:rsidRDefault="004D5484">
                <w:pPr>
                  <w:tabs>
                    <w:tab w:val="right" w:pos="8838"/>
                  </w:tabs>
                  <w:ind w:left="-11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10031/INFOEM/IP/RR/2025 y acumulado</w:t>
                </w:r>
              </w:p>
            </w:tc>
            <w:tc>
              <w:tcPr>
                <w:tcW w:w="2254" w:type="dxa"/>
              </w:tcPr>
              <w:p w:rsidR="00B0325F" w:rsidRDefault="00B0325F">
                <w:pPr>
                  <w:tabs>
                    <w:tab w:val="right" w:pos="8838"/>
                  </w:tabs>
                  <w:ind w:left="-114" w:right="-105"/>
                  <w:jc w:val="both"/>
                  <w:rPr>
                    <w:rFonts w:ascii="Palatino Linotype" w:eastAsia="Palatino Linotype" w:hAnsi="Palatino Linotype" w:cs="Palatino Linotype"/>
                    <w:sz w:val="22"/>
                    <w:szCs w:val="22"/>
                  </w:rPr>
                </w:pPr>
              </w:p>
            </w:tc>
          </w:tr>
          <w:tr w:rsidR="00B0325F">
            <w:trPr>
              <w:trHeight w:val="88"/>
            </w:trPr>
            <w:tc>
              <w:tcPr>
                <w:tcW w:w="2841" w:type="dxa"/>
              </w:tcPr>
              <w:p w:rsidR="00B0325F" w:rsidRDefault="004D5484">
                <w:pPr>
                  <w:tabs>
                    <w:tab w:val="right" w:pos="8838"/>
                  </w:tabs>
                  <w:ind w:left="-11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Sujeto Obligado:</w:t>
                </w:r>
              </w:p>
            </w:tc>
            <w:tc>
              <w:tcPr>
                <w:tcW w:w="4389" w:type="dxa"/>
              </w:tcPr>
              <w:p w:rsidR="00B0325F" w:rsidRDefault="004D5484">
                <w:pPr>
                  <w:tabs>
                    <w:tab w:val="left" w:pos="2834"/>
                    <w:tab w:val="right" w:pos="8838"/>
                  </w:tabs>
                  <w:ind w:left="-114"/>
                  <w:jc w:val="both"/>
                  <w:rPr>
                    <w:rFonts w:ascii="Palatino Linotype" w:eastAsia="Palatino Linotype" w:hAnsi="Palatino Linotype" w:cs="Palatino Linotype"/>
                    <w:b/>
                    <w:bCs/>
                    <w:sz w:val="32"/>
                    <w:szCs w:val="32"/>
                  </w:rPr>
                </w:pPr>
                <w:r>
                  <w:rPr>
                    <w:rFonts w:ascii="Palatino Linotype" w:eastAsia="Palatino Linotype" w:hAnsi="Palatino Linotype" w:cs="Palatino Linotype"/>
                    <w:sz w:val="22"/>
                    <w:szCs w:val="22"/>
                  </w:rPr>
                  <w:t>Ayuntamiento de Acolman</w:t>
                </w:r>
              </w:p>
            </w:tc>
            <w:tc>
              <w:tcPr>
                <w:tcW w:w="2254" w:type="dxa"/>
              </w:tcPr>
              <w:p w:rsidR="00B0325F" w:rsidRDefault="00B0325F">
                <w:pPr>
                  <w:tabs>
                    <w:tab w:val="left" w:pos="2834"/>
                    <w:tab w:val="right" w:pos="8838"/>
                  </w:tabs>
                  <w:ind w:left="-114"/>
                  <w:jc w:val="both"/>
                  <w:rPr>
                    <w:rFonts w:ascii="Palatino Linotype" w:eastAsia="Palatino Linotype" w:hAnsi="Palatino Linotype" w:cs="Palatino Linotype"/>
                    <w:sz w:val="22"/>
                    <w:szCs w:val="22"/>
                  </w:rPr>
                </w:pPr>
              </w:p>
            </w:tc>
          </w:tr>
          <w:tr w:rsidR="00B0325F">
            <w:trPr>
              <w:trHeight w:val="383"/>
            </w:trPr>
            <w:tc>
              <w:tcPr>
                <w:tcW w:w="2841" w:type="dxa"/>
              </w:tcPr>
              <w:p w:rsidR="00B0325F" w:rsidRDefault="004D5484">
                <w:pPr>
                  <w:tabs>
                    <w:tab w:val="right" w:pos="8838"/>
                  </w:tabs>
                  <w:ind w:left="-11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Comisionado Ponente:</w:t>
                </w:r>
              </w:p>
            </w:tc>
            <w:tc>
              <w:tcPr>
                <w:tcW w:w="4389" w:type="dxa"/>
              </w:tcPr>
              <w:p w:rsidR="00B0325F" w:rsidRDefault="004D5484">
                <w:pPr>
                  <w:tabs>
                    <w:tab w:val="right" w:pos="8838"/>
                  </w:tabs>
                  <w:ind w:left="-11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c>
              <w:tcPr>
                <w:tcW w:w="2254" w:type="dxa"/>
              </w:tcPr>
              <w:p w:rsidR="00B0325F" w:rsidRDefault="00B0325F">
                <w:pPr>
                  <w:tabs>
                    <w:tab w:val="right" w:pos="8838"/>
                  </w:tabs>
                  <w:ind w:left="-114" w:right="-105"/>
                  <w:jc w:val="both"/>
                  <w:rPr>
                    <w:rFonts w:ascii="Palatino Linotype" w:eastAsia="Palatino Linotype" w:hAnsi="Palatino Linotype" w:cs="Palatino Linotype"/>
                    <w:sz w:val="22"/>
                    <w:szCs w:val="22"/>
                  </w:rPr>
                </w:pPr>
              </w:p>
            </w:tc>
          </w:tr>
        </w:tbl>
        <w:p w:rsidR="00B0325F" w:rsidRDefault="00B0325F">
          <w:pPr>
            <w:tabs>
              <w:tab w:val="right" w:pos="8838"/>
            </w:tabs>
            <w:spacing w:line="256" w:lineRule="auto"/>
            <w:ind w:left="-28"/>
            <w:jc w:val="both"/>
            <w:rPr>
              <w:rFonts w:ascii="Arial" w:eastAsia="Arial" w:hAnsi="Arial" w:cs="Arial"/>
              <w:b/>
              <w:bCs/>
              <w:sz w:val="22"/>
              <w:szCs w:val="22"/>
            </w:rPr>
          </w:pPr>
        </w:p>
      </w:tc>
    </w:tr>
  </w:tbl>
  <w:p w:rsidR="00B0325F" w:rsidRDefault="004D5484">
    <w:pPr>
      <w:pBdr>
        <w:top w:val="nil"/>
        <w:left w:val="nil"/>
        <w:bottom w:val="nil"/>
        <w:right w:val="nil"/>
        <w:between w:val="nil"/>
      </w:pBdr>
      <w:tabs>
        <w:tab w:val="center" w:pos="4419"/>
        <w:tab w:val="right" w:pos="8838"/>
      </w:tabs>
      <w:rPr>
        <w:color w:val="000000"/>
      </w:rPr>
    </w:pPr>
    <w:r>
      <w:rPr>
        <w:rFonts w:ascii="Garamond" w:eastAsia="Garamond" w:hAnsi="Garamond" w:cs="Garamond"/>
        <w:noProof/>
        <w:color w:val="000000"/>
        <w:sz w:val="22"/>
        <w:szCs w:val="22"/>
      </w:rPr>
      <w:drawing>
        <wp:anchor distT="0" distB="0" distL="0" distR="0" simplePos="0" relativeHeight="251656704" behindDoc="1" locked="0" layoutInCell="1" hidden="0" allowOverlap="1">
          <wp:simplePos x="0" y="0"/>
          <wp:positionH relativeFrom="margin">
            <wp:posOffset>-1153157</wp:posOffset>
          </wp:positionH>
          <wp:positionV relativeFrom="margin">
            <wp:posOffset>-1539238</wp:posOffset>
          </wp:positionV>
          <wp:extent cx="7835900" cy="10203815"/>
          <wp:effectExtent l="0" t="0" r="0" b="0"/>
          <wp:wrapNone/>
          <wp:docPr id="168152159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835900" cy="102038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25F" w:rsidRDefault="00B0325F">
    <w:pPr>
      <w:widowControl w:val="0"/>
      <w:pBdr>
        <w:top w:val="nil"/>
        <w:left w:val="nil"/>
        <w:bottom w:val="nil"/>
        <w:right w:val="nil"/>
        <w:between w:val="nil"/>
      </w:pBdr>
      <w:spacing w:line="276" w:lineRule="auto"/>
      <w:rPr>
        <w:color w:val="000000"/>
      </w:rPr>
    </w:pPr>
  </w:p>
  <w:tbl>
    <w:tblPr>
      <w:tblStyle w:val="ad"/>
      <w:tblW w:w="9214" w:type="dxa"/>
      <w:tblInd w:w="0" w:type="dxa"/>
      <w:tblLayout w:type="fixed"/>
      <w:tblLook w:val="0400" w:firstRow="0" w:lastRow="0" w:firstColumn="0" w:lastColumn="0" w:noHBand="0" w:noVBand="1"/>
    </w:tblPr>
    <w:tblGrid>
      <w:gridCol w:w="851"/>
      <w:gridCol w:w="8363"/>
    </w:tblGrid>
    <w:tr w:rsidR="00B0325F">
      <w:trPr>
        <w:trHeight w:val="1435"/>
      </w:trPr>
      <w:tc>
        <w:tcPr>
          <w:tcW w:w="851" w:type="dxa"/>
        </w:tcPr>
        <w:p w:rsidR="00B0325F" w:rsidRDefault="00B0325F">
          <w:pPr>
            <w:tabs>
              <w:tab w:val="right" w:pos="4273"/>
            </w:tabs>
            <w:spacing w:line="256" w:lineRule="auto"/>
            <w:rPr>
              <w:rFonts w:ascii="Garamond" w:eastAsia="Garamond" w:hAnsi="Garamond" w:cs="Garamond"/>
              <w:sz w:val="22"/>
              <w:szCs w:val="22"/>
            </w:rPr>
          </w:pPr>
        </w:p>
      </w:tc>
      <w:tc>
        <w:tcPr>
          <w:tcW w:w="8363" w:type="dxa"/>
        </w:tcPr>
        <w:p w:rsidR="00B0325F" w:rsidRDefault="00B0325F">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e"/>
            <w:tblW w:w="842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818"/>
            <w:gridCol w:w="4153"/>
            <w:gridCol w:w="458"/>
          </w:tblGrid>
          <w:tr w:rsidR="00B0325F">
            <w:trPr>
              <w:gridAfter w:val="1"/>
              <w:wAfter w:w="458" w:type="dxa"/>
              <w:trHeight w:val="132"/>
            </w:trPr>
            <w:tc>
              <w:tcPr>
                <w:tcW w:w="3818" w:type="dxa"/>
              </w:tcPr>
              <w:p w:rsidR="00B0325F" w:rsidRDefault="004D5484">
                <w:pPr>
                  <w:tabs>
                    <w:tab w:val="right" w:pos="8838"/>
                  </w:tabs>
                  <w:ind w:left="-69"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w:t>
                </w:r>
              </w:p>
              <w:p w:rsidR="00B0325F" w:rsidRDefault="004D5484">
                <w:pPr>
                  <w:tabs>
                    <w:tab w:val="right" w:pos="8838"/>
                  </w:tabs>
                  <w:ind w:left="1345"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153" w:type="dxa"/>
              </w:tcPr>
              <w:p w:rsidR="00B0325F" w:rsidRDefault="00B0325F">
                <w:pPr>
                  <w:tabs>
                    <w:tab w:val="right" w:pos="8838"/>
                  </w:tabs>
                  <w:ind w:left="-74" w:right="-105"/>
                  <w:jc w:val="both"/>
                  <w:rPr>
                    <w:rFonts w:ascii="Palatino Linotype" w:eastAsia="Palatino Linotype" w:hAnsi="Palatino Linotype" w:cs="Palatino Linotype"/>
                    <w:sz w:val="22"/>
                    <w:szCs w:val="22"/>
                  </w:rPr>
                </w:pPr>
              </w:p>
              <w:p w:rsidR="00B0325F" w:rsidRDefault="004D5484">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10031/INFOEM/IP/RR/2025 y acumulado </w:t>
                </w:r>
              </w:p>
            </w:tc>
          </w:tr>
          <w:tr w:rsidR="00B0325F">
            <w:trPr>
              <w:gridAfter w:val="1"/>
              <w:wAfter w:w="458" w:type="dxa"/>
              <w:trHeight w:val="132"/>
            </w:trPr>
            <w:tc>
              <w:tcPr>
                <w:tcW w:w="3818" w:type="dxa"/>
              </w:tcPr>
              <w:p w:rsidR="00B0325F" w:rsidRDefault="004D5484">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Recurrente:</w:t>
                </w:r>
              </w:p>
            </w:tc>
            <w:tc>
              <w:tcPr>
                <w:tcW w:w="4153" w:type="dxa"/>
              </w:tcPr>
              <w:p w:rsidR="00B0325F" w:rsidRDefault="00B0325F">
                <w:pPr>
                  <w:tabs>
                    <w:tab w:val="left" w:pos="3122"/>
                    <w:tab w:val="right" w:pos="8838"/>
                  </w:tabs>
                  <w:ind w:left="-74" w:right="-105"/>
                  <w:jc w:val="both"/>
                  <w:rPr>
                    <w:rFonts w:ascii="Palatino Linotype" w:eastAsia="Palatino Linotype" w:hAnsi="Palatino Linotype" w:cs="Palatino Linotype"/>
                    <w:sz w:val="22"/>
                    <w:szCs w:val="22"/>
                  </w:rPr>
                </w:pPr>
              </w:p>
            </w:tc>
          </w:tr>
          <w:tr w:rsidR="00B0325F">
            <w:trPr>
              <w:gridAfter w:val="1"/>
              <w:wAfter w:w="458" w:type="dxa"/>
              <w:trHeight w:val="261"/>
            </w:trPr>
            <w:tc>
              <w:tcPr>
                <w:tcW w:w="3818" w:type="dxa"/>
              </w:tcPr>
              <w:p w:rsidR="00B0325F" w:rsidRDefault="004D5484">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Sujeto Obligado:</w:t>
                </w:r>
              </w:p>
            </w:tc>
            <w:tc>
              <w:tcPr>
                <w:tcW w:w="4153" w:type="dxa"/>
              </w:tcPr>
              <w:p w:rsidR="00B0325F" w:rsidRDefault="004D5484">
                <w:pPr>
                  <w:tabs>
                    <w:tab w:val="left" w:pos="2834"/>
                    <w:tab w:val="right" w:pos="8838"/>
                  </w:tabs>
                  <w:ind w:left="-7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Acolman</w:t>
                </w:r>
              </w:p>
            </w:tc>
          </w:tr>
          <w:tr w:rsidR="00B0325F">
            <w:trPr>
              <w:trHeight w:val="261"/>
            </w:trPr>
            <w:tc>
              <w:tcPr>
                <w:tcW w:w="3818" w:type="dxa"/>
              </w:tcPr>
              <w:p w:rsidR="00B0325F" w:rsidRDefault="004D5484">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Comisionado Ponente:</w:t>
                </w:r>
              </w:p>
            </w:tc>
            <w:tc>
              <w:tcPr>
                <w:tcW w:w="4611" w:type="dxa"/>
                <w:gridSpan w:val="2"/>
              </w:tcPr>
              <w:p w:rsidR="00B0325F" w:rsidRDefault="004D5484">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rsidR="00B0325F" w:rsidRDefault="00B0325F">
          <w:pPr>
            <w:tabs>
              <w:tab w:val="right" w:pos="8838"/>
            </w:tabs>
            <w:spacing w:line="256" w:lineRule="auto"/>
            <w:ind w:left="-28"/>
            <w:jc w:val="both"/>
            <w:rPr>
              <w:rFonts w:ascii="Arial" w:eastAsia="Arial" w:hAnsi="Arial" w:cs="Arial"/>
              <w:b/>
              <w:bCs/>
              <w:sz w:val="22"/>
              <w:szCs w:val="22"/>
            </w:rPr>
          </w:pPr>
        </w:p>
      </w:tc>
    </w:tr>
  </w:tbl>
  <w:p w:rsidR="00B0325F" w:rsidRDefault="00F40CBE">
    <w:pPr>
      <w:pBdr>
        <w:top w:val="nil"/>
        <w:left w:val="nil"/>
        <w:bottom w:val="nil"/>
        <w:right w:val="nil"/>
        <w:between w:val="nil"/>
      </w:pBdr>
      <w:tabs>
        <w:tab w:val="center" w:pos="4419"/>
        <w:tab w:val="right" w:pos="8838"/>
      </w:tabs>
      <w:rPr>
        <w:color w:val="000000"/>
      </w:rPr>
    </w:pPr>
    <w:r>
      <w:rPr>
        <w:rFonts w:ascii="Garamond" w:eastAsia="Garamond" w:hAnsi="Garamond" w:cs="Garamond"/>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85.05pt;margin-top:-121.35pt;width:663.5pt;height:12in;z-index:-251657728;mso-position-horizontal:absolute;mso-position-horizontal-relative:margin;mso-position-vertical:absolute;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E07B5"/>
    <w:multiLevelType w:val="multilevel"/>
    <w:tmpl w:val="AF666FD4"/>
    <w:lvl w:ilvl="0">
      <w:start w:val="1"/>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32B01B7"/>
    <w:multiLevelType w:val="multilevel"/>
    <w:tmpl w:val="0620759C"/>
    <w:lvl w:ilvl="0">
      <w:start w:val="1"/>
      <w:numFmt w:val="lowerRoman"/>
      <w:lvlText w:val="%1)"/>
      <w:lvlJc w:val="left"/>
      <w:pPr>
        <w:ind w:left="1080" w:hanging="720"/>
      </w:pPr>
      <w:rPr>
        <w:rFonts w:ascii="Times New Roman" w:eastAsia="Times New Roman" w:hAnsi="Times New Roman" w:cs="Times New Roman"/>
        <w:sz w:val="20"/>
        <w:szCs w:val="20"/>
      </w:rPr>
    </w:lvl>
    <w:lvl w:ilvl="1">
      <w:start w:val="1"/>
      <w:numFmt w:val="upperRoman"/>
      <w:lvlText w:val="%2."/>
      <w:lvlJc w:val="left"/>
      <w:pPr>
        <w:ind w:left="1800" w:hanging="720"/>
      </w:pPr>
    </w:lvl>
    <w:lvl w:ilvl="2">
      <w:start w:val="1"/>
      <w:numFmt w:val="decimal"/>
      <w:lvlText w:val="%3."/>
      <w:lvlJc w:val="left"/>
      <w:pPr>
        <w:ind w:left="234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0764FC"/>
    <w:multiLevelType w:val="multilevel"/>
    <w:tmpl w:val="BEEC1A8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24DC4E55"/>
    <w:multiLevelType w:val="multilevel"/>
    <w:tmpl w:val="A49455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68B5984"/>
    <w:multiLevelType w:val="multilevel"/>
    <w:tmpl w:val="C5840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7BF0385"/>
    <w:multiLevelType w:val="multilevel"/>
    <w:tmpl w:val="48E4B24E"/>
    <w:lvl w:ilvl="0">
      <w:start w:val="1"/>
      <w:numFmt w:val="lowerRoman"/>
      <w:lvlText w:val="%1)"/>
      <w:lvlJc w:val="left"/>
      <w:pPr>
        <w:ind w:left="1080" w:hanging="72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2FF2EF3"/>
    <w:multiLevelType w:val="multilevel"/>
    <w:tmpl w:val="ADCE6B6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98C7A4D"/>
    <w:multiLevelType w:val="multilevel"/>
    <w:tmpl w:val="729665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B887E1C"/>
    <w:multiLevelType w:val="multilevel"/>
    <w:tmpl w:val="B52CF0DA"/>
    <w:lvl w:ilvl="0">
      <w:start w:val="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BB01872"/>
    <w:multiLevelType w:val="multilevel"/>
    <w:tmpl w:val="E77050E8"/>
    <w:lvl w:ilvl="0">
      <w:start w:val="3"/>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20612C7"/>
    <w:multiLevelType w:val="multilevel"/>
    <w:tmpl w:val="36000A7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7832337"/>
    <w:multiLevelType w:val="multilevel"/>
    <w:tmpl w:val="541637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AC64C86"/>
    <w:multiLevelType w:val="multilevel"/>
    <w:tmpl w:val="07AEDE7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8084945"/>
    <w:multiLevelType w:val="multilevel"/>
    <w:tmpl w:val="4C629A48"/>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AD707F1"/>
    <w:multiLevelType w:val="multilevel"/>
    <w:tmpl w:val="CD7E16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FF94044"/>
    <w:multiLevelType w:val="multilevel"/>
    <w:tmpl w:val="746A8CC2"/>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10"/>
  </w:num>
  <w:num w:numId="3">
    <w:abstractNumId w:val="8"/>
  </w:num>
  <w:num w:numId="4">
    <w:abstractNumId w:val="9"/>
  </w:num>
  <w:num w:numId="5">
    <w:abstractNumId w:val="3"/>
  </w:num>
  <w:num w:numId="6">
    <w:abstractNumId w:val="2"/>
  </w:num>
  <w:num w:numId="7">
    <w:abstractNumId w:val="14"/>
  </w:num>
  <w:num w:numId="8">
    <w:abstractNumId w:val="12"/>
  </w:num>
  <w:num w:numId="9">
    <w:abstractNumId w:val="15"/>
  </w:num>
  <w:num w:numId="10">
    <w:abstractNumId w:val="7"/>
  </w:num>
  <w:num w:numId="11">
    <w:abstractNumId w:val="0"/>
  </w:num>
  <w:num w:numId="12">
    <w:abstractNumId w:val="11"/>
  </w:num>
  <w:num w:numId="13">
    <w:abstractNumId w:val="6"/>
  </w:num>
  <w:num w:numId="14">
    <w:abstractNumId w:val="4"/>
  </w:num>
  <w:num w:numId="15">
    <w:abstractNumId w:val="13"/>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25F"/>
    <w:rsid w:val="001E1B28"/>
    <w:rsid w:val="004D5484"/>
    <w:rsid w:val="006174A2"/>
    <w:rsid w:val="006E2C1C"/>
    <w:rsid w:val="00784F65"/>
    <w:rsid w:val="00B0325F"/>
    <w:rsid w:val="00C86591"/>
    <w:rsid w:val="00E142C0"/>
    <w:rsid w:val="00F40C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E5BE6D03-7878-48D7-862B-21C950B14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360" w:after="80"/>
      <w:outlineLvl w:val="0"/>
    </w:pPr>
    <w:rPr>
      <w:rFonts w:ascii="Calibri" w:eastAsia="Calibri" w:hAnsi="Calibri" w:cs="Calibri"/>
      <w:color w:val="2E75B5"/>
      <w:sz w:val="40"/>
      <w:szCs w:val="40"/>
    </w:rPr>
  </w:style>
  <w:style w:type="paragraph" w:styleId="Ttulo2">
    <w:name w:val="heading 2"/>
    <w:basedOn w:val="Normal"/>
    <w:next w:val="Normal"/>
    <w:pPr>
      <w:keepNext/>
      <w:keepLines/>
      <w:spacing w:before="160" w:after="80"/>
      <w:outlineLvl w:val="1"/>
    </w:pPr>
    <w:rPr>
      <w:rFonts w:ascii="Calibri" w:eastAsia="Calibri" w:hAnsi="Calibri" w:cs="Calibri"/>
      <w:color w:val="2E75B5"/>
      <w:sz w:val="32"/>
      <w:szCs w:val="32"/>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character" w:customStyle="1" w:styleId="Ttulo1Car">
    <w:name w:val="Título 1 Car"/>
    <w:basedOn w:val="Fuentedeprrafopredeter"/>
    <w:uiPriority w:val="9"/>
    <w:rsid w:val="00473E86"/>
    <w:rPr>
      <w:rFonts w:asciiTheme="majorHAnsi" w:eastAsiaTheme="majorEastAsia" w:hAnsiTheme="majorHAnsi" w:cstheme="majorBidi"/>
      <w:color w:val="2E74B5" w:themeColor="accent1" w:themeShade="BF"/>
      <w:sz w:val="40"/>
      <w:szCs w:val="40"/>
      <w:lang w:eastAsia="es-ES"/>
    </w:rPr>
  </w:style>
  <w:style w:type="character" w:customStyle="1" w:styleId="Ttulo2Car">
    <w:name w:val="Título 2 Car"/>
    <w:basedOn w:val="Fuentedeprrafopredeter"/>
    <w:uiPriority w:val="9"/>
    <w:rsid w:val="00473E86"/>
    <w:rPr>
      <w:rFonts w:asciiTheme="majorHAnsi" w:eastAsiaTheme="majorEastAsia" w:hAnsiTheme="majorHAnsi" w:cstheme="majorBidi"/>
      <w:color w:val="2E74B5" w:themeColor="accent1" w:themeShade="BF"/>
      <w:sz w:val="32"/>
      <w:szCs w:val="32"/>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73E8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73E86"/>
    <w:rPr>
      <w:rFonts w:ascii="Times New Roman" w:eastAsia="Times New Roman" w:hAnsi="Times New Roman" w:cs="Times New Roman"/>
      <w:sz w:val="20"/>
      <w:szCs w:val="20"/>
      <w:lang w:eastAsia="es-ES"/>
    </w:rPr>
  </w:style>
  <w:style w:type="table" w:styleId="Tablaconcuadrcula">
    <w:name w:val="Table Grid"/>
    <w:basedOn w:val="Tablanormal"/>
    <w:uiPriority w:val="39"/>
    <w:rsid w:val="00473E86"/>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73E86"/>
    <w:pPr>
      <w:tabs>
        <w:tab w:val="center" w:pos="4419"/>
        <w:tab w:val="right" w:pos="8838"/>
      </w:tabs>
    </w:pPr>
  </w:style>
  <w:style w:type="character" w:customStyle="1" w:styleId="EncabezadoCar">
    <w:name w:val="Encabezado Car"/>
    <w:basedOn w:val="Fuentedeprrafopredeter"/>
    <w:link w:val="Encabezado"/>
    <w:uiPriority w:val="99"/>
    <w:rsid w:val="00473E86"/>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473E86"/>
    <w:pPr>
      <w:tabs>
        <w:tab w:val="center" w:pos="4419"/>
        <w:tab w:val="right" w:pos="8838"/>
      </w:tabs>
    </w:pPr>
  </w:style>
  <w:style w:type="character" w:customStyle="1" w:styleId="PiedepginaCar">
    <w:name w:val="Pie de página Car"/>
    <w:basedOn w:val="Fuentedeprrafopredeter"/>
    <w:link w:val="Piedepgina"/>
    <w:uiPriority w:val="99"/>
    <w:rsid w:val="00473E86"/>
    <w:rPr>
      <w:rFonts w:ascii="Times New Roman" w:eastAsia="Times New Roman" w:hAnsi="Times New Roman" w:cs="Times New Roman"/>
      <w:sz w:val="20"/>
      <w:szCs w:val="20"/>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473E86"/>
    <w:rPr>
      <w:color w:val="0563C1" w:themeColor="hyperlink"/>
      <w:u w:val="single"/>
    </w:rPr>
  </w:style>
  <w:style w:type="paragraph" w:styleId="TtulodeTDC">
    <w:name w:val="TOC Heading"/>
    <w:next w:val="Normal"/>
    <w:uiPriority w:val="39"/>
    <w:unhideWhenUsed/>
    <w:qFormat/>
    <w:rsid w:val="00473E86"/>
    <w:pPr>
      <w:spacing w:before="240"/>
    </w:pPr>
    <w:rPr>
      <w:sz w:val="32"/>
      <w:szCs w:val="32"/>
    </w:rPr>
  </w:style>
  <w:style w:type="paragraph" w:styleId="TDC2">
    <w:name w:val="toc 2"/>
    <w:basedOn w:val="Normal"/>
    <w:next w:val="Normal"/>
    <w:autoRedefine/>
    <w:uiPriority w:val="39"/>
    <w:unhideWhenUsed/>
    <w:rsid w:val="00473E86"/>
    <w:pPr>
      <w:spacing w:after="100" w:line="259" w:lineRule="auto"/>
      <w:ind w:left="220"/>
    </w:pPr>
    <w:rPr>
      <w:rFonts w:asciiTheme="minorHAnsi" w:eastAsiaTheme="minorEastAsia" w:hAnsiTheme="minorHAnsi"/>
      <w:sz w:val="22"/>
      <w:szCs w:val="22"/>
    </w:rPr>
  </w:style>
  <w:style w:type="paragraph" w:styleId="TDC1">
    <w:name w:val="toc 1"/>
    <w:basedOn w:val="Normal"/>
    <w:next w:val="Normal"/>
    <w:autoRedefine/>
    <w:uiPriority w:val="39"/>
    <w:unhideWhenUsed/>
    <w:rsid w:val="00473E86"/>
    <w:pPr>
      <w:spacing w:after="100" w:line="259" w:lineRule="auto"/>
    </w:pPr>
    <w:rPr>
      <w:rFonts w:asciiTheme="minorHAnsi" w:eastAsiaTheme="minorEastAsia" w:hAnsiTheme="minorHAnsi"/>
      <w:sz w:val="22"/>
      <w:szCs w:val="22"/>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s://www.apartados.hacienda.gob.mx/contabilidad/documentos/informe_cuenta/1998/cuenta_publica/Glosario/n.htm"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pm7EJ5t3DjhRvWHjBcF7piuUw==">CgMxLjAyDmguMmx3d205MWNvNTJuMg5oLjFldzRmcTNpejYyYzIOaC5odmw1d2NrdXJ1bnUyDmgucTV5a3U0OWNkajBoMg5oLjJyMnQ0cWhwNmxicjIOaC5pbjJqaW5xaG5vM2MyDmguNnQ4a3RtNnlxMHg3Mg5oLm9icjcxcjZ4YTVhdTIOaC52azhxd2MyeHpzcTEyDmguY21hbWp4YWRjaWt2Mg5oLnFvczVlYzZlaWF2ajIOaC5xMzJ3bTRoczU4d2syDmgua3doZms4NnhsZmZsMg5oLnFqNG9kYzU0M3EyazIOaC5oMXh6ZDRzeGEybXoyDmguN2dwN3NiOWR2a3kxMg5oLnpmd3RrMXY2MG82aTgAciExUzIxdk5IMkM3dERySERCa2V6YVJNWlZhYzZIV3RnR2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92873AF-8D34-4571-81DA-EE807948F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11032</Words>
  <Characters>60682</Characters>
  <Application>Microsoft Office Word</Application>
  <DocSecurity>0</DocSecurity>
  <Lines>505</Lines>
  <Paragraphs>143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71571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INFOEM500</dc:creator>
  <cp:lastModifiedBy>USUARIO</cp:lastModifiedBy>
  <cp:revision>3</cp:revision>
  <cp:lastPrinted>2025-11-27T18:17:00Z</cp:lastPrinted>
  <dcterms:created xsi:type="dcterms:W3CDTF">2025-11-27T18:17:00Z</dcterms:created>
  <dcterms:modified xsi:type="dcterms:W3CDTF">2025-11-27T18:17:00Z</dcterms:modified>
</cp:coreProperties>
</file>