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81" w:rsidRDefault="00503573">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CUARTA SESIÓN ORDINARIA DEL VEINTITRÉS DE ABRIL DE DOS MIL VEINTICINCO, EN EL RECURSO DE REVISIÓN 01929/INFOEM/IP/RR/2025.</w:t>
      </w:r>
    </w:p>
    <w:p w:rsidR="00334081" w:rsidRDefault="0050357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Pleno del Instituto de Transparencia, Acceso a la Información Pública y Protección de Datos Personales del Estado de México re</w:t>
      </w:r>
      <w:r>
        <w:rPr>
          <w:rFonts w:ascii="Palatino Linotype" w:eastAsia="Palatino Linotype" w:hAnsi="Palatino Linotype" w:cs="Palatino Linotype"/>
        </w:rPr>
        <w:t xml:space="preserve">solvió por unanimidad de votos, la Resolución relativa al Recurso de Revisión </w:t>
      </w:r>
      <w:r>
        <w:rPr>
          <w:rFonts w:ascii="Palatino Linotype" w:eastAsia="Palatino Linotype" w:hAnsi="Palatino Linotype" w:cs="Palatino Linotype"/>
          <w:b/>
        </w:rPr>
        <w:t xml:space="preserve">01929/INFOEM/IP/RR/2025,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w:t>
      </w:r>
      <w:r>
        <w:rPr>
          <w:rFonts w:ascii="Palatino Linotype" w:eastAsia="Palatino Linotype" w:hAnsi="Palatino Linotype" w:cs="Palatino Linotype"/>
        </w:rPr>
        <w:t>ia, Acceso a la Información Pública y Protección de Personales Datos del Estado de México, así como 45 y 48, fracción I, de los Lineamientos para el funcionamiento del Pleno y las Comisiones del Instituto de Transparencia, Acceso a la Información Pública y</w:t>
      </w:r>
      <w:r>
        <w:rPr>
          <w:rFonts w:ascii="Palatino Linotype" w:eastAsia="Palatino Linotype" w:hAnsi="Palatino Linotype" w:cs="Palatino Linotype"/>
        </w:rPr>
        <w:t xml:space="preserve"> Protección de Datos Personales del Estado de México y Municipios.</w:t>
      </w:r>
    </w:p>
    <w:p w:rsidR="00334081" w:rsidRDefault="00503573">
      <w:pPr>
        <w:spacing w:after="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Al respecto, resulta importante señalar que coincido con los términos generales planteados en la Resolución, misma que fue engrosada conforme al criterio mayoritario</w:t>
      </w:r>
      <w:r>
        <w:t xml:space="preserve">; </w:t>
      </w:r>
      <w:r>
        <w:rPr>
          <w:rFonts w:ascii="Palatino Linotype" w:eastAsia="Palatino Linotype" w:hAnsi="Palatino Linotype" w:cs="Palatino Linotype"/>
        </w:rPr>
        <w:t>no obstante, considero</w:t>
      </w:r>
      <w:r>
        <w:rPr>
          <w:rFonts w:ascii="Palatino Linotype" w:eastAsia="Palatino Linotype" w:hAnsi="Palatino Linotype" w:cs="Palatino Linotype"/>
        </w:rPr>
        <w:t xml:space="preserve"> que en el caso de la información de policías operativos adscritos al Ayuntamiento de Toluca deben tomarse en cuenta las consideraciones que a continuación se exponen. </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bookmarkStart w:id="2" w:name="_heading=h.k0tmnbdcvogt" w:colFirst="0" w:colLast="0"/>
      <w:bookmarkEnd w:id="2"/>
      <w:r>
        <w:rPr>
          <w:rFonts w:ascii="Palatino Linotype" w:eastAsia="Palatino Linotype" w:hAnsi="Palatino Linotype" w:cs="Palatino Linotype"/>
        </w:rPr>
        <w:t>Sobre este punto, debemos partir desde la máxima establecida en nuestro texto Constitu</w:t>
      </w:r>
      <w:r>
        <w:rPr>
          <w:rFonts w:ascii="Palatino Linotype" w:eastAsia="Palatino Linotype" w:hAnsi="Palatino Linotype" w:cs="Palatino Linotype"/>
        </w:rPr>
        <w:t xml:space="preserve">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 xml:space="preserve">salvaguardar la vida, las libertades, la integridad y </w:t>
      </w:r>
      <w:r>
        <w:rPr>
          <w:rFonts w:ascii="Palatino Linotype" w:eastAsia="Palatino Linotype" w:hAnsi="Palatino Linotype" w:cs="Palatino Linotype"/>
          <w:b/>
        </w:rPr>
        <w:t>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w:t>
      </w:r>
      <w:r>
        <w:rPr>
          <w:rFonts w:ascii="Palatino Linotype" w:eastAsia="Palatino Linotype" w:hAnsi="Palatino Linotype" w:cs="Palatino Linotype"/>
        </w:rPr>
        <w:t>encia, profesionalismo, honradez y respeto a los derechos humanos.</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w:t>
      </w:r>
      <w:r>
        <w:rPr>
          <w:rFonts w:ascii="Palatino Linotype" w:eastAsia="Palatino Linotype" w:hAnsi="Palatino Linotype" w:cs="Palatino Linotype"/>
        </w:rPr>
        <w:t>terés social y de observancia general en todo el territorio del Estado de México y tiene por objeto establecer las bases de coordinación del Estado y los Municipios con la Federación, las Entidades Federativas, Municipios y Alcaldías de la Ciudad de México</w:t>
      </w:r>
      <w:r>
        <w:rPr>
          <w:rFonts w:ascii="Palatino Linotype" w:eastAsia="Palatino Linotype" w:hAnsi="Palatino Linotype" w:cs="Palatino Linotype"/>
        </w:rPr>
        <w:t>; integrar el Sistema Estatal de Seguridad Pública, que a su vez contribuirá con el Sistema Nacional de Seguridad Pública; para la construcción de las bases para una plena seguridad ciudadana.</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w:t>
      </w:r>
      <w:r>
        <w:rPr>
          <w:rFonts w:ascii="Palatino Linotype" w:eastAsia="Palatino Linotype" w:hAnsi="Palatino Linotype" w:cs="Palatino Linotype"/>
        </w:rPr>
        <w:t xml:space="preserve"> que la finalidad de la función de seguridad pública indudablemente tienen como eje central a la persona humana y, por ende, contribuyen al establecimiento de la seguridad ciudadana, la cual tiene por objeto proteger a las personas; asegurar el ejercicio d</w:t>
      </w:r>
      <w:r>
        <w:rPr>
          <w:rFonts w:ascii="Palatino Linotype" w:eastAsia="Palatino Linotype" w:hAnsi="Palatino Linotype" w:cs="Palatino Linotype"/>
        </w:rPr>
        <w:t>e su ciudadanía, sus libertades y derechos fundamentales; establecer espacios de participación social corresponsable y armónica; propiciar la solución pacífica de los conflictos interpersonales y sociales; fortalecer a las instituciones, y propiciar condic</w:t>
      </w:r>
      <w:r>
        <w:rPr>
          <w:rFonts w:ascii="Palatino Linotype" w:eastAsia="Palatino Linotype" w:hAnsi="Palatino Linotype" w:cs="Palatino Linotype"/>
        </w:rPr>
        <w:t>iones durables que permitan a los ciudadanos desarrollar sus capacidades, en un ambiente de paz y democracia.</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encargados de ejecutar las acciones para consumar esta función, podemo</w:t>
      </w:r>
      <w:r>
        <w:rPr>
          <w:rFonts w:ascii="Palatino Linotype" w:eastAsia="Palatino Linotype" w:hAnsi="Palatino Linotype" w:cs="Palatino Linotype"/>
        </w:rPr>
        <w:t>s observar con claridad la importancia de los elementos operativos que ejecutan estas acciones encaminadas a preservar el orden dentro de la dinámica social y podemos partir de este punto para determinar el riesgo de la divulgación de esta información y po</w:t>
      </w:r>
      <w:r>
        <w:rPr>
          <w:rFonts w:ascii="Palatino Linotype" w:eastAsia="Palatino Linotype" w:hAnsi="Palatino Linotype" w:cs="Palatino Linotype"/>
        </w:rPr>
        <w:t xml:space="preserve">r ende, la procedencia de su clasificación como información reservada. </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w:t>
      </w:r>
      <w:r>
        <w:rPr>
          <w:rFonts w:ascii="Palatino Linotype" w:eastAsia="Palatino Linotype" w:hAnsi="Palatino Linotype" w:cs="Palatino Linotype"/>
        </w:rPr>
        <w:t>ca generada o en poder de Instituciones de Seguridad Pública o de cualquier instancia del Sistema Estatal debe clasificarse, sirve de referencia la siguiente cita:</w:t>
      </w:r>
    </w:p>
    <w:p w:rsidR="00334081" w:rsidRDefault="00334081">
      <w:pPr>
        <w:spacing w:after="0" w:line="240" w:lineRule="auto"/>
        <w:ind w:left="851" w:right="900"/>
        <w:jc w:val="both"/>
        <w:rPr>
          <w:rFonts w:ascii="Palatino Linotype" w:eastAsia="Palatino Linotype" w:hAnsi="Palatino Linotype" w:cs="Palatino Linotype"/>
          <w:i/>
        </w:rPr>
      </w:pPr>
    </w:p>
    <w:p w:rsidR="00334081" w:rsidRDefault="00503573">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w:t>
      </w:r>
      <w:r>
        <w:rPr>
          <w:rFonts w:ascii="Palatino Linotype" w:eastAsia="Palatino Linotype" w:hAnsi="Palatino Linotype" w:cs="Palatino Linotype"/>
          <w:i/>
        </w:rPr>
        <w:t>nes de Seguridad Pública o de cualquier instancia del Sistema Estatal debe registrarse, clasificarse y tratarse de conformidad con las disposiciones aplicables. No obstante lo anterior, esta información se considerará reservada en los casos siguientes:</w:t>
      </w:r>
    </w:p>
    <w:p w:rsidR="00334081" w:rsidRDefault="00503573">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334081" w:rsidRDefault="00503573">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w:t>
      </w:r>
      <w:r>
        <w:rPr>
          <w:rFonts w:ascii="Palatino Linotype" w:eastAsia="Palatino Linotype" w:hAnsi="Palatino Linotype" w:cs="Palatino Linotype"/>
          <w:b/>
          <w:i/>
          <w:u w:val="single"/>
        </w:rPr>
        <w:t xml:space="preserve">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334081" w:rsidRDefault="00334081">
      <w:pPr>
        <w:spacing w:after="0" w:line="360" w:lineRule="auto"/>
        <w:ind w:left="567" w:right="990"/>
        <w:jc w:val="both"/>
        <w:rPr>
          <w:rFonts w:ascii="Palatino Linotype" w:eastAsia="Palatino Linotype" w:hAnsi="Palatino Linotype" w:cs="Palatino Linotype"/>
          <w:b/>
          <w:i/>
          <w:u w:val="singl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Informaci</w:t>
      </w:r>
      <w:r>
        <w:rPr>
          <w:rFonts w:ascii="Palatino Linotype" w:eastAsia="Palatino Linotype" w:hAnsi="Palatino Linotype" w:cs="Palatino Linotype"/>
        </w:rPr>
        <w:t>ón Pública, vigente a la fecha de la solicitud, en su artículo 113, fracción I señala que deberá reservarse la información que con su publicación se comprometa a la seguridad pública y cuente con un efecto demostrable, posteriormente el artículo 140 fracci</w:t>
      </w:r>
      <w:r>
        <w:rPr>
          <w:rFonts w:ascii="Palatino Linotype" w:eastAsia="Palatino Linotype" w:hAnsi="Palatino Linotype" w:cs="Palatino Linotype"/>
        </w:rPr>
        <w:t xml:space="preserve">ón I de la Ley de Transparencia Local replica esta circunstancia de reserva, que señalan: </w:t>
      </w:r>
    </w:p>
    <w:p w:rsidR="00334081" w:rsidRDefault="00334081">
      <w:pPr>
        <w:tabs>
          <w:tab w:val="left" w:pos="284"/>
        </w:tabs>
        <w:spacing w:after="0" w:line="240" w:lineRule="auto"/>
        <w:ind w:left="567" w:right="709"/>
        <w:jc w:val="both"/>
        <w:rPr>
          <w:rFonts w:ascii="Palatino Linotype" w:eastAsia="Palatino Linotype" w:hAnsi="Palatino Linotype" w:cs="Palatino Linotype"/>
          <w:i/>
        </w:rPr>
      </w:pPr>
    </w:p>
    <w:p w:rsidR="00334081" w:rsidRDefault="00503573">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334081" w:rsidRDefault="0050357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334081" w:rsidRDefault="0050357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334081" w:rsidRDefault="00503573">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334081" w:rsidRDefault="0050357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w:t>
      </w:r>
      <w:r>
        <w:rPr>
          <w:rFonts w:ascii="Palatino Linotype" w:eastAsia="Palatino Linotype" w:hAnsi="Palatino Linotype" w:cs="Palatino Linotype"/>
          <w:i/>
        </w:rPr>
        <w:t>a la información pública será restringido excepcionalmente, cuando por razones de interés público, ésta sea clasificada como reservada, conforme a los criterios siguientes:</w:t>
      </w:r>
    </w:p>
    <w:p w:rsidR="00334081" w:rsidRDefault="0050357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334081" w:rsidRDefault="00334081">
      <w:pPr>
        <w:spacing w:after="120" w:line="276" w:lineRule="auto"/>
        <w:ind w:left="567" w:right="900"/>
        <w:jc w:val="both"/>
        <w:rPr>
          <w:rFonts w:ascii="Palatino Linotype" w:eastAsia="Palatino Linotype" w:hAnsi="Palatino Linotype" w:cs="Palatino Linotype"/>
          <w:i/>
        </w:rPr>
      </w:pPr>
    </w:p>
    <w:p w:rsidR="00334081" w:rsidRDefault="00503573">
      <w:pPr>
        <w:spacing w:after="0" w:line="360" w:lineRule="auto"/>
        <w:jc w:val="both"/>
        <w:rPr>
          <w:rFonts w:ascii="Palatino Linotype" w:eastAsia="Palatino Linotype" w:hAnsi="Palatino Linotype" w:cs="Palatino Linotype"/>
        </w:rPr>
      </w:pPr>
      <w:bookmarkStart w:id="4" w:name="_heading=h.tt44m7fmlrar" w:colFirst="0" w:colLast="0"/>
      <w:bookmarkEnd w:id="4"/>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w:t>
      </w:r>
      <w:r>
        <w:rPr>
          <w:rFonts w:ascii="Palatino Linotype" w:eastAsia="Palatino Linotype" w:hAnsi="Palatino Linotype" w:cs="Palatino Linotype"/>
        </w:rPr>
        <w:t>blicas, publicados el 16 de abril de 2016 y reformados el 18 de noviembre de 2022, vigentes a la fecha de la solicitud, señalan en su numeral décimo octavo que podrá considerarse como información reservada, aquella que comprometa la seguridad pública, al p</w:t>
      </w:r>
      <w:r>
        <w:rPr>
          <w:rFonts w:ascii="Palatino Linotype" w:eastAsia="Palatino Linotype" w:hAnsi="Palatino Linotype" w:cs="Palatino Linotype"/>
        </w:rPr>
        <w:t>oner en peligro las funciones a cargo de la Federación, la Ciudad de México, los Estados y los Municipios, tendientes a preservar y resguardar la vida, la salud, la integridad y el ejercicio de los derechos de las personas, así como para el mantenimiento d</w:t>
      </w:r>
      <w:r>
        <w:rPr>
          <w:rFonts w:ascii="Palatino Linotype" w:eastAsia="Palatino Linotype" w:hAnsi="Palatino Linotype" w:cs="Palatino Linotype"/>
        </w:rPr>
        <w:t>el orden público.</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w:t>
      </w:r>
      <w:r>
        <w:rPr>
          <w:rFonts w:ascii="Palatino Linotype" w:eastAsia="Palatino Linotype" w:hAnsi="Palatino Linotype" w:cs="Palatino Linotype"/>
          <w:b/>
          <w:u w:val="single"/>
        </w:rPr>
        <w:t>dad pública</w:t>
      </w:r>
      <w:r>
        <w:rPr>
          <w:rFonts w:ascii="Palatino Linotype" w:eastAsia="Palatino Linotype" w:hAnsi="Palatino Linotype" w:cs="Palatino Linotype"/>
        </w:rPr>
        <w:t>, sus planes, estrategias, tecnología, información, sistemas de comunicaciones.</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w:t>
      </w:r>
      <w:r>
        <w:rPr>
          <w:rFonts w:ascii="Palatino Linotype" w:eastAsia="Palatino Linotype" w:hAnsi="Palatino Linotype" w:cs="Palatino Linotype"/>
        </w:rPr>
        <w:t xml:space="preserve">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públicos operativos que integran las instituciones de seguridad pública, ya que su divulgación podría ser utilizada para act</w:t>
      </w:r>
      <w:r>
        <w:rPr>
          <w:rFonts w:ascii="Palatino Linotype" w:eastAsia="Palatino Linotype" w:hAnsi="Palatino Linotype" w:cs="Palatino Linotype"/>
        </w:rPr>
        <w:t>ualizar o potenciar una amenaza para la seguridad pública de la sociedad; teniendo esto en cuenta y trasladando estas premisas al caso particular se estima que con la entrega de información de los servidores públicos con funciones operativas adscritos a in</w:t>
      </w:r>
      <w:r>
        <w:rPr>
          <w:rFonts w:ascii="Palatino Linotype" w:eastAsia="Palatino Linotype" w:hAnsi="Palatino Linotype" w:cs="Palatino Linotype"/>
        </w:rPr>
        <w:t>stituciones de seguridad pública, revela información actualizada sobre el número de policías operativos en activo a la fecha de la solicitud de información y en consecuencia su estado de fuerza vigente, lo cual no sólo contraviene lo dispuesto expresamente</w:t>
      </w:r>
      <w:r>
        <w:rPr>
          <w:rFonts w:ascii="Palatino Linotype" w:eastAsia="Palatino Linotype" w:hAnsi="Palatino Linotype" w:cs="Palatino Linotype"/>
        </w:rPr>
        <w:t xml:space="preserve"> por las disposiciones previamente insertadas, sino que, además, pone en riesgo los valores jurídicos y los principios bajo los cuales de las instituciones de seguridad pública se debe regir como son la legalidad, objetividad, eficiencia, profesionalismo, </w:t>
      </w:r>
      <w:r>
        <w:rPr>
          <w:rFonts w:ascii="Palatino Linotype" w:eastAsia="Palatino Linotype" w:hAnsi="Palatino Linotype" w:cs="Palatino Linotype"/>
        </w:rPr>
        <w:t>honradez y respeto a los derechos humanos reconocidos en la Constitución General.</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334081" w:rsidRDefault="00503573">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1. Se identifica en términos concretos cómo es que la información requerida podría compromet</w:t>
      </w:r>
      <w:r>
        <w:rPr>
          <w:rFonts w:ascii="Palatino Linotype" w:eastAsia="Palatino Linotype" w:hAnsi="Palatino Linotype" w:cs="Palatino Linotype"/>
        </w:rPr>
        <w:t xml:space="preserve">er el ejercicio de sus facultades constitucionales y, con ello, la seguridad pública, en virtud de que: </w:t>
      </w:r>
    </w:p>
    <w:p w:rsidR="00334081" w:rsidRDefault="00503573">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334081" w:rsidRDefault="00503573">
      <w:pPr>
        <w:spacing w:before="240" w:after="240" w:line="360" w:lineRule="auto"/>
        <w:ind w:left="567" w:right="900"/>
        <w:jc w:val="both"/>
        <w:rPr>
          <w:rFonts w:ascii="Palatino Linotype" w:eastAsia="Palatino Linotype" w:hAnsi="Palatino Linotype" w:cs="Palatino Linotype"/>
        </w:rPr>
      </w:pPr>
      <w:bookmarkStart w:id="5" w:name="_heading=h.1fob9te" w:colFirst="0" w:colLast="0"/>
      <w:bookmarkEnd w:id="5"/>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334081" w:rsidRDefault="00503573">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la entrega de la información y la afectación a l</w:t>
      </w:r>
      <w:r>
        <w:rPr>
          <w:rFonts w:ascii="Palatino Linotype" w:eastAsia="Palatino Linotype" w:hAnsi="Palatino Linotype" w:cs="Palatino Linotype"/>
        </w:rPr>
        <w:t xml:space="preserve">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334081" w:rsidRDefault="0050357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estado de fuer</w:t>
      </w:r>
      <w:r>
        <w:rPr>
          <w:rFonts w:ascii="Palatino Linotype" w:eastAsia="Palatino Linotype" w:hAnsi="Palatino Linotype" w:cs="Palatino Linotype"/>
          <w:b/>
          <w:i/>
        </w:rPr>
        <w:t xml:space="preserve">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334081" w:rsidRDefault="0050357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334081" w:rsidRDefault="00503573">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w:t>
      </w:r>
      <w:r>
        <w:rPr>
          <w:rFonts w:ascii="Palatino Linotype" w:eastAsia="Palatino Linotype" w:hAnsi="Palatino Linotype" w:cs="Palatino Linotype"/>
        </w:rPr>
        <w:t>los casos en los que se publiciten diversas notas o documentos en los que se dé a conocer información estadística sobre el número de elementos de policía con los que cuentan los ayuntamientos, esta información no se encuentra actualizada, aunado a que no s</w:t>
      </w:r>
      <w:r>
        <w:rPr>
          <w:rFonts w:ascii="Palatino Linotype" w:eastAsia="Palatino Linotype" w:hAnsi="Palatino Linotype" w:cs="Palatino Linotype"/>
        </w:rPr>
        <w:t>e hace una distinción entre el número de personal operativo y administrativo.</w:t>
      </w:r>
    </w:p>
    <w:p w:rsidR="00334081" w:rsidRDefault="00334081">
      <w:pPr>
        <w:spacing w:after="0" w:line="360" w:lineRule="auto"/>
        <w:ind w:right="139"/>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w:t>
      </w:r>
      <w:r>
        <w:rPr>
          <w:rFonts w:ascii="Palatino Linotype" w:eastAsia="Palatino Linotype" w:hAnsi="Palatino Linotype" w:cs="Palatino Linotype"/>
        </w:rPr>
        <w:t>azón de que,  son los responsables de procurar el orden, la estabilidad y la defensa de la sociedad a la que pertenecen, por lo que, se estima que al proporcionar documentales en las que se aprecie dicha información se revela el número de servidores públic</w:t>
      </w:r>
      <w:r>
        <w:rPr>
          <w:rFonts w:ascii="Palatino Linotype" w:eastAsia="Palatino Linotype" w:hAnsi="Palatino Linotype" w:cs="Palatino Linotype"/>
        </w:rPr>
        <w:t>os operativos con funciones de seguridad pública activos en el Sujeto obligado; información con la que se da a conocer el estado de fuerza y la capacidad de reacción del órgano público.</w:t>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w:t>
      </w:r>
      <w:r>
        <w:rPr>
          <w:rFonts w:ascii="Palatino Linotype" w:eastAsia="Palatino Linotype" w:hAnsi="Palatino Linotype" w:cs="Palatino Linotype"/>
        </w:rPr>
        <w:t xml:space="preserve"> que para los casos en los que los particulares deseen conocer las remuneraciones de los elementos operativos de las instituciones de seguridad pública, estas se pueden otorgar mediante el tabulador de sueldos, pues en este soporte se asientan los puestos </w:t>
      </w:r>
      <w:r>
        <w:rPr>
          <w:rFonts w:ascii="Palatino Linotype" w:eastAsia="Palatino Linotype" w:hAnsi="Palatino Linotype" w:cs="Palatino Linotype"/>
        </w:rPr>
        <w:t xml:space="preserve">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vigente, en dicho documento obran los siguientes elementos:</w:t>
      </w:r>
    </w:p>
    <w:p w:rsidR="00334081" w:rsidRDefault="00503573">
      <w:pPr>
        <w:spacing w:after="0" w:line="360" w:lineRule="auto"/>
        <w:jc w:val="center"/>
        <w:rPr>
          <w:rFonts w:ascii="Palatino Linotype" w:eastAsia="Palatino Linotype" w:hAnsi="Palatino Linotype" w:cs="Palatino Linotype"/>
        </w:rPr>
      </w:pPr>
      <w:bookmarkStart w:id="7" w:name="_heading=h.gjdgxs" w:colFirst="0" w:colLast="0"/>
      <w:bookmarkEnd w:id="7"/>
      <w:r>
        <w:rPr>
          <w:rFonts w:ascii="Palatino Linotype" w:eastAsia="Palatino Linotype" w:hAnsi="Palatino Linotype" w:cs="Palatino Linotype"/>
          <w:noProof/>
        </w:rPr>
        <w:drawing>
          <wp:inline distT="0" distB="0" distL="0" distR="0">
            <wp:extent cx="5744391" cy="5334168"/>
            <wp:effectExtent l="3175" t="3175" r="3175" b="3175"/>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9962"/>
                    <a:stretch>
                      <a:fillRect/>
                    </a:stretch>
                  </pic:blipFill>
                  <pic:spPr>
                    <a:xfrm>
                      <a:off x="0" y="0"/>
                      <a:ext cx="5744391" cy="5334168"/>
                    </a:xfrm>
                    <a:prstGeom prst="rect">
                      <a:avLst/>
                    </a:prstGeom>
                    <a:ln w="3175">
                      <a:solidFill>
                        <a:srgbClr val="000000"/>
                      </a:solidFill>
                      <a:prstDash val="solid"/>
                    </a:ln>
                  </pic:spPr>
                </pic:pic>
              </a:graphicData>
            </a:graphic>
          </wp:inline>
        </w:drawing>
      </w:r>
    </w:p>
    <w:p w:rsidR="00334081" w:rsidRDefault="00334081">
      <w:pPr>
        <w:spacing w:after="0" w:line="360" w:lineRule="auto"/>
        <w:jc w:val="both"/>
        <w:rPr>
          <w:rFonts w:ascii="Palatino Linotype" w:eastAsia="Palatino Linotype" w:hAnsi="Palatino Linotype" w:cs="Palatino Linotype"/>
        </w:rPr>
      </w:pPr>
    </w:p>
    <w:p w:rsidR="00334081" w:rsidRDefault="00503573">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33877" cy="4785428"/>
            <wp:effectExtent l="3175" t="3175" r="3175" b="3175"/>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33877" cy="4785428"/>
                    </a:xfrm>
                    <a:prstGeom prst="rect">
                      <a:avLst/>
                    </a:prstGeom>
                    <a:ln w="3175">
                      <a:solidFill>
                        <a:srgbClr val="000000"/>
                      </a:solidFill>
                      <a:prstDash val="solid"/>
                    </a:ln>
                  </pic:spPr>
                </pic:pic>
              </a:graphicData>
            </a:graphic>
          </wp:inline>
        </w:drawing>
      </w:r>
    </w:p>
    <w:p w:rsidR="00334081" w:rsidRDefault="005035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w:t>
      </w:r>
      <w:r>
        <w:rPr>
          <w:rFonts w:ascii="Palatino Linotype" w:eastAsia="Palatino Linotype" w:hAnsi="Palatino Linotype" w:cs="Palatino Linotype"/>
        </w:rPr>
        <w:t xml:space="preserve">sualizarse con claridad el cargo y la remuneración sin conocer el estado de fuerza de las entidades públicas y así no se restringe el derecho de acceso a la información de los particulares. </w:t>
      </w:r>
    </w:p>
    <w:p w:rsidR="00334081" w:rsidRDefault="00334081">
      <w:pPr>
        <w:spacing w:after="0" w:line="360" w:lineRule="auto"/>
        <w:ind w:right="139"/>
        <w:jc w:val="both"/>
        <w:rPr>
          <w:rFonts w:ascii="Palatino Linotype" w:eastAsia="Palatino Linotype" w:hAnsi="Palatino Linotype" w:cs="Palatino Linotype"/>
        </w:rPr>
      </w:pPr>
    </w:p>
    <w:p w:rsidR="00334081" w:rsidRDefault="00503573">
      <w:pPr>
        <w:spacing w:after="0" w:line="360" w:lineRule="auto"/>
        <w:ind w:right="139"/>
        <w:jc w:val="both"/>
        <w:rPr>
          <w:rFonts w:ascii="Palatino Linotype" w:eastAsia="Palatino Linotype" w:hAnsi="Palatino Linotype" w:cs="Palatino Linotype"/>
        </w:rPr>
      </w:pPr>
      <w:bookmarkStart w:id="8" w:name="_heading=h.jkaxn8mgxy7q" w:colFirst="0" w:colLast="0"/>
      <w:bookmarkEnd w:id="8"/>
      <w:r>
        <w:rPr>
          <w:rFonts w:ascii="Palatino Linotype" w:eastAsia="Palatino Linotype" w:hAnsi="Palatino Linotype" w:cs="Palatino Linotype"/>
        </w:rPr>
        <w:t>Es por todo lo anteriormente expuesto que considero que en las l</w:t>
      </w:r>
      <w:r>
        <w:rPr>
          <w:rFonts w:ascii="Palatino Linotype" w:eastAsia="Palatino Linotype" w:hAnsi="Palatino Linotype" w:cs="Palatino Linotype"/>
        </w:rPr>
        <w:t xml:space="preserve">íneas argumentativas que anteceden, se acreditó de manera fehaciente que esta información debe ser reservada pues su entrega revela datos que pudieran ser aprovechados para conocer la capacidad de reacción de las </w:t>
      </w:r>
      <w:r>
        <w:rPr>
          <w:rFonts w:ascii="Palatino Linotype" w:eastAsia="Palatino Linotype" w:hAnsi="Palatino Linotype" w:cs="Palatino Linotype"/>
        </w:rPr>
        <w:lastRenderedPageBreak/>
        <w:t>instituciones encargadas de la seguridad pú</w:t>
      </w:r>
      <w:r>
        <w:rPr>
          <w:rFonts w:ascii="Palatino Linotype" w:eastAsia="Palatino Linotype" w:hAnsi="Palatino Linotype" w:cs="Palatino Linotype"/>
        </w:rPr>
        <w:t xml:space="preserve">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w:t>
      </w:r>
      <w:r>
        <w:rPr>
          <w:rFonts w:ascii="Palatino Linotype" w:eastAsia="Palatino Linotype" w:hAnsi="Palatino Linotype" w:cs="Palatino Linotype"/>
        </w:rPr>
        <w:t>omper las funciones del personal operativo, lo que causaría una vulneración a la Seguridad Municipal, por lo tanto la suscrita no comparte las consideraciones vertidas en la resolución respecto del tratamiento que se le da a la información relativa a eleme</w:t>
      </w:r>
      <w:r>
        <w:rPr>
          <w:rFonts w:ascii="Palatino Linotype" w:eastAsia="Palatino Linotype" w:hAnsi="Palatino Linotype" w:cs="Palatino Linotype"/>
        </w:rPr>
        <w:t>ntos operativos de instituciones de seguridad pública, y  por ende formula el presente voto particular.</w:t>
      </w: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p>
    <w:p w:rsidR="00334081" w:rsidRDefault="00334081">
      <w:pPr>
        <w:spacing w:before="240" w:after="240" w:line="360" w:lineRule="auto"/>
        <w:ind w:right="139"/>
        <w:jc w:val="both"/>
        <w:rPr>
          <w:rFonts w:ascii="Palatino Linotype" w:eastAsia="Palatino Linotype" w:hAnsi="Palatino Linotype" w:cs="Palatino Linotype"/>
        </w:rPr>
      </w:pPr>
      <w:bookmarkStart w:id="9" w:name="_GoBack"/>
      <w:bookmarkEnd w:id="9"/>
    </w:p>
    <w:sectPr w:rsidR="00334081">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73" w:rsidRDefault="00503573">
      <w:pPr>
        <w:spacing w:after="0" w:line="240" w:lineRule="auto"/>
      </w:pPr>
      <w:r>
        <w:separator/>
      </w:r>
    </w:p>
  </w:endnote>
  <w:endnote w:type="continuationSeparator" w:id="0">
    <w:p w:rsidR="00503573" w:rsidRDefault="0050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81" w:rsidRDefault="0050357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BB48D8">
      <w:rPr>
        <w:rFonts w:ascii="Times New Roman" w:eastAsia="Times New Roman" w:hAnsi="Times New Roman" w:cs="Times New Roman"/>
        <w:b/>
        <w:color w:val="000000"/>
        <w:sz w:val="24"/>
        <w:szCs w:val="24"/>
      </w:rPr>
      <w:fldChar w:fldCharType="separate"/>
    </w:r>
    <w:r w:rsidR="00421659">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BB48D8">
      <w:rPr>
        <w:rFonts w:ascii="Times New Roman" w:eastAsia="Times New Roman" w:hAnsi="Times New Roman" w:cs="Times New Roman"/>
        <w:b/>
        <w:color w:val="000000"/>
        <w:sz w:val="24"/>
        <w:szCs w:val="24"/>
      </w:rPr>
      <w:fldChar w:fldCharType="separate"/>
    </w:r>
    <w:r w:rsidR="00421659">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334081" w:rsidRDefault="0033408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73" w:rsidRDefault="00503573">
      <w:pPr>
        <w:spacing w:after="0" w:line="240" w:lineRule="auto"/>
      </w:pPr>
      <w:r>
        <w:separator/>
      </w:r>
    </w:p>
  </w:footnote>
  <w:footnote w:type="continuationSeparator" w:id="0">
    <w:p w:rsidR="00503573" w:rsidRDefault="00503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81" w:rsidRDefault="005035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334081" w:rsidRDefault="005035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334081" w:rsidRDefault="0050357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01929/INFOEM/IP/RR/2025</w:t>
    </w:r>
  </w:p>
  <w:p w:rsidR="00334081" w:rsidRDefault="0050357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Toluca</w:t>
    </w:r>
  </w:p>
  <w:p w:rsidR="00334081" w:rsidRDefault="005035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81"/>
    <w:rsid w:val="00334081"/>
    <w:rsid w:val="00421659"/>
    <w:rsid w:val="0047208F"/>
    <w:rsid w:val="00503573"/>
    <w:rsid w:val="00BB4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807B4-79CC-47AD-852A-119C018A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uEzH6JkFkB019yI306ue5AImQ==">CgMxLjAyCWguMXQzaDVzZjIJaC4zMGowemxsMg5oLmswdG1uYmRjdm9ndDIJaC4yZXQ5MnAwMg5oLnR0NDRtN2ZtbHJhcjIJaC4xZm9iOXRlMghoLnR5amN3dDIIaC5namRneHMyDmguamtheG44bWd4eTdxOAByITFLZml0OEUtSC1aY0pRVHFDOTJpUkdlYnJZbmhlRUpyMg==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1848</Words>
  <Characters>10168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2025-04-28T17:16:00Z</cp:lastPrinted>
  <dcterms:created xsi:type="dcterms:W3CDTF">2025-04-28T17:16:00Z</dcterms:created>
  <dcterms:modified xsi:type="dcterms:W3CDTF">2025-04-28T17:22:00Z</dcterms:modified>
</cp:coreProperties>
</file>