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BDD50C" w14:textId="2D52828E" w:rsidR="00680C26" w:rsidRDefault="00680C26" w:rsidP="009C354F">
      <w:pPr>
        <w:tabs>
          <w:tab w:val="left" w:pos="1843"/>
        </w:tabs>
        <w:spacing w:after="0" w:line="360" w:lineRule="auto"/>
        <w:jc w:val="both"/>
        <w:rPr>
          <w:rFonts w:ascii="Palatino Linotype" w:eastAsia="Calibri" w:hAnsi="Palatino Linotype" w:cs="Arial"/>
          <w:b/>
          <w:color w:val="FF0000"/>
          <w:sz w:val="24"/>
          <w:szCs w:val="24"/>
          <w:lang w:val="es-ES"/>
        </w:rPr>
      </w:pPr>
      <w:r w:rsidRPr="00420C7D">
        <w:rPr>
          <w:rFonts w:ascii="Palatino Linotype" w:eastAsia="Calibri" w:hAnsi="Palatino Linotype" w:cs="Tahoma"/>
          <w:b/>
          <w:lang w:val="es-ES"/>
        </w:rPr>
        <w:t xml:space="preserve">VOTO PARTICULAR QUE FORMULA EL COMISIONADO LUIS GUSTAVO PARRA NORIEGA, A LA RESOLUCIÓN DEL RECURSO DE REVISIÓN </w:t>
      </w:r>
      <w:r w:rsidR="00965523">
        <w:rPr>
          <w:rFonts w:ascii="Palatino Linotype" w:eastAsia="Calibri" w:hAnsi="Palatino Linotype" w:cs="Arial"/>
          <w:b/>
          <w:bCs/>
          <w:lang w:eastAsia="es-MX"/>
        </w:rPr>
        <w:t>07609</w:t>
      </w:r>
      <w:r w:rsidR="001241A7" w:rsidRPr="001241A7">
        <w:rPr>
          <w:rFonts w:ascii="Palatino Linotype" w:eastAsia="Calibri" w:hAnsi="Palatino Linotype" w:cs="Arial"/>
          <w:b/>
          <w:bCs/>
          <w:lang w:eastAsia="es-MX"/>
        </w:rPr>
        <w:t>/INFOEM/IP/RR/2024</w:t>
      </w:r>
      <w:r w:rsidRPr="00420C7D">
        <w:rPr>
          <w:rFonts w:ascii="Palatino Linotype" w:eastAsia="Calibri" w:hAnsi="Palatino Linotype" w:cs="Arial"/>
          <w:b/>
          <w:bCs/>
          <w:lang w:eastAsia="es-MX"/>
        </w:rPr>
        <w:t>,</w:t>
      </w:r>
      <w:r w:rsidRPr="00420C7D">
        <w:rPr>
          <w:rFonts w:ascii="Palatino Linotype" w:eastAsia="Calibri" w:hAnsi="Palatino Linotype" w:cs="Tahoma"/>
          <w:b/>
          <w:lang w:val="es-ES"/>
        </w:rPr>
        <w:t xml:space="preserve"> PROMOVIDO EN CONTRA </w:t>
      </w:r>
      <w:r w:rsidR="002432EA" w:rsidRPr="00420C7D">
        <w:rPr>
          <w:rFonts w:ascii="Palatino Linotype" w:eastAsia="Calibri" w:hAnsi="Palatino Linotype" w:cs="Tahoma"/>
          <w:b/>
          <w:lang w:val="es-ES"/>
        </w:rPr>
        <w:t xml:space="preserve">DEL </w:t>
      </w:r>
      <w:r w:rsidR="00965523" w:rsidRPr="00965523">
        <w:rPr>
          <w:rFonts w:ascii="Palatino Linotype" w:eastAsia="Calibri" w:hAnsi="Palatino Linotype" w:cs="Tahoma"/>
          <w:b/>
          <w:lang w:val="es-ES"/>
        </w:rPr>
        <w:t xml:space="preserve">AYUNTAMIENTO DE </w:t>
      </w:r>
      <w:r w:rsidR="00965523" w:rsidRPr="005C589B">
        <w:rPr>
          <w:rFonts w:ascii="Palatino Linotype" w:eastAsia="Calibri" w:hAnsi="Palatino Linotype" w:cs="Tahoma"/>
          <w:b/>
          <w:lang w:val="es-ES"/>
        </w:rPr>
        <w:t>ZINACANTEPEC</w:t>
      </w:r>
    </w:p>
    <w:p w14:paraId="6612A9B2" w14:textId="77777777" w:rsidR="00965523" w:rsidRPr="00420C7D" w:rsidRDefault="00965523" w:rsidP="009C354F">
      <w:pPr>
        <w:tabs>
          <w:tab w:val="left" w:pos="1843"/>
        </w:tabs>
        <w:spacing w:after="0" w:line="360" w:lineRule="auto"/>
        <w:jc w:val="both"/>
        <w:rPr>
          <w:rFonts w:ascii="Palatino Linotype" w:eastAsia="Calibri" w:hAnsi="Palatino Linotype" w:cs="Arial"/>
          <w:b/>
          <w:color w:val="FF0000"/>
          <w:sz w:val="24"/>
          <w:szCs w:val="24"/>
          <w:lang w:val="es-ES"/>
        </w:rPr>
      </w:pPr>
    </w:p>
    <w:p w14:paraId="51A2DBE4" w14:textId="4DD84BBE" w:rsidR="00680C26" w:rsidRPr="00420C7D" w:rsidRDefault="00680C26" w:rsidP="00F32B20">
      <w:pPr>
        <w:tabs>
          <w:tab w:val="left" w:pos="1843"/>
        </w:tabs>
        <w:spacing w:after="0" w:line="360" w:lineRule="auto"/>
        <w:jc w:val="both"/>
        <w:rPr>
          <w:rFonts w:ascii="Palatino Linotype" w:eastAsia="Palatino Linotype" w:hAnsi="Palatino Linotype" w:cs="Palatino Linotype"/>
          <w:b/>
          <w:lang w:val="es-ES"/>
        </w:rPr>
      </w:pPr>
      <w:r w:rsidRPr="00420C7D">
        <w:rPr>
          <w:rFonts w:ascii="Palatino Linotype" w:eastAsia="Calibri" w:hAnsi="Palatino Linotype" w:cs="Tahoma"/>
          <w:lang w:val="es-ES"/>
        </w:rPr>
        <w:t xml:space="preserve">En términos de lo dispuesto por los artículos 189, párrafo primero, de la Ley de Transparencia y Acceso a la Información Pública del Estado de México y Municipios; 14, fracción XI, del Reglamento Interior del Instituto de Transparencia, Acceso a la Información Pública y Protección de Datos Personales del Estado de México y Municipios; 45, 48, fracción I, de los Lineamientos para el funcionamiento del Pleno y las Comisiones del Instituto de Transparencia, Acceso a la Información Pública y Protección de Datos Personales del Estado de México y Municipios, emito el presente </w:t>
      </w:r>
      <w:r w:rsidRPr="00420C7D">
        <w:rPr>
          <w:rFonts w:ascii="Palatino Linotype" w:eastAsia="Calibri" w:hAnsi="Palatino Linotype" w:cs="Tahoma"/>
          <w:b/>
          <w:lang w:val="es-ES"/>
        </w:rPr>
        <w:t>Voto Particular</w:t>
      </w:r>
      <w:r w:rsidRPr="00420C7D">
        <w:rPr>
          <w:rFonts w:ascii="Palatino Linotype" w:eastAsia="Calibri" w:hAnsi="Palatino Linotype" w:cs="Tahoma"/>
          <w:lang w:val="es-ES"/>
        </w:rPr>
        <w:t xml:space="preserve"> por no compartir en su totalidad las consideraciones que sustentan la Resolución del Recurso de Revisión </w:t>
      </w:r>
      <w:r w:rsidR="00965523">
        <w:rPr>
          <w:rFonts w:ascii="Palatino Linotype" w:eastAsia="Palatino Linotype" w:hAnsi="Palatino Linotype" w:cs="Palatino Linotype"/>
          <w:b/>
          <w:lang w:val="es-ES"/>
        </w:rPr>
        <w:t>07609</w:t>
      </w:r>
      <w:r w:rsidR="003F698C" w:rsidRPr="003F698C">
        <w:rPr>
          <w:rFonts w:ascii="Palatino Linotype" w:eastAsia="Palatino Linotype" w:hAnsi="Palatino Linotype" w:cs="Palatino Linotype"/>
          <w:b/>
          <w:lang w:val="es-ES"/>
        </w:rPr>
        <w:t>/INFOEM/IP/RR/2024</w:t>
      </w:r>
      <w:r w:rsidRPr="00420C7D">
        <w:rPr>
          <w:rFonts w:ascii="Palatino Linotype" w:eastAsia="Palatino Linotype" w:hAnsi="Palatino Linotype" w:cs="Palatino Linotype"/>
          <w:b/>
          <w:lang w:val="es-ES"/>
        </w:rPr>
        <w:t>.</w:t>
      </w:r>
    </w:p>
    <w:p w14:paraId="67289946" w14:textId="77777777" w:rsidR="00F32B20" w:rsidRPr="00420C7D" w:rsidRDefault="00F32B20" w:rsidP="00F32B20">
      <w:pPr>
        <w:tabs>
          <w:tab w:val="left" w:pos="1843"/>
        </w:tabs>
        <w:spacing w:after="0" w:line="360" w:lineRule="auto"/>
        <w:jc w:val="both"/>
        <w:rPr>
          <w:rFonts w:ascii="Palatino Linotype" w:eastAsia="Calibri" w:hAnsi="Palatino Linotype" w:cs="Times New Roman"/>
          <w:b/>
          <w:color w:val="FF0000"/>
        </w:rPr>
      </w:pPr>
    </w:p>
    <w:p w14:paraId="7DDEA125" w14:textId="32C02747" w:rsidR="00965523" w:rsidRDefault="00680C26" w:rsidP="00F32B20">
      <w:pPr>
        <w:spacing w:after="0" w:line="360" w:lineRule="auto"/>
        <w:ind w:right="-93"/>
        <w:jc w:val="both"/>
        <w:rPr>
          <w:rFonts w:ascii="Palatino Linotype" w:eastAsia="Calibri" w:hAnsi="Palatino Linotype" w:cs="Tahoma"/>
          <w:lang w:val="es-ES"/>
        </w:rPr>
      </w:pPr>
      <w:r w:rsidRPr="00364994">
        <w:rPr>
          <w:rFonts w:ascii="Palatino Linotype" w:eastAsia="Calibri" w:hAnsi="Palatino Linotype" w:cs="Tahoma"/>
          <w:lang w:val="es-ES"/>
        </w:rPr>
        <w:t>Como se desprende de la Resolución que nos o</w:t>
      </w:r>
      <w:r w:rsidR="00454560" w:rsidRPr="00364994">
        <w:rPr>
          <w:rFonts w:ascii="Palatino Linotype" w:eastAsia="Calibri" w:hAnsi="Palatino Linotype" w:cs="Tahoma"/>
          <w:lang w:val="es-ES"/>
        </w:rPr>
        <w:t>cupa, el solicitante requirió</w:t>
      </w:r>
      <w:r w:rsidR="003F698C">
        <w:rPr>
          <w:rFonts w:ascii="Palatino Linotype" w:eastAsia="Calibri" w:hAnsi="Palatino Linotype" w:cs="Tahoma"/>
          <w:lang w:val="es-ES"/>
        </w:rPr>
        <w:t xml:space="preserve"> </w:t>
      </w:r>
      <w:r w:rsidR="00965523">
        <w:rPr>
          <w:rFonts w:ascii="Palatino Linotype" w:eastAsia="Calibri" w:hAnsi="Palatino Linotype" w:cs="Tahoma"/>
          <w:lang w:val="es-ES"/>
        </w:rPr>
        <w:t xml:space="preserve">lo siguiente: </w:t>
      </w:r>
    </w:p>
    <w:p w14:paraId="0EA75A88" w14:textId="77777777" w:rsidR="00965523" w:rsidRDefault="00965523" w:rsidP="00F32B20">
      <w:pPr>
        <w:spacing w:after="0" w:line="360" w:lineRule="auto"/>
        <w:ind w:right="-93"/>
        <w:jc w:val="both"/>
        <w:rPr>
          <w:rFonts w:ascii="Palatino Linotype" w:eastAsia="Calibri" w:hAnsi="Palatino Linotype" w:cs="Tahoma"/>
          <w:lang w:val="es-ES"/>
        </w:rPr>
      </w:pPr>
    </w:p>
    <w:p w14:paraId="4548DE09" w14:textId="5EA4BDA6" w:rsidR="00965523" w:rsidRPr="00965523" w:rsidRDefault="00BA6879" w:rsidP="00965523">
      <w:pPr>
        <w:spacing w:after="0" w:line="360" w:lineRule="auto"/>
        <w:ind w:left="567" w:right="758"/>
        <w:jc w:val="both"/>
        <w:rPr>
          <w:rFonts w:ascii="Palatino Linotype" w:eastAsia="Calibri" w:hAnsi="Palatino Linotype" w:cs="Tahoma"/>
          <w:i/>
          <w:lang w:val="es-ES"/>
        </w:rPr>
      </w:pPr>
      <w:r>
        <w:rPr>
          <w:rFonts w:ascii="Palatino Linotype" w:eastAsia="Calibri" w:hAnsi="Palatino Linotype" w:cs="Tahoma"/>
          <w:i/>
          <w:lang w:val="es-ES"/>
        </w:rPr>
        <w:t>“</w:t>
      </w:r>
      <w:r w:rsidR="00965523" w:rsidRPr="00965523">
        <w:rPr>
          <w:rFonts w:ascii="Palatino Linotype" w:eastAsia="Calibri" w:hAnsi="Palatino Linotype" w:cs="Tahoma"/>
          <w:i/>
          <w:lang w:val="es-ES"/>
        </w:rPr>
        <w:t>Solicitud de recibo de predial ya que en el ayuntamiento de Zinacantepec no pueden expedirme una copia para trámites personales mi abuelo ya falleció y anexe copia de del certificado de defunción” (Sic)</w:t>
      </w:r>
      <w:r w:rsidR="001D6F99">
        <w:rPr>
          <w:rFonts w:ascii="Palatino Linotype" w:eastAsia="Calibri" w:hAnsi="Palatino Linotype" w:cs="Tahoma"/>
          <w:i/>
          <w:lang w:val="es-ES"/>
        </w:rPr>
        <w:t>.</w:t>
      </w:r>
    </w:p>
    <w:p w14:paraId="00449E3E" w14:textId="77777777" w:rsidR="00965523" w:rsidRDefault="00965523" w:rsidP="00F32B20">
      <w:pPr>
        <w:spacing w:after="0" w:line="360" w:lineRule="auto"/>
        <w:ind w:right="-93"/>
        <w:jc w:val="both"/>
        <w:rPr>
          <w:rFonts w:ascii="Palatino Linotype" w:eastAsia="Calibri" w:hAnsi="Palatino Linotype" w:cs="Tahoma"/>
          <w:lang w:val="es-ES"/>
        </w:rPr>
      </w:pPr>
    </w:p>
    <w:p w14:paraId="256565B4" w14:textId="312EFA37" w:rsidR="00BA6879" w:rsidRDefault="00BA6879" w:rsidP="00F32B20">
      <w:pPr>
        <w:spacing w:after="0" w:line="360" w:lineRule="auto"/>
        <w:ind w:right="-93"/>
        <w:jc w:val="both"/>
        <w:rPr>
          <w:rFonts w:ascii="Palatino Linotype" w:eastAsia="Calibri" w:hAnsi="Palatino Linotype" w:cs="Tahoma"/>
          <w:lang w:val="es-ES"/>
        </w:rPr>
      </w:pPr>
      <w:r>
        <w:rPr>
          <w:rFonts w:ascii="Palatino Linotype" w:eastAsia="Calibri" w:hAnsi="Palatino Linotype" w:cs="Tahoma"/>
          <w:lang w:val="es-ES"/>
        </w:rPr>
        <w:t>En tal sentido, el Sujeto Obligado respondió que  no se estaba</w:t>
      </w:r>
      <w:r w:rsidRPr="00BA6879">
        <w:rPr>
          <w:rFonts w:ascii="Palatino Linotype" w:eastAsia="Calibri" w:hAnsi="Palatino Linotype" w:cs="Tahoma"/>
          <w:lang w:val="es-ES"/>
        </w:rPr>
        <w:t xml:space="preserve"> en presencia del ejercicio del derecho de acceso a la información y por lo tanto</w:t>
      </w:r>
      <w:r>
        <w:rPr>
          <w:rFonts w:ascii="Palatino Linotype" w:eastAsia="Calibri" w:hAnsi="Palatino Linotype" w:cs="Tahoma"/>
          <w:lang w:val="es-ES"/>
        </w:rPr>
        <w:t>, la solicitud no era</w:t>
      </w:r>
      <w:r w:rsidR="005C589B">
        <w:rPr>
          <w:rFonts w:ascii="Palatino Linotype" w:eastAsia="Calibri" w:hAnsi="Palatino Linotype" w:cs="Tahoma"/>
          <w:lang w:val="es-ES"/>
        </w:rPr>
        <w:t xml:space="preserve"> atendible.</w:t>
      </w:r>
    </w:p>
    <w:p w14:paraId="3DFB5FDA" w14:textId="77777777" w:rsidR="00BA6879" w:rsidRDefault="00BA6879" w:rsidP="00F32B20">
      <w:pPr>
        <w:spacing w:after="0" w:line="360" w:lineRule="auto"/>
        <w:ind w:right="-93"/>
        <w:jc w:val="both"/>
        <w:rPr>
          <w:rFonts w:ascii="Palatino Linotype" w:eastAsia="Calibri" w:hAnsi="Palatino Linotype" w:cs="Tahoma"/>
          <w:lang w:val="es-ES"/>
        </w:rPr>
      </w:pPr>
    </w:p>
    <w:p w14:paraId="6F990BE4" w14:textId="77777777" w:rsidR="00BA6879" w:rsidRDefault="00BA6879" w:rsidP="00F32B20">
      <w:pPr>
        <w:spacing w:after="0" w:line="360" w:lineRule="auto"/>
        <w:ind w:right="-93"/>
        <w:jc w:val="both"/>
        <w:rPr>
          <w:rFonts w:ascii="Palatino Linotype" w:eastAsia="Calibri" w:hAnsi="Palatino Linotype" w:cs="Tahoma"/>
          <w:lang w:val="es-ES"/>
        </w:rPr>
      </w:pPr>
    </w:p>
    <w:p w14:paraId="3F5DD21C" w14:textId="710C6B4F" w:rsidR="00A13DEB" w:rsidRDefault="00BA6879" w:rsidP="00F32B20">
      <w:pPr>
        <w:spacing w:after="0" w:line="360" w:lineRule="auto"/>
        <w:ind w:right="-93"/>
        <w:jc w:val="both"/>
        <w:rPr>
          <w:rFonts w:ascii="Palatino Linotype" w:eastAsia="Calibri" w:hAnsi="Palatino Linotype" w:cs="Tahoma"/>
          <w:lang w:val="es-ES"/>
        </w:rPr>
      </w:pPr>
      <w:r>
        <w:rPr>
          <w:rFonts w:ascii="Palatino Linotype" w:eastAsia="Calibri" w:hAnsi="Palatino Linotype" w:cs="Tahoma"/>
          <w:lang w:val="es-ES"/>
        </w:rPr>
        <w:lastRenderedPageBreak/>
        <w:t>Sentado lo anterior</w:t>
      </w:r>
      <w:r w:rsidR="00606070">
        <w:rPr>
          <w:rFonts w:ascii="Palatino Linotype" w:eastAsia="Calibri" w:hAnsi="Palatino Linotype" w:cs="Tahoma"/>
          <w:lang w:val="es-ES"/>
        </w:rPr>
        <w:t>,</w:t>
      </w:r>
      <w:r>
        <w:rPr>
          <w:rFonts w:ascii="Palatino Linotype" w:eastAsia="Calibri" w:hAnsi="Palatino Linotype" w:cs="Tahoma"/>
          <w:lang w:val="es-ES"/>
        </w:rPr>
        <w:t xml:space="preserve"> la Ponencia resolutora, determinó procedente </w:t>
      </w:r>
      <w:r w:rsidR="00A13DEB">
        <w:rPr>
          <w:rFonts w:ascii="Palatino Linotype" w:eastAsia="Calibri" w:hAnsi="Palatino Linotype" w:cs="Tahoma"/>
          <w:lang w:val="es-ES"/>
        </w:rPr>
        <w:t>sobreseer el</w:t>
      </w:r>
      <w:r w:rsidR="00A13DEB" w:rsidRPr="00A13DEB">
        <w:rPr>
          <w:rFonts w:ascii="Palatino Linotype" w:eastAsia="Calibri" w:hAnsi="Palatino Linotype" w:cs="Tahoma"/>
          <w:lang w:val="es-ES"/>
        </w:rPr>
        <w:t xml:space="preserve"> recurso de revisión por actualizarse la causal de sobreseimiento prevista en la fracción V</w:t>
      </w:r>
      <w:r w:rsidR="001D6F99">
        <w:rPr>
          <w:rFonts w:ascii="Palatino Linotype" w:eastAsia="Calibri" w:hAnsi="Palatino Linotype" w:cs="Tahoma"/>
          <w:lang w:val="es-ES"/>
        </w:rPr>
        <w:t>,</w:t>
      </w:r>
      <w:r w:rsidR="00A13DEB" w:rsidRPr="00A13DEB">
        <w:rPr>
          <w:rFonts w:ascii="Palatino Linotype" w:eastAsia="Calibri" w:hAnsi="Palatino Linotype" w:cs="Tahoma"/>
          <w:lang w:val="es-ES"/>
        </w:rPr>
        <w:t xml:space="preserve"> del artículo 192 de la Ley de Transparencia y Acceso a la Información Pública del Estado de México y Municipios,</w:t>
      </w:r>
      <w:r w:rsidR="00A13DEB" w:rsidRPr="00510AA6">
        <w:rPr>
          <w:rFonts w:ascii="Palatino Linotype" w:eastAsia="Calibri" w:hAnsi="Palatino Linotype" w:cs="Tahoma"/>
          <w:lang w:val="es-ES"/>
        </w:rPr>
        <w:t xml:space="preserve"> </w:t>
      </w:r>
      <w:r w:rsidR="00A8101A">
        <w:rPr>
          <w:rFonts w:ascii="Palatino Linotype" w:eastAsia="Calibri" w:hAnsi="Palatino Linotype" w:cs="Tahoma"/>
          <w:lang w:val="es-ES"/>
        </w:rPr>
        <w:t>esto es, c</w:t>
      </w:r>
      <w:r w:rsidR="00A8101A" w:rsidRPr="00A8101A">
        <w:rPr>
          <w:rFonts w:ascii="Palatino Linotype" w:eastAsia="Calibri" w:hAnsi="Palatino Linotype" w:cs="Tahoma"/>
          <w:lang w:val="es-ES"/>
        </w:rPr>
        <w:t>uando por cualquier motivo quede sin materia el recurso</w:t>
      </w:r>
      <w:r w:rsidR="00A8101A">
        <w:rPr>
          <w:rFonts w:ascii="Palatino Linotype" w:eastAsia="Calibri" w:hAnsi="Palatino Linotype" w:cs="Tahoma"/>
          <w:lang w:val="es-ES"/>
        </w:rPr>
        <w:t xml:space="preserve">, bajo el argumento </w:t>
      </w:r>
      <w:r w:rsidR="000D6989">
        <w:rPr>
          <w:rFonts w:ascii="Palatino Linotype" w:eastAsia="Calibri" w:hAnsi="Palatino Linotype" w:cs="Tahoma"/>
          <w:lang w:val="es-ES"/>
        </w:rPr>
        <w:t xml:space="preserve">que no se contaba con elementos que permitieran tener </w:t>
      </w:r>
      <w:r w:rsidR="00510AA6" w:rsidRPr="00510AA6">
        <w:rPr>
          <w:rFonts w:ascii="Palatino Linotype" w:eastAsia="Calibri" w:hAnsi="Palatino Linotype" w:cs="Tahoma"/>
          <w:lang w:val="es-ES"/>
        </w:rPr>
        <w:t xml:space="preserve"> certeza de la información </w:t>
      </w:r>
      <w:r w:rsidR="000D6989">
        <w:rPr>
          <w:rFonts w:ascii="Palatino Linotype" w:eastAsia="Calibri" w:hAnsi="Palatino Linotype" w:cs="Tahoma"/>
          <w:lang w:val="es-ES"/>
        </w:rPr>
        <w:t xml:space="preserve">requerida por </w:t>
      </w:r>
      <w:r w:rsidR="00510AA6" w:rsidRPr="00510AA6">
        <w:rPr>
          <w:rFonts w:ascii="Palatino Linotype" w:eastAsia="Calibri" w:hAnsi="Palatino Linotype" w:cs="Tahoma"/>
          <w:lang w:val="es-ES"/>
        </w:rPr>
        <w:t xml:space="preserve"> el</w:t>
      </w:r>
      <w:r w:rsidR="000D6989">
        <w:rPr>
          <w:rFonts w:ascii="Palatino Linotype" w:eastAsia="Calibri" w:hAnsi="Palatino Linotype" w:cs="Tahoma"/>
          <w:lang w:val="es-ES"/>
        </w:rPr>
        <w:t xml:space="preserve"> P</w:t>
      </w:r>
      <w:r w:rsidR="00A13DEB">
        <w:rPr>
          <w:rFonts w:ascii="Palatino Linotype" w:eastAsia="Calibri" w:hAnsi="Palatino Linotype" w:cs="Tahoma"/>
          <w:lang w:val="es-ES"/>
        </w:rPr>
        <w:t>articular.</w:t>
      </w:r>
    </w:p>
    <w:p w14:paraId="2BD9F5D5" w14:textId="77777777" w:rsidR="00A13DEB" w:rsidRDefault="00A13DEB" w:rsidP="00F32B20">
      <w:pPr>
        <w:spacing w:after="0" w:line="360" w:lineRule="auto"/>
        <w:ind w:right="-93"/>
        <w:jc w:val="both"/>
        <w:rPr>
          <w:rFonts w:ascii="Palatino Linotype" w:eastAsia="Calibri" w:hAnsi="Palatino Linotype" w:cs="Tahoma"/>
          <w:lang w:val="es-ES"/>
        </w:rPr>
      </w:pPr>
    </w:p>
    <w:p w14:paraId="63140A2A" w14:textId="32F78305" w:rsidR="00BE646F" w:rsidRDefault="00A13DEB" w:rsidP="00F32B20">
      <w:pPr>
        <w:spacing w:after="0" w:line="360" w:lineRule="auto"/>
        <w:ind w:right="-93"/>
        <w:jc w:val="both"/>
        <w:rPr>
          <w:rFonts w:ascii="Palatino Linotype" w:eastAsia="Calibri" w:hAnsi="Palatino Linotype" w:cs="Tahoma"/>
          <w:lang w:val="es-ES"/>
        </w:rPr>
      </w:pPr>
      <w:r>
        <w:rPr>
          <w:rFonts w:ascii="Palatino Linotype" w:eastAsia="Calibri" w:hAnsi="Palatino Linotype" w:cs="Tahoma"/>
          <w:lang w:val="es-ES"/>
        </w:rPr>
        <w:t>En tal sentido</w:t>
      </w:r>
      <w:r w:rsidR="001D6F99">
        <w:rPr>
          <w:rFonts w:ascii="Palatino Linotype" w:eastAsia="Calibri" w:hAnsi="Palatino Linotype" w:cs="Tahoma"/>
          <w:lang w:val="es-ES"/>
        </w:rPr>
        <w:t>,</w:t>
      </w:r>
      <w:r>
        <w:rPr>
          <w:rFonts w:ascii="Palatino Linotype" w:eastAsia="Calibri" w:hAnsi="Palatino Linotype" w:cs="Tahoma"/>
          <w:lang w:val="es-ES"/>
        </w:rPr>
        <w:t xml:space="preserve"> emito voto particular,</w:t>
      </w:r>
      <w:r w:rsidR="00CA1565">
        <w:rPr>
          <w:rFonts w:ascii="Palatino Linotype" w:eastAsia="Calibri" w:hAnsi="Palatino Linotype" w:cs="Tahoma"/>
          <w:lang w:val="es-ES"/>
        </w:rPr>
        <w:t xml:space="preserve"> ya que desde mi punto de vista, la Ponencia resolutora, debió haber </w:t>
      </w:r>
      <w:r w:rsidR="000D6989">
        <w:rPr>
          <w:rFonts w:ascii="Palatino Linotype" w:eastAsia="Calibri" w:hAnsi="Palatino Linotype" w:cs="Tahoma"/>
          <w:lang w:val="es-ES"/>
        </w:rPr>
        <w:t xml:space="preserve">realizado un estudio más </w:t>
      </w:r>
      <w:r w:rsidR="009B1EA1">
        <w:rPr>
          <w:rFonts w:ascii="Palatino Linotype" w:eastAsia="Calibri" w:hAnsi="Palatino Linotype" w:cs="Tahoma"/>
          <w:lang w:val="es-ES"/>
        </w:rPr>
        <w:t>acucioso,</w:t>
      </w:r>
      <w:r w:rsidR="000D6989">
        <w:rPr>
          <w:rFonts w:ascii="Palatino Linotype" w:eastAsia="Calibri" w:hAnsi="Palatino Linotype" w:cs="Tahoma"/>
          <w:lang w:val="es-ES"/>
        </w:rPr>
        <w:t xml:space="preserve"> </w:t>
      </w:r>
      <w:r w:rsidR="001D6F99">
        <w:rPr>
          <w:rFonts w:ascii="Palatino Linotype" w:eastAsia="Calibri" w:hAnsi="Palatino Linotype" w:cs="Tahoma"/>
          <w:lang w:val="es-ES"/>
        </w:rPr>
        <w:t xml:space="preserve">desde la perspectiva de que </w:t>
      </w:r>
      <w:r w:rsidR="006C19F8">
        <w:rPr>
          <w:rFonts w:ascii="Palatino Linotype" w:eastAsia="Calibri" w:hAnsi="Palatino Linotype" w:cs="Tahoma"/>
          <w:lang w:val="es-ES"/>
        </w:rPr>
        <w:t>la solicitud fue presentada</w:t>
      </w:r>
      <w:r w:rsidR="005C589B">
        <w:rPr>
          <w:rFonts w:ascii="Palatino Linotype" w:eastAsia="Calibri" w:hAnsi="Palatino Linotype" w:cs="Tahoma"/>
          <w:lang w:val="es-ES"/>
        </w:rPr>
        <w:t xml:space="preserve"> vía</w:t>
      </w:r>
      <w:r w:rsidR="006C19F8">
        <w:rPr>
          <w:rFonts w:ascii="Palatino Linotype" w:eastAsia="Calibri" w:hAnsi="Palatino Linotype" w:cs="Tahoma"/>
          <w:lang w:val="es-ES"/>
        </w:rPr>
        <w:t xml:space="preserve"> acceso a la información pública, cuando</w:t>
      </w:r>
      <w:r w:rsidR="001D6F99">
        <w:rPr>
          <w:rFonts w:ascii="Palatino Linotype" w:eastAsia="Calibri" w:hAnsi="Palatino Linotype" w:cs="Tahoma"/>
          <w:lang w:val="es-ES"/>
        </w:rPr>
        <w:t>, presuntamente</w:t>
      </w:r>
      <w:r w:rsidR="006C19F8">
        <w:rPr>
          <w:rFonts w:ascii="Palatino Linotype" w:eastAsia="Calibri" w:hAnsi="Palatino Linotype" w:cs="Tahoma"/>
          <w:lang w:val="es-ES"/>
        </w:rPr>
        <w:t xml:space="preserve"> se trataba de una solicitud de acceso a datos personales, </w:t>
      </w:r>
      <w:r w:rsidR="00CA1565">
        <w:rPr>
          <w:rFonts w:ascii="Palatino Linotype" w:eastAsia="Calibri" w:hAnsi="Palatino Linotype" w:cs="Tahoma"/>
          <w:lang w:val="es-ES"/>
        </w:rPr>
        <w:t xml:space="preserve">por lo que se debió haber </w:t>
      </w:r>
      <w:r w:rsidR="000D6989">
        <w:rPr>
          <w:rFonts w:ascii="Palatino Linotype" w:eastAsia="Calibri" w:hAnsi="Palatino Linotype" w:cs="Tahoma"/>
          <w:lang w:val="es-ES"/>
        </w:rPr>
        <w:t xml:space="preserve">reivindicado </w:t>
      </w:r>
      <w:r w:rsidR="00CA1565">
        <w:rPr>
          <w:rFonts w:ascii="Palatino Linotype" w:eastAsia="Calibri" w:hAnsi="Palatino Linotype" w:cs="Tahoma"/>
          <w:lang w:val="es-ES"/>
        </w:rPr>
        <w:t xml:space="preserve"> la vía. En tal sentido, sustento mi voto en las consideraciones siguientes: </w:t>
      </w:r>
    </w:p>
    <w:p w14:paraId="3B5E3A6D" w14:textId="77777777" w:rsidR="00BE646F" w:rsidRDefault="00BE646F" w:rsidP="00BE646F">
      <w:pPr>
        <w:spacing w:after="0" w:line="360" w:lineRule="auto"/>
        <w:ind w:right="-93"/>
        <w:jc w:val="both"/>
        <w:rPr>
          <w:rFonts w:ascii="Palatino Linotype" w:eastAsia="Calibri" w:hAnsi="Palatino Linotype" w:cs="Tahoma"/>
          <w:lang w:val="es-ES"/>
        </w:rPr>
      </w:pPr>
    </w:p>
    <w:p w14:paraId="52AEE44D" w14:textId="4AE56C59" w:rsidR="0087688F" w:rsidRDefault="00BE646F" w:rsidP="0087688F">
      <w:pPr>
        <w:spacing w:after="0" w:line="360" w:lineRule="auto"/>
        <w:ind w:right="-93"/>
        <w:jc w:val="both"/>
        <w:rPr>
          <w:rFonts w:ascii="Palatino Linotype" w:eastAsia="Calibri" w:hAnsi="Palatino Linotype" w:cs="Tahoma"/>
          <w:lang w:val="es-ES"/>
        </w:rPr>
      </w:pPr>
      <w:r w:rsidRPr="00F349AA">
        <w:rPr>
          <w:rFonts w:ascii="Palatino Linotype" w:eastAsia="Calibri" w:hAnsi="Palatino Linotype" w:cs="Tahoma"/>
          <w:lang w:val="es-ES"/>
        </w:rPr>
        <w:t xml:space="preserve">En primer término, es de resaltarse que, de las constancias que obran en el expediente electrónico, se aprecia que la solicitud fue presentada por un particular que se registró </w:t>
      </w:r>
      <w:r w:rsidR="00897474" w:rsidRPr="00F349AA">
        <w:rPr>
          <w:rFonts w:ascii="Palatino Linotype" w:eastAsia="Calibri" w:hAnsi="Palatino Linotype" w:cs="Tahoma"/>
          <w:lang w:val="es-ES"/>
        </w:rPr>
        <w:t xml:space="preserve">en el Sistema de Acceso a la Información Mexiquense </w:t>
      </w:r>
      <w:r w:rsidRPr="00F349AA">
        <w:rPr>
          <w:rFonts w:ascii="Palatino Linotype" w:eastAsia="Calibri" w:hAnsi="Palatino Linotype" w:cs="Tahoma"/>
          <w:lang w:val="es-ES"/>
        </w:rPr>
        <w:t>bajo el nombre de</w:t>
      </w:r>
      <w:r w:rsidR="001D6F99">
        <w:rPr>
          <w:rFonts w:ascii="Palatino Linotype" w:eastAsia="Calibri" w:hAnsi="Palatino Linotype" w:cs="Tahoma"/>
          <w:lang w:val="es-ES"/>
        </w:rPr>
        <w:t xml:space="preserve"> un super héroe, </w:t>
      </w:r>
      <w:r w:rsidR="00897474" w:rsidRPr="00F349AA">
        <w:rPr>
          <w:rFonts w:ascii="Palatino Linotype" w:eastAsia="Calibri" w:hAnsi="Palatino Linotype" w:cs="Tahoma"/>
          <w:lang w:val="es-ES"/>
        </w:rPr>
        <w:t>pretendiendo acceder a la información de datos personales de una persona presuntamente finada</w:t>
      </w:r>
      <w:r w:rsidR="001D6F99">
        <w:rPr>
          <w:rFonts w:ascii="Palatino Linotype" w:eastAsia="Calibri" w:hAnsi="Palatino Linotype" w:cs="Tahoma"/>
          <w:lang w:val="es-ES"/>
        </w:rPr>
        <w:t>, sin que dicho acto se acreditara</w:t>
      </w:r>
      <w:r w:rsidR="0087688F">
        <w:rPr>
          <w:rFonts w:ascii="Palatino Linotype" w:eastAsia="Calibri" w:hAnsi="Palatino Linotype" w:cs="Tahoma"/>
          <w:lang w:val="es-ES"/>
        </w:rPr>
        <w:t>,</w:t>
      </w:r>
      <w:r w:rsidR="00897474" w:rsidRPr="00F349AA">
        <w:rPr>
          <w:rFonts w:ascii="Palatino Linotype" w:eastAsia="Calibri" w:hAnsi="Palatino Linotype" w:cs="Tahoma"/>
          <w:lang w:val="es-ES"/>
        </w:rPr>
        <w:t xml:space="preserve"> por </w:t>
      </w:r>
      <w:r w:rsidR="007B0409" w:rsidRPr="00F349AA">
        <w:rPr>
          <w:rFonts w:ascii="Palatino Linotype" w:eastAsia="Calibri" w:hAnsi="Palatino Linotype" w:cs="Tahoma"/>
          <w:lang w:val="es-ES"/>
        </w:rPr>
        <w:t>medio de una solicitud de acceso a la información</w:t>
      </w:r>
      <w:r w:rsidR="001D6F99">
        <w:rPr>
          <w:rFonts w:ascii="Palatino Linotype" w:eastAsia="Calibri" w:hAnsi="Palatino Linotype" w:cs="Tahoma"/>
          <w:lang w:val="es-ES"/>
        </w:rPr>
        <w:t xml:space="preserve"> pública</w:t>
      </w:r>
      <w:r w:rsidR="007B0409" w:rsidRPr="00F349AA">
        <w:rPr>
          <w:rFonts w:ascii="Palatino Linotype" w:eastAsia="Calibri" w:hAnsi="Palatino Linotype" w:cs="Tahoma"/>
          <w:lang w:val="es-ES"/>
        </w:rPr>
        <w:t xml:space="preserve">. En tal sentido, el primer análisis que la Ponencia resolutora debió haber realizado, es el concerniente a la vía por la cual se pretendía acceder al recibo de pago del impuesto predial, y sentar que dicha información correspondía a una </w:t>
      </w:r>
      <w:r w:rsidR="0087688F">
        <w:rPr>
          <w:rFonts w:ascii="Palatino Linotype" w:eastAsia="Calibri" w:hAnsi="Palatino Linotype" w:cs="Tahoma"/>
          <w:lang w:val="es-ES"/>
        </w:rPr>
        <w:t xml:space="preserve">solicitud de derechos ARCO, lo anterior, </w:t>
      </w:r>
      <w:r w:rsidR="0087688F" w:rsidRPr="00F349AA">
        <w:rPr>
          <w:rFonts w:ascii="Palatino Linotype" w:eastAsia="Calibri" w:hAnsi="Palatino Linotype" w:cs="Tahoma"/>
          <w:lang w:val="es-ES"/>
        </w:rPr>
        <w:t>tomando en consideración lo establecido en el Criterio de  Interpretación con Clave de control: SO/008/2009, emitido por el INAI:</w:t>
      </w:r>
    </w:p>
    <w:p w14:paraId="1A792F46" w14:textId="77777777" w:rsidR="0087688F" w:rsidRPr="00F349AA" w:rsidRDefault="0087688F" w:rsidP="0087688F">
      <w:pPr>
        <w:spacing w:after="0" w:line="360" w:lineRule="auto"/>
        <w:ind w:right="-93"/>
        <w:jc w:val="both"/>
        <w:rPr>
          <w:rFonts w:ascii="Palatino Linotype" w:eastAsia="Calibri" w:hAnsi="Palatino Linotype" w:cs="Tahoma"/>
          <w:lang w:val="es-ES"/>
        </w:rPr>
      </w:pPr>
    </w:p>
    <w:p w14:paraId="361746FA" w14:textId="77777777" w:rsidR="0087688F" w:rsidRPr="001D6F99" w:rsidRDefault="0087688F" w:rsidP="0087688F">
      <w:pPr>
        <w:spacing w:after="0" w:line="360" w:lineRule="auto"/>
        <w:ind w:left="567" w:right="616"/>
        <w:jc w:val="both"/>
        <w:rPr>
          <w:rFonts w:ascii="Palatino Linotype" w:eastAsia="Calibri" w:hAnsi="Palatino Linotype" w:cs="Tahoma"/>
          <w:i/>
          <w:sz w:val="20"/>
          <w:szCs w:val="20"/>
          <w:lang w:val="es-ES"/>
        </w:rPr>
      </w:pPr>
      <w:r w:rsidRPr="001D6F99">
        <w:rPr>
          <w:rFonts w:ascii="Palatino Linotype" w:hAnsi="Palatino Linotype" w:cs="Arial"/>
          <w:b/>
          <w:i/>
          <w:color w:val="000000"/>
          <w:sz w:val="20"/>
          <w:szCs w:val="20"/>
        </w:rPr>
        <w:t xml:space="preserve">“Las dependencias y entidades deberán dar trámite a las solicitudes aun cuando la vía en la que fueron presentadas -acceso a datos personales o información pública- no </w:t>
      </w:r>
      <w:r w:rsidRPr="001D6F99">
        <w:rPr>
          <w:rFonts w:ascii="Palatino Linotype" w:hAnsi="Palatino Linotype" w:cs="Arial"/>
          <w:b/>
          <w:i/>
          <w:color w:val="000000"/>
          <w:sz w:val="20"/>
          <w:szCs w:val="20"/>
        </w:rPr>
        <w:lastRenderedPageBreak/>
        <w:t xml:space="preserve">corresponda con la naturaleza de la materia de la misma. </w:t>
      </w:r>
      <w:r w:rsidRPr="001D6F99">
        <w:rPr>
          <w:rFonts w:ascii="Palatino Linotype" w:hAnsi="Palatino Linotype" w:cs="Arial"/>
          <w:i/>
          <w:color w:val="000000"/>
          <w:sz w:val="20"/>
          <w:szCs w:val="20"/>
        </w:rPr>
        <w:t>Todas aquellas solicitudes cuyo objetivo sea allegarse de información pública y que sean ingresadas por la vía de acceso a datos personales, así como el caso contrario, deberán ser tramitadas por las dependencias y entidades de conformidad con la naturaleza de la información de que se trate, sin necesidad de que el particular requiera presentar una nueva solicitud. De conformidad con lo dispuesto en el artículo 1° de la Ley Federal de Transparencia y Acceso a la Información Pública Gubernamental, ésta tiene como finalidad proveer lo necesario para garantizar el acceso de toda persona a la información en posesión de los Poderes de la Unión, los órganos constitucionales autónomos o con autonomía legal, y cualquier otro órgano federal. Por su parte, el artículo 4 de la Ley en cita señala que entre sus objetivos se encuentra el de “proveer lo necesario para que toda persona pueda tener acceso a la información mediante procedimientos sencillos y expeditos”. De igual forma, el artículo 6 de la Ley Federal de Transparencia y Acceso a la Información Pública Gubernamental dispone que en la interpretación de la referida Ley y de su Reglamento “se deberá favorecer el principio de máxima publicidad y disponibilidad de la información en posesión de los sujetos obligados”. Considerando lo establecido en los artículos citados, este Instituto determina que, a efecto de cumplir con los objetivos de la ley de la materia y en aras de garantizar el acceso a través de procedimientos sencillos y expeditos, favoreciendo también el principio disponibilidad de la información en posesión de los sujetos obligados, éstos deben subsanar los errores en que incurran los particulares al elegir la vía por la que los particulares presentan sus solicitudes. Por consiguiente, en el caso que los particulares ingresen solicitudes de acceso a datos personales cuando, en realidad, la información solicitada corresponde a información pública, o viceversa, las dependencias y entidades deberán darles el trámite correspondiente de conformidad con la naturaleza de la información solicitada.”</w:t>
      </w:r>
    </w:p>
    <w:p w14:paraId="360AC7A7" w14:textId="77777777" w:rsidR="0087688F" w:rsidRPr="001D6F99" w:rsidRDefault="0087688F" w:rsidP="0087688F">
      <w:pPr>
        <w:spacing w:after="0" w:line="360" w:lineRule="auto"/>
        <w:ind w:left="567" w:right="616"/>
        <w:jc w:val="both"/>
        <w:rPr>
          <w:rFonts w:ascii="Palatino Linotype" w:eastAsia="Calibri" w:hAnsi="Palatino Linotype" w:cs="Tahoma"/>
          <w:i/>
          <w:sz w:val="20"/>
          <w:szCs w:val="20"/>
          <w:lang w:val="es-ES"/>
        </w:rPr>
      </w:pPr>
    </w:p>
    <w:p w14:paraId="330A9A2C" w14:textId="05DD9330" w:rsidR="00FB25CB" w:rsidRDefault="00FB25CB" w:rsidP="00827AB4">
      <w:pPr>
        <w:spacing w:after="0" w:line="360" w:lineRule="auto"/>
        <w:ind w:right="-93"/>
        <w:jc w:val="both"/>
        <w:rPr>
          <w:rFonts w:ascii="Palatino Linotype" w:eastAsia="Calibri" w:hAnsi="Palatino Linotype" w:cs="Tahoma"/>
          <w:lang w:val="es-ES"/>
        </w:rPr>
      </w:pPr>
      <w:r>
        <w:rPr>
          <w:rFonts w:ascii="Palatino Linotype" w:eastAsia="Calibri" w:hAnsi="Palatino Linotype" w:cs="Tahoma"/>
          <w:lang w:val="es-ES"/>
        </w:rPr>
        <w:t>En ese tenor, es de tener presente que la Ley de Protección de Datos Personales en Posesión de los Sujeto</w:t>
      </w:r>
      <w:r w:rsidR="00827AB4">
        <w:rPr>
          <w:rFonts w:ascii="Palatino Linotype" w:eastAsia="Calibri" w:hAnsi="Palatino Linotype" w:cs="Tahoma"/>
          <w:lang w:val="es-ES"/>
        </w:rPr>
        <w:t>s</w:t>
      </w:r>
      <w:r>
        <w:rPr>
          <w:rFonts w:ascii="Palatino Linotype" w:eastAsia="Calibri" w:hAnsi="Palatino Linotype" w:cs="Tahoma"/>
          <w:lang w:val="es-ES"/>
        </w:rPr>
        <w:t xml:space="preserve"> Obligados del Estado de México y Municipios, contempla en su numeral </w:t>
      </w:r>
      <w:r w:rsidR="00827AB4">
        <w:rPr>
          <w:rFonts w:ascii="Palatino Linotype" w:eastAsia="Calibri" w:hAnsi="Palatino Linotype" w:cs="Tahoma"/>
          <w:lang w:val="es-ES"/>
        </w:rPr>
        <w:t>106, párrafos Cuarto y Quinto, que t</w:t>
      </w:r>
      <w:r w:rsidR="00827AB4" w:rsidRPr="00827AB4">
        <w:rPr>
          <w:rFonts w:ascii="Palatino Linotype" w:eastAsia="Calibri" w:hAnsi="Palatino Linotype" w:cs="Tahoma"/>
          <w:lang w:val="es-ES"/>
        </w:rPr>
        <w:t>ratándose de datos personales concernientes a personas fallecidas o</w:t>
      </w:r>
      <w:r w:rsidR="00827AB4">
        <w:rPr>
          <w:rFonts w:ascii="Palatino Linotype" w:eastAsia="Calibri" w:hAnsi="Palatino Linotype" w:cs="Tahoma"/>
          <w:lang w:val="es-ES"/>
        </w:rPr>
        <w:t xml:space="preserve"> </w:t>
      </w:r>
      <w:r w:rsidR="00827AB4" w:rsidRPr="00827AB4">
        <w:rPr>
          <w:rFonts w:ascii="Palatino Linotype" w:eastAsia="Calibri" w:hAnsi="Palatino Linotype" w:cs="Tahoma"/>
          <w:lang w:val="es-ES"/>
        </w:rPr>
        <w:t>de quienes haya sido declarada judicialmente</w:t>
      </w:r>
      <w:r w:rsidR="001D6F99">
        <w:rPr>
          <w:rFonts w:ascii="Palatino Linotype" w:eastAsia="Calibri" w:hAnsi="Palatino Linotype" w:cs="Tahoma"/>
          <w:lang w:val="es-ES"/>
        </w:rPr>
        <w:t>,</w:t>
      </w:r>
      <w:r w:rsidR="00827AB4" w:rsidRPr="00827AB4">
        <w:rPr>
          <w:rFonts w:ascii="Palatino Linotype" w:eastAsia="Calibri" w:hAnsi="Palatino Linotype" w:cs="Tahoma"/>
          <w:lang w:val="es-ES"/>
        </w:rPr>
        <w:t xml:space="preserve"> su presunción de muerte,</w:t>
      </w:r>
      <w:r w:rsidR="00827AB4">
        <w:rPr>
          <w:rFonts w:ascii="Palatino Linotype" w:eastAsia="Calibri" w:hAnsi="Palatino Linotype" w:cs="Tahoma"/>
          <w:lang w:val="es-ES"/>
        </w:rPr>
        <w:t xml:space="preserve"> </w:t>
      </w:r>
      <w:r w:rsidR="00827AB4" w:rsidRPr="00827AB4">
        <w:rPr>
          <w:rFonts w:ascii="Palatino Linotype" w:eastAsia="Calibri" w:hAnsi="Palatino Linotype" w:cs="Tahoma"/>
          <w:lang w:val="es-ES"/>
        </w:rPr>
        <w:t xml:space="preserve">la </w:t>
      </w:r>
      <w:r w:rsidR="00827AB4" w:rsidRPr="00827AB4">
        <w:rPr>
          <w:rFonts w:ascii="Palatino Linotype" w:eastAsia="Calibri" w:hAnsi="Palatino Linotype" w:cs="Tahoma"/>
          <w:lang w:val="es-ES"/>
        </w:rPr>
        <w:lastRenderedPageBreak/>
        <w:t>persona que acredite tener un interés jurídico de conformidad con las</w:t>
      </w:r>
      <w:r w:rsidR="00827AB4">
        <w:rPr>
          <w:rFonts w:ascii="Palatino Linotype" w:eastAsia="Calibri" w:hAnsi="Palatino Linotype" w:cs="Tahoma"/>
          <w:lang w:val="es-ES"/>
        </w:rPr>
        <w:t xml:space="preserve"> </w:t>
      </w:r>
      <w:r w:rsidR="00827AB4" w:rsidRPr="00827AB4">
        <w:rPr>
          <w:rFonts w:ascii="Palatino Linotype" w:eastAsia="Calibri" w:hAnsi="Palatino Linotype" w:cs="Tahoma"/>
          <w:lang w:val="es-ES"/>
        </w:rPr>
        <w:t>leyes aplicables, podrá ejercer los derechos que le confiere el presente</w:t>
      </w:r>
      <w:r w:rsidR="00827AB4">
        <w:rPr>
          <w:rFonts w:ascii="Palatino Linotype" w:eastAsia="Calibri" w:hAnsi="Palatino Linotype" w:cs="Tahoma"/>
          <w:lang w:val="es-ES"/>
        </w:rPr>
        <w:t xml:space="preserve"> </w:t>
      </w:r>
      <w:r w:rsidR="00827AB4" w:rsidRPr="00827AB4">
        <w:rPr>
          <w:rFonts w:ascii="Palatino Linotype" w:eastAsia="Calibri" w:hAnsi="Palatino Linotype" w:cs="Tahoma"/>
          <w:lang w:val="es-ES"/>
        </w:rPr>
        <w:t>capítulo, siempre que el titular de los derechos hubiere expresado</w:t>
      </w:r>
      <w:r w:rsidR="00827AB4">
        <w:rPr>
          <w:rFonts w:ascii="Palatino Linotype" w:eastAsia="Calibri" w:hAnsi="Palatino Linotype" w:cs="Tahoma"/>
          <w:lang w:val="es-ES"/>
        </w:rPr>
        <w:t xml:space="preserve"> </w:t>
      </w:r>
      <w:r w:rsidR="00827AB4" w:rsidRPr="00827AB4">
        <w:rPr>
          <w:rFonts w:ascii="Palatino Linotype" w:eastAsia="Calibri" w:hAnsi="Palatino Linotype" w:cs="Tahoma"/>
          <w:lang w:val="es-ES"/>
        </w:rPr>
        <w:t>fehacientemente su voluntad en tal sentido, o que exista un mandato</w:t>
      </w:r>
      <w:r w:rsidR="00827AB4">
        <w:rPr>
          <w:rFonts w:ascii="Palatino Linotype" w:eastAsia="Calibri" w:hAnsi="Palatino Linotype" w:cs="Tahoma"/>
          <w:lang w:val="es-ES"/>
        </w:rPr>
        <w:t xml:space="preserve"> </w:t>
      </w:r>
      <w:r w:rsidR="00827AB4" w:rsidRPr="00827AB4">
        <w:rPr>
          <w:rFonts w:ascii="Palatino Linotype" w:eastAsia="Calibri" w:hAnsi="Palatino Linotype" w:cs="Tahoma"/>
          <w:lang w:val="es-ES"/>
        </w:rPr>
        <w:t>judicial para dicho efecto.</w:t>
      </w:r>
      <w:r w:rsidR="00827AB4">
        <w:rPr>
          <w:rFonts w:ascii="Palatino Linotype" w:eastAsia="Calibri" w:hAnsi="Palatino Linotype" w:cs="Tahoma"/>
          <w:lang w:val="es-ES"/>
        </w:rPr>
        <w:t xml:space="preserve"> </w:t>
      </w:r>
      <w:r w:rsidR="00827AB4" w:rsidRPr="00827AB4">
        <w:rPr>
          <w:rFonts w:ascii="Palatino Linotype" w:eastAsia="Calibri" w:hAnsi="Palatino Linotype" w:cs="Tahoma"/>
          <w:lang w:val="es-ES"/>
        </w:rPr>
        <w:t>El titular podrá autorizar dentro de una cláusula del testamento a las</w:t>
      </w:r>
      <w:r w:rsidR="00827AB4">
        <w:rPr>
          <w:rFonts w:ascii="Palatino Linotype" w:eastAsia="Calibri" w:hAnsi="Palatino Linotype" w:cs="Tahoma"/>
          <w:lang w:val="es-ES"/>
        </w:rPr>
        <w:t xml:space="preserve"> </w:t>
      </w:r>
      <w:r w:rsidR="00827AB4" w:rsidRPr="00827AB4">
        <w:rPr>
          <w:rFonts w:ascii="Palatino Linotype" w:eastAsia="Calibri" w:hAnsi="Palatino Linotype" w:cs="Tahoma"/>
          <w:lang w:val="es-ES"/>
        </w:rPr>
        <w:t>personas que podrán ejercer sus derechos ARCO al momento del</w:t>
      </w:r>
      <w:r w:rsidR="00827AB4">
        <w:rPr>
          <w:rFonts w:ascii="Palatino Linotype" w:eastAsia="Calibri" w:hAnsi="Palatino Linotype" w:cs="Tahoma"/>
          <w:lang w:val="es-ES"/>
        </w:rPr>
        <w:t xml:space="preserve"> </w:t>
      </w:r>
      <w:r w:rsidR="00827AB4" w:rsidRPr="00827AB4">
        <w:rPr>
          <w:rFonts w:ascii="Palatino Linotype" w:eastAsia="Calibri" w:hAnsi="Palatino Linotype" w:cs="Tahoma"/>
          <w:lang w:val="es-ES"/>
        </w:rPr>
        <w:t>fallecimiento.</w:t>
      </w:r>
    </w:p>
    <w:p w14:paraId="38C94E2B" w14:textId="77777777" w:rsidR="00FB25CB" w:rsidRDefault="00FB25CB" w:rsidP="0087688F">
      <w:pPr>
        <w:spacing w:after="0" w:line="360" w:lineRule="auto"/>
        <w:ind w:right="-93"/>
        <w:jc w:val="both"/>
        <w:rPr>
          <w:rFonts w:ascii="Palatino Linotype" w:eastAsia="Calibri" w:hAnsi="Palatino Linotype" w:cs="Tahoma"/>
          <w:lang w:val="es-ES"/>
        </w:rPr>
      </w:pPr>
    </w:p>
    <w:p w14:paraId="43728783" w14:textId="18BCB7A1" w:rsidR="00BA6879" w:rsidRDefault="00827AB4" w:rsidP="0087688F">
      <w:pPr>
        <w:spacing w:after="0" w:line="360" w:lineRule="auto"/>
        <w:ind w:right="-93"/>
        <w:jc w:val="both"/>
        <w:rPr>
          <w:rFonts w:ascii="Palatino Linotype" w:eastAsia="Calibri" w:hAnsi="Palatino Linotype" w:cs="Tahoma"/>
          <w:lang w:val="es-ES"/>
        </w:rPr>
      </w:pPr>
      <w:r>
        <w:rPr>
          <w:rFonts w:ascii="Palatino Linotype" w:eastAsia="Calibri" w:hAnsi="Palatino Linotype" w:cs="Tahoma"/>
          <w:lang w:val="es-ES"/>
        </w:rPr>
        <w:t>En tal virtud</w:t>
      </w:r>
      <w:r w:rsidR="0087688F" w:rsidRPr="0087688F">
        <w:rPr>
          <w:rFonts w:ascii="Palatino Linotype" w:eastAsia="Calibri" w:hAnsi="Palatino Linotype" w:cs="Tahoma"/>
          <w:lang w:val="es-ES"/>
        </w:rPr>
        <w:t xml:space="preserve">, </w:t>
      </w:r>
      <w:r w:rsidR="00F349AA" w:rsidRPr="0087688F">
        <w:rPr>
          <w:rFonts w:ascii="Palatino Linotype" w:eastAsia="Calibri" w:hAnsi="Palatino Linotype" w:cs="Tahoma"/>
          <w:lang w:val="es-ES"/>
        </w:rPr>
        <w:t>consider</w:t>
      </w:r>
      <w:r w:rsidR="003643A8" w:rsidRPr="0087688F">
        <w:rPr>
          <w:rFonts w:ascii="Palatino Linotype" w:eastAsia="Calibri" w:hAnsi="Palatino Linotype" w:cs="Tahoma"/>
          <w:lang w:val="es-ES"/>
        </w:rPr>
        <w:t>o</w:t>
      </w:r>
      <w:r w:rsidR="00F349AA" w:rsidRPr="0087688F">
        <w:rPr>
          <w:rFonts w:ascii="Palatino Linotype" w:eastAsia="Calibri" w:hAnsi="Palatino Linotype" w:cs="Tahoma"/>
          <w:lang w:val="es-ES"/>
        </w:rPr>
        <w:t xml:space="preserve"> que,</w:t>
      </w:r>
      <w:r w:rsidR="00307AFB" w:rsidRPr="0087688F">
        <w:rPr>
          <w:rFonts w:ascii="Palatino Linotype" w:eastAsia="Calibri" w:hAnsi="Palatino Linotype" w:cs="Tahoma"/>
          <w:lang w:val="es-ES"/>
        </w:rPr>
        <w:t xml:space="preserve"> </w:t>
      </w:r>
      <w:r w:rsidR="000050A8" w:rsidRPr="0087688F">
        <w:rPr>
          <w:rFonts w:ascii="Palatino Linotype" w:eastAsia="Calibri" w:hAnsi="Palatino Linotype" w:cs="Tahoma"/>
          <w:lang w:val="es-ES"/>
        </w:rPr>
        <w:t>desde</w:t>
      </w:r>
      <w:r w:rsidR="000050A8" w:rsidRPr="00F349AA">
        <w:rPr>
          <w:rFonts w:ascii="Palatino Linotype" w:eastAsia="Calibri" w:hAnsi="Palatino Linotype" w:cs="Tahoma"/>
          <w:lang w:val="es-ES"/>
        </w:rPr>
        <w:t xml:space="preserve"> de una perspectiva proteccionista</w:t>
      </w:r>
      <w:r w:rsidR="00E2090A" w:rsidRPr="00F349AA">
        <w:rPr>
          <w:rFonts w:ascii="Palatino Linotype" w:eastAsia="Calibri" w:hAnsi="Palatino Linotype" w:cs="Tahoma"/>
          <w:lang w:val="es-ES"/>
        </w:rPr>
        <w:t xml:space="preserve">, </w:t>
      </w:r>
      <w:r w:rsidR="00F349AA">
        <w:rPr>
          <w:rFonts w:ascii="Palatino Linotype" w:eastAsia="Calibri" w:hAnsi="Palatino Linotype" w:cs="Tahoma"/>
          <w:lang w:val="es-ES"/>
        </w:rPr>
        <w:t>se</w:t>
      </w:r>
      <w:r w:rsidR="000050A8" w:rsidRPr="00F349AA">
        <w:rPr>
          <w:rFonts w:ascii="Palatino Linotype" w:eastAsia="Calibri" w:hAnsi="Palatino Linotype" w:cs="Tahoma"/>
          <w:lang w:val="es-ES"/>
        </w:rPr>
        <w:t xml:space="preserve"> debió haber requerido al Particular para que proporcionara </w:t>
      </w:r>
      <w:r w:rsidR="005833F1">
        <w:rPr>
          <w:rFonts w:ascii="Palatino Linotype" w:eastAsia="Calibri" w:hAnsi="Palatino Linotype" w:cs="Tahoma"/>
          <w:lang w:val="es-ES"/>
        </w:rPr>
        <w:t xml:space="preserve">mayor información, como </w:t>
      </w:r>
      <w:r w:rsidR="000050A8" w:rsidRPr="00F349AA">
        <w:rPr>
          <w:rFonts w:ascii="Palatino Linotype" w:eastAsia="Calibri" w:hAnsi="Palatino Linotype" w:cs="Tahoma"/>
          <w:lang w:val="es-ES"/>
        </w:rPr>
        <w:t>los datos de identificación del predio del cual se requería acceder al recibo de pago del impuesto predial</w:t>
      </w:r>
      <w:r w:rsidR="005833F1">
        <w:rPr>
          <w:rFonts w:ascii="Palatino Linotype" w:eastAsia="Calibri" w:hAnsi="Palatino Linotype" w:cs="Tahoma"/>
          <w:lang w:val="es-ES"/>
        </w:rPr>
        <w:t xml:space="preserve">, </w:t>
      </w:r>
      <w:r w:rsidR="00820F70" w:rsidRPr="00F349AA">
        <w:rPr>
          <w:rFonts w:ascii="Palatino Linotype" w:eastAsia="Calibri" w:hAnsi="Palatino Linotype" w:cs="Tahoma"/>
          <w:lang w:val="es-ES"/>
        </w:rPr>
        <w:t>los datos del titular</w:t>
      </w:r>
      <w:r w:rsidR="00C22295" w:rsidRPr="00F349AA">
        <w:rPr>
          <w:rFonts w:ascii="Palatino Linotype" w:eastAsia="Calibri" w:hAnsi="Palatino Linotype" w:cs="Tahoma"/>
          <w:lang w:val="es-ES"/>
        </w:rPr>
        <w:t xml:space="preserve"> del predio</w:t>
      </w:r>
      <w:r w:rsidR="00820F70" w:rsidRPr="00F349AA">
        <w:rPr>
          <w:rFonts w:ascii="Palatino Linotype" w:eastAsia="Calibri" w:hAnsi="Palatino Linotype" w:cs="Tahoma"/>
          <w:lang w:val="es-ES"/>
        </w:rPr>
        <w:t xml:space="preserve">, la constancia </w:t>
      </w:r>
      <w:r w:rsidR="005833F1">
        <w:rPr>
          <w:rFonts w:ascii="Palatino Linotype" w:eastAsia="Calibri" w:hAnsi="Palatino Linotype" w:cs="Tahoma"/>
          <w:lang w:val="es-ES"/>
        </w:rPr>
        <w:t>que diera fe del fallecimiento,  acreditar</w:t>
      </w:r>
      <w:r w:rsidR="00820F70" w:rsidRPr="00F349AA">
        <w:rPr>
          <w:rFonts w:ascii="Palatino Linotype" w:eastAsia="Calibri" w:hAnsi="Palatino Linotype" w:cs="Tahoma"/>
          <w:lang w:val="es-ES"/>
        </w:rPr>
        <w:t xml:space="preserve"> el vínculo por el cual podía acceder a los datos personales del difunto</w:t>
      </w:r>
      <w:r w:rsidR="003643A8">
        <w:rPr>
          <w:rFonts w:ascii="Palatino Linotype" w:eastAsia="Calibri" w:hAnsi="Palatino Linotype" w:cs="Tahoma"/>
          <w:lang w:val="es-ES"/>
        </w:rPr>
        <w:t>,  así como su identidad</w:t>
      </w:r>
      <w:r w:rsidR="005833F1">
        <w:rPr>
          <w:rFonts w:ascii="Palatino Linotype" w:eastAsia="Calibri" w:hAnsi="Palatino Linotype" w:cs="Tahoma"/>
          <w:lang w:val="es-ES"/>
        </w:rPr>
        <w:t xml:space="preserve">, </w:t>
      </w:r>
      <w:r w:rsidR="00820F70" w:rsidRPr="00F349AA">
        <w:rPr>
          <w:rFonts w:ascii="Palatino Linotype" w:eastAsia="Calibri" w:hAnsi="Palatino Linotype" w:cs="Tahoma"/>
          <w:lang w:val="es-ES"/>
        </w:rPr>
        <w:t xml:space="preserve"> situación que en ningún momento fue analizada </w:t>
      </w:r>
      <w:r w:rsidR="005833F1">
        <w:rPr>
          <w:rFonts w:ascii="Palatino Linotype" w:eastAsia="Calibri" w:hAnsi="Palatino Linotype" w:cs="Tahoma"/>
          <w:lang w:val="es-ES"/>
        </w:rPr>
        <w:t xml:space="preserve">en el estudio, </w:t>
      </w:r>
      <w:r w:rsidR="00820F70" w:rsidRPr="00F349AA">
        <w:rPr>
          <w:rFonts w:ascii="Palatino Linotype" w:eastAsia="Calibri" w:hAnsi="Palatino Linotype" w:cs="Tahoma"/>
          <w:lang w:val="es-ES"/>
        </w:rPr>
        <w:t xml:space="preserve">con el fin de que </w:t>
      </w:r>
      <w:r w:rsidR="00C22295" w:rsidRPr="00F349AA">
        <w:rPr>
          <w:rFonts w:ascii="Palatino Linotype" w:eastAsia="Calibri" w:hAnsi="Palatino Linotype" w:cs="Tahoma"/>
          <w:lang w:val="es-ES"/>
        </w:rPr>
        <w:t>en su caso, se reivindicara la vía a una solicitud de derechos ARCO</w:t>
      </w:r>
      <w:r w:rsidR="005833F1">
        <w:rPr>
          <w:rFonts w:ascii="Palatino Linotype" w:eastAsia="Calibri" w:hAnsi="Palatino Linotype" w:cs="Tahoma"/>
          <w:lang w:val="es-ES"/>
        </w:rPr>
        <w:t>.</w:t>
      </w:r>
    </w:p>
    <w:p w14:paraId="44181B60" w14:textId="77777777" w:rsidR="005833F1" w:rsidRDefault="005833F1" w:rsidP="0087688F">
      <w:pPr>
        <w:spacing w:after="0" w:line="360" w:lineRule="auto"/>
        <w:ind w:right="-93"/>
        <w:jc w:val="both"/>
        <w:rPr>
          <w:rFonts w:ascii="Palatino Linotype" w:eastAsia="Calibri" w:hAnsi="Palatino Linotype" w:cs="Tahoma"/>
          <w:lang w:val="es-ES"/>
        </w:rPr>
      </w:pPr>
    </w:p>
    <w:p w14:paraId="2C770C0A" w14:textId="77777777" w:rsidR="001D6F99" w:rsidRDefault="00E2090A" w:rsidP="0083303F">
      <w:pPr>
        <w:spacing w:after="0" w:line="360" w:lineRule="auto"/>
        <w:ind w:right="-93"/>
        <w:jc w:val="both"/>
        <w:rPr>
          <w:rFonts w:ascii="Palatino Linotype" w:eastAsia="Calibri" w:hAnsi="Palatino Linotype" w:cs="Tahoma"/>
          <w:lang w:val="es-ES"/>
        </w:rPr>
      </w:pPr>
      <w:r>
        <w:rPr>
          <w:rFonts w:ascii="Palatino Linotype" w:eastAsia="Calibri" w:hAnsi="Palatino Linotype" w:cs="Tahoma"/>
          <w:lang w:val="es-ES"/>
        </w:rPr>
        <w:t xml:space="preserve">En ese tenor, toda vez que el Sujeto Obligado no realizó ningún requerimiento al </w:t>
      </w:r>
      <w:r w:rsidR="0071720E">
        <w:rPr>
          <w:rFonts w:ascii="Palatino Linotype" w:eastAsia="Calibri" w:hAnsi="Palatino Linotype" w:cs="Tahoma"/>
          <w:lang w:val="es-ES"/>
        </w:rPr>
        <w:t>Particular</w:t>
      </w:r>
      <w:r w:rsidR="00CB453F">
        <w:rPr>
          <w:rFonts w:ascii="Palatino Linotype" w:eastAsia="Calibri" w:hAnsi="Palatino Linotype" w:cs="Tahoma"/>
          <w:lang w:val="es-ES"/>
        </w:rPr>
        <w:t xml:space="preserve"> para que proporcionara la información que permitiera la </w:t>
      </w:r>
      <w:r w:rsidR="0083303F">
        <w:rPr>
          <w:rFonts w:ascii="Palatino Linotype" w:eastAsia="Calibri" w:hAnsi="Palatino Linotype" w:cs="Tahoma"/>
          <w:lang w:val="es-ES"/>
        </w:rPr>
        <w:t>reivindicación</w:t>
      </w:r>
      <w:r w:rsidR="00CB453F">
        <w:rPr>
          <w:rFonts w:ascii="Palatino Linotype" w:eastAsia="Calibri" w:hAnsi="Palatino Linotype" w:cs="Tahoma"/>
          <w:lang w:val="es-ES"/>
        </w:rPr>
        <w:t xml:space="preserve"> </w:t>
      </w:r>
      <w:r w:rsidR="0083303F">
        <w:rPr>
          <w:rFonts w:ascii="Palatino Linotype" w:eastAsia="Calibri" w:hAnsi="Palatino Linotype" w:cs="Tahoma"/>
          <w:lang w:val="es-ES"/>
        </w:rPr>
        <w:t>de</w:t>
      </w:r>
      <w:r w:rsidR="00CB453F">
        <w:rPr>
          <w:rFonts w:ascii="Palatino Linotype" w:eastAsia="Calibri" w:hAnsi="Palatino Linotype" w:cs="Tahoma"/>
          <w:lang w:val="es-ES"/>
        </w:rPr>
        <w:t xml:space="preserve"> la solicitud a </w:t>
      </w:r>
      <w:r>
        <w:rPr>
          <w:rFonts w:ascii="Palatino Linotype" w:eastAsia="Calibri" w:hAnsi="Palatino Linotype" w:cs="Tahoma"/>
          <w:lang w:val="es-ES"/>
        </w:rPr>
        <w:t xml:space="preserve">la vía </w:t>
      </w:r>
      <w:r w:rsidR="0071720E">
        <w:rPr>
          <w:rFonts w:ascii="Palatino Linotype" w:eastAsia="Calibri" w:hAnsi="Palatino Linotype" w:cs="Tahoma"/>
          <w:lang w:val="es-ES"/>
        </w:rPr>
        <w:t xml:space="preserve">de acceso a datos personales, la Ponencia resolutora </w:t>
      </w:r>
      <w:r w:rsidR="00075E8E">
        <w:rPr>
          <w:rFonts w:ascii="Palatino Linotype" w:eastAsia="Calibri" w:hAnsi="Palatino Linotype" w:cs="Tahoma"/>
          <w:lang w:val="es-ES"/>
        </w:rPr>
        <w:t>debió</w:t>
      </w:r>
      <w:r w:rsidR="0071720E">
        <w:rPr>
          <w:rFonts w:ascii="Palatino Linotype" w:eastAsia="Calibri" w:hAnsi="Palatino Linotype" w:cs="Tahoma"/>
          <w:lang w:val="es-ES"/>
        </w:rPr>
        <w:t xml:space="preserve"> haber </w:t>
      </w:r>
      <w:r w:rsidR="005833F1">
        <w:rPr>
          <w:rFonts w:ascii="Palatino Linotype" w:eastAsia="Calibri" w:hAnsi="Palatino Linotype" w:cs="Tahoma"/>
          <w:lang w:val="es-ES"/>
        </w:rPr>
        <w:t>examinado</w:t>
      </w:r>
      <w:r w:rsidR="0071720E">
        <w:rPr>
          <w:rFonts w:ascii="Palatino Linotype" w:eastAsia="Calibri" w:hAnsi="Palatino Linotype" w:cs="Tahoma"/>
          <w:lang w:val="es-ES"/>
        </w:rPr>
        <w:t xml:space="preserve"> dicha circunstancia, lo que en la especie no sucedió y determinar </w:t>
      </w:r>
      <w:r w:rsidR="00075E8E">
        <w:rPr>
          <w:rFonts w:ascii="Palatino Linotype" w:eastAsia="Calibri" w:hAnsi="Palatino Linotype" w:cs="Tahoma"/>
          <w:lang w:val="es-ES"/>
        </w:rPr>
        <w:t>que lo conducente</w:t>
      </w:r>
      <w:r w:rsidR="001D6F99">
        <w:rPr>
          <w:rFonts w:ascii="Palatino Linotype" w:eastAsia="Calibri" w:hAnsi="Palatino Linotype" w:cs="Tahoma"/>
          <w:lang w:val="es-ES"/>
        </w:rPr>
        <w:t>.</w:t>
      </w:r>
    </w:p>
    <w:p w14:paraId="4E985A64" w14:textId="77777777" w:rsidR="001D6F99" w:rsidRDefault="001D6F99" w:rsidP="0083303F">
      <w:pPr>
        <w:spacing w:after="0" w:line="360" w:lineRule="auto"/>
        <w:ind w:right="-93"/>
        <w:jc w:val="both"/>
        <w:rPr>
          <w:rFonts w:ascii="Palatino Linotype" w:eastAsia="Calibri" w:hAnsi="Palatino Linotype" w:cs="Tahoma"/>
          <w:lang w:val="es-ES"/>
        </w:rPr>
      </w:pPr>
    </w:p>
    <w:p w14:paraId="125315CC" w14:textId="604E4CA1" w:rsidR="0071720E" w:rsidRDefault="001D6F99" w:rsidP="0083303F">
      <w:pPr>
        <w:spacing w:after="0" w:line="360" w:lineRule="auto"/>
        <w:ind w:right="-93"/>
        <w:jc w:val="both"/>
        <w:rPr>
          <w:rFonts w:ascii="Palatino Linotype" w:eastAsia="Calibri" w:hAnsi="Palatino Linotype" w:cs="Tahoma"/>
          <w:lang w:val="es-ES"/>
        </w:rPr>
      </w:pPr>
      <w:r>
        <w:rPr>
          <w:rFonts w:ascii="Palatino Linotype" w:eastAsia="Calibri" w:hAnsi="Palatino Linotype" w:cs="Tahoma"/>
          <w:lang w:val="es-ES"/>
        </w:rPr>
        <w:t xml:space="preserve">Ahora bien, ante la falta de elementos en el expediente, tampoco comparto que el Recurso de Revisión que nos ocupa, se sobresea por quedar sin materia, porque en realidad nunca tuvo materia como una solicitud de acceso a información pública, por ende debía sobreseerse </w:t>
      </w:r>
      <w:r w:rsidR="00CB453F">
        <w:rPr>
          <w:rFonts w:ascii="Palatino Linotype" w:eastAsia="Calibri" w:hAnsi="Palatino Linotype" w:cs="Tahoma"/>
          <w:lang w:val="es-ES"/>
        </w:rPr>
        <w:t xml:space="preserve">con fundamento en </w:t>
      </w:r>
      <w:r w:rsidR="00075E8E">
        <w:rPr>
          <w:rFonts w:ascii="Palatino Linotype" w:eastAsia="Calibri" w:hAnsi="Palatino Linotype" w:cs="Tahoma"/>
          <w:lang w:val="es-ES"/>
        </w:rPr>
        <w:t xml:space="preserve"> la causal establecida en</w:t>
      </w:r>
      <w:r w:rsidR="002E1733">
        <w:rPr>
          <w:rFonts w:ascii="Palatino Linotype" w:eastAsia="Calibri" w:hAnsi="Palatino Linotype" w:cs="Tahoma"/>
          <w:lang w:val="es-ES"/>
        </w:rPr>
        <w:t xml:space="preserve"> la ley de transparencia local, en </w:t>
      </w:r>
      <w:r w:rsidR="00075E8E">
        <w:rPr>
          <w:rFonts w:ascii="Palatino Linotype" w:eastAsia="Calibri" w:hAnsi="Palatino Linotype" w:cs="Tahoma"/>
          <w:lang w:val="es-ES"/>
        </w:rPr>
        <w:t xml:space="preserve"> el artículo 92, fracción IV, esto es, que una vez a</w:t>
      </w:r>
      <w:r w:rsidR="00075E8E" w:rsidRPr="00075E8E">
        <w:rPr>
          <w:rFonts w:ascii="Palatino Linotype" w:eastAsia="Calibri" w:hAnsi="Palatino Linotype" w:cs="Tahoma"/>
          <w:lang w:val="es-ES"/>
        </w:rPr>
        <w:t>dmitido el recurso de revisión, aparezca alguna causal de</w:t>
      </w:r>
      <w:r w:rsidR="00075E8E">
        <w:rPr>
          <w:rFonts w:ascii="Palatino Linotype" w:eastAsia="Calibri" w:hAnsi="Palatino Linotype" w:cs="Tahoma"/>
          <w:lang w:val="es-ES"/>
        </w:rPr>
        <w:t xml:space="preserve"> </w:t>
      </w:r>
      <w:r w:rsidR="00CB453F">
        <w:rPr>
          <w:rFonts w:ascii="Palatino Linotype" w:eastAsia="Calibri" w:hAnsi="Palatino Linotype" w:cs="Tahoma"/>
          <w:lang w:val="es-ES"/>
        </w:rPr>
        <w:t>improcedencia</w:t>
      </w:r>
      <w:r w:rsidR="0083303F">
        <w:rPr>
          <w:rFonts w:ascii="Palatino Linotype" w:eastAsia="Calibri" w:hAnsi="Palatino Linotype" w:cs="Tahoma"/>
          <w:lang w:val="es-ES"/>
        </w:rPr>
        <w:t xml:space="preserve">, relacionándola con la fracción III del artículo 191 que contempla que </w:t>
      </w:r>
      <w:r w:rsidR="002E1733">
        <w:rPr>
          <w:rFonts w:ascii="Palatino Linotype" w:eastAsia="Calibri" w:hAnsi="Palatino Linotype" w:cs="Tahoma"/>
          <w:lang w:val="es-ES"/>
        </w:rPr>
        <w:t>e</w:t>
      </w:r>
      <w:r w:rsidR="0083303F" w:rsidRPr="0083303F">
        <w:rPr>
          <w:rFonts w:ascii="Palatino Linotype" w:eastAsia="Calibri" w:hAnsi="Palatino Linotype" w:cs="Tahoma"/>
          <w:lang w:val="es-ES"/>
        </w:rPr>
        <w:t>l recurso será desechado por improcedente cuando</w:t>
      </w:r>
      <w:r w:rsidR="0083303F">
        <w:rPr>
          <w:rFonts w:ascii="Palatino Linotype" w:eastAsia="Calibri" w:hAnsi="Palatino Linotype" w:cs="Tahoma"/>
          <w:lang w:val="es-ES"/>
        </w:rPr>
        <w:t xml:space="preserve"> n</w:t>
      </w:r>
      <w:r w:rsidR="0083303F" w:rsidRPr="0083303F">
        <w:rPr>
          <w:rFonts w:ascii="Palatino Linotype" w:eastAsia="Calibri" w:hAnsi="Palatino Linotype" w:cs="Tahoma"/>
          <w:lang w:val="es-ES"/>
        </w:rPr>
        <w:t xml:space="preserve">o actualice alguno de los supuestos </w:t>
      </w:r>
      <w:r w:rsidR="0083303F" w:rsidRPr="0083303F">
        <w:rPr>
          <w:rFonts w:ascii="Palatino Linotype" w:eastAsia="Calibri" w:hAnsi="Palatino Linotype" w:cs="Tahoma"/>
          <w:lang w:val="es-ES"/>
        </w:rPr>
        <w:lastRenderedPageBreak/>
        <w:t>previstos en la presente Ley;</w:t>
      </w:r>
      <w:r>
        <w:rPr>
          <w:rFonts w:ascii="Palatino Linotype" w:eastAsia="Calibri" w:hAnsi="Palatino Linotype" w:cs="Tahoma"/>
          <w:lang w:val="es-ES"/>
        </w:rPr>
        <w:t xml:space="preserve"> en efecto, al no reivindicar la vía, nos encontramos ante un recurso de revisión improcedente, por lo que se reitera, nunca tuvo materia.</w:t>
      </w:r>
    </w:p>
    <w:p w14:paraId="62C5A170" w14:textId="77777777" w:rsidR="00817696" w:rsidRDefault="00817696" w:rsidP="0083303F">
      <w:pPr>
        <w:spacing w:after="0" w:line="360" w:lineRule="auto"/>
        <w:ind w:right="-93"/>
        <w:jc w:val="both"/>
        <w:rPr>
          <w:rFonts w:ascii="Palatino Linotype" w:eastAsia="Calibri" w:hAnsi="Palatino Linotype" w:cs="Tahoma"/>
          <w:lang w:val="es-ES"/>
        </w:rPr>
      </w:pPr>
    </w:p>
    <w:p w14:paraId="2A24AEF1" w14:textId="77777777" w:rsidR="00680C26" w:rsidRPr="003C1420" w:rsidRDefault="00680C26" w:rsidP="00F32B20">
      <w:pPr>
        <w:spacing w:after="0" w:line="360" w:lineRule="auto"/>
        <w:jc w:val="both"/>
        <w:rPr>
          <w:rFonts w:ascii="Palatino Linotype" w:eastAsia="Calibri" w:hAnsi="Palatino Linotype" w:cs="Tahoma"/>
          <w:lang w:val="es-ES"/>
        </w:rPr>
      </w:pPr>
      <w:r w:rsidRPr="003C1420">
        <w:rPr>
          <w:rFonts w:ascii="Palatino Linotype" w:eastAsia="Calibri" w:hAnsi="Palatino Linotype" w:cs="Tahoma"/>
          <w:lang w:val="es-ES"/>
        </w:rPr>
        <w:t>Así, con base en los razonamientos expuestos, se emite el Presente Voto Particular.</w:t>
      </w:r>
      <w:r w:rsidRPr="003C1420">
        <w:rPr>
          <w:rFonts w:ascii="Palatino Linotype" w:eastAsia="Calibri" w:hAnsi="Palatino Linotype" w:cs="Times New Roman"/>
        </w:rPr>
        <w:t xml:space="preserve"> </w:t>
      </w:r>
      <w:r w:rsidRPr="003C1420">
        <w:rPr>
          <w:rFonts w:ascii="Palatino Linotype" w:eastAsia="Calibri" w:hAnsi="Palatino Linotype" w:cs="Tahoma"/>
        </w:rPr>
        <w:t>----------------------------------------------------------------------------------------------------------------------------------</w:t>
      </w:r>
    </w:p>
    <w:p w14:paraId="5C580C45" w14:textId="77777777" w:rsidR="00680C26" w:rsidRPr="00420C7D" w:rsidRDefault="00680C26" w:rsidP="00F32B20">
      <w:pPr>
        <w:spacing w:after="0" w:line="360" w:lineRule="auto"/>
        <w:jc w:val="both"/>
        <w:rPr>
          <w:rFonts w:ascii="Palatino Linotype" w:eastAsia="Calibri" w:hAnsi="Palatino Linotype" w:cs="Tahoma"/>
          <w:color w:val="FF0000"/>
          <w:lang w:val="es-ES"/>
        </w:rPr>
      </w:pPr>
    </w:p>
    <w:p w14:paraId="4E7FA26C" w14:textId="75528A3F" w:rsidR="00680C26" w:rsidRPr="00420C7D" w:rsidRDefault="00680C26" w:rsidP="00F32B20">
      <w:pPr>
        <w:spacing w:after="0"/>
        <w:rPr>
          <w:rFonts w:ascii="Palatino Linotype" w:eastAsia="Calibri" w:hAnsi="Palatino Linotype" w:cs="Tahoma"/>
          <w:color w:val="FF0000"/>
          <w:lang w:val="es-ES"/>
        </w:rPr>
      </w:pPr>
    </w:p>
    <w:p w14:paraId="1186E0FB" w14:textId="77777777" w:rsidR="00680C26" w:rsidRPr="00420C7D" w:rsidRDefault="00680C26" w:rsidP="00F32B20">
      <w:pPr>
        <w:spacing w:after="0" w:line="360" w:lineRule="auto"/>
        <w:jc w:val="both"/>
        <w:rPr>
          <w:rFonts w:ascii="Palatino Linotype" w:eastAsia="Calibri" w:hAnsi="Palatino Linotype" w:cs="Tahoma"/>
          <w:color w:val="FF0000"/>
          <w:lang w:val="es-ES"/>
        </w:rPr>
      </w:pPr>
    </w:p>
    <w:p w14:paraId="7E71A531" w14:textId="77777777" w:rsidR="00680C26" w:rsidRPr="00420C7D" w:rsidRDefault="00680C26" w:rsidP="00F32B20">
      <w:pPr>
        <w:spacing w:after="0" w:line="360" w:lineRule="auto"/>
        <w:jc w:val="both"/>
        <w:rPr>
          <w:rFonts w:ascii="Palatino Linotype" w:eastAsia="Calibri" w:hAnsi="Palatino Linotype" w:cs="Tahoma"/>
          <w:color w:val="FF0000"/>
          <w:lang w:val="es-ES"/>
        </w:rPr>
      </w:pPr>
    </w:p>
    <w:p w14:paraId="68DB48DA" w14:textId="77777777" w:rsidR="00680C26" w:rsidRPr="00420C7D" w:rsidRDefault="00680C26" w:rsidP="00F32B20">
      <w:pPr>
        <w:spacing w:after="0" w:line="360" w:lineRule="auto"/>
        <w:jc w:val="both"/>
        <w:rPr>
          <w:rFonts w:ascii="Palatino Linotype" w:eastAsia="Calibri" w:hAnsi="Palatino Linotype" w:cs="Tahoma"/>
          <w:color w:val="FF0000"/>
          <w:lang w:val="es-ES"/>
        </w:rPr>
      </w:pPr>
    </w:p>
    <w:p w14:paraId="3F86BD5E" w14:textId="77777777" w:rsidR="00680C26" w:rsidRPr="00420C7D" w:rsidRDefault="00680C26" w:rsidP="00F32B20">
      <w:pPr>
        <w:spacing w:after="0" w:line="360" w:lineRule="auto"/>
        <w:jc w:val="both"/>
        <w:rPr>
          <w:rFonts w:ascii="Palatino Linotype" w:eastAsia="Calibri" w:hAnsi="Palatino Linotype" w:cs="Tahoma"/>
          <w:color w:val="FF0000"/>
          <w:lang w:val="es-ES"/>
        </w:rPr>
      </w:pPr>
    </w:p>
    <w:p w14:paraId="2F1BA7C0" w14:textId="77777777" w:rsidR="00680C26" w:rsidRPr="00420C7D" w:rsidRDefault="00680C26" w:rsidP="00F32B20">
      <w:pPr>
        <w:spacing w:after="0" w:line="360" w:lineRule="auto"/>
        <w:jc w:val="both"/>
        <w:rPr>
          <w:rFonts w:ascii="Palatino Linotype" w:eastAsia="Calibri" w:hAnsi="Palatino Linotype" w:cs="Tahoma"/>
          <w:color w:val="FF0000"/>
          <w:lang w:val="es-ES"/>
        </w:rPr>
      </w:pPr>
    </w:p>
    <w:p w14:paraId="52FF3A1B" w14:textId="77777777" w:rsidR="00680C26" w:rsidRPr="00420C7D" w:rsidRDefault="00680C26" w:rsidP="00F32B20">
      <w:pPr>
        <w:spacing w:after="0" w:line="360" w:lineRule="auto"/>
        <w:jc w:val="both"/>
        <w:rPr>
          <w:rFonts w:ascii="Palatino Linotype" w:eastAsia="Calibri" w:hAnsi="Palatino Linotype" w:cs="Tahoma"/>
          <w:color w:val="FF0000"/>
          <w:lang w:val="es-ES"/>
        </w:rPr>
      </w:pPr>
    </w:p>
    <w:p w14:paraId="2464F0FB" w14:textId="77777777" w:rsidR="00680C26" w:rsidRPr="00420C7D" w:rsidRDefault="00680C26" w:rsidP="00F32B20">
      <w:pPr>
        <w:spacing w:after="0" w:line="360" w:lineRule="auto"/>
        <w:jc w:val="both"/>
        <w:rPr>
          <w:rFonts w:ascii="Palatino Linotype" w:eastAsia="Calibri" w:hAnsi="Palatino Linotype" w:cs="Tahoma"/>
          <w:color w:val="FF0000"/>
          <w:lang w:val="es-ES"/>
        </w:rPr>
      </w:pPr>
    </w:p>
    <w:p w14:paraId="4F7D987C" w14:textId="77777777" w:rsidR="00680C26" w:rsidRPr="00420C7D" w:rsidRDefault="00680C26" w:rsidP="00F32B20">
      <w:pPr>
        <w:spacing w:after="0" w:line="360" w:lineRule="auto"/>
        <w:jc w:val="both"/>
        <w:rPr>
          <w:rFonts w:ascii="Palatino Linotype" w:eastAsia="Calibri" w:hAnsi="Palatino Linotype" w:cs="Tahoma"/>
          <w:color w:val="FF0000"/>
          <w:lang w:val="es-ES"/>
        </w:rPr>
      </w:pPr>
    </w:p>
    <w:p w14:paraId="204FBBF1" w14:textId="77777777" w:rsidR="00680C26" w:rsidRPr="00420C7D" w:rsidRDefault="00680C26" w:rsidP="00F32B20">
      <w:pPr>
        <w:spacing w:after="0" w:line="360" w:lineRule="auto"/>
        <w:jc w:val="both"/>
        <w:rPr>
          <w:rFonts w:ascii="Palatino Linotype" w:eastAsia="Calibri" w:hAnsi="Palatino Linotype" w:cs="Tahoma"/>
          <w:color w:val="FF0000"/>
          <w:lang w:val="es-ES"/>
        </w:rPr>
      </w:pPr>
    </w:p>
    <w:p w14:paraId="2DE9DFCC" w14:textId="77777777" w:rsidR="00680C26" w:rsidRPr="00420C7D" w:rsidRDefault="00680C26" w:rsidP="00F32B20">
      <w:pPr>
        <w:spacing w:after="0" w:line="360" w:lineRule="auto"/>
        <w:jc w:val="both"/>
        <w:rPr>
          <w:rFonts w:ascii="Palatino Linotype" w:eastAsia="Calibri" w:hAnsi="Palatino Linotype" w:cs="Tahoma"/>
          <w:color w:val="FF0000"/>
          <w:lang w:val="es-ES"/>
        </w:rPr>
      </w:pPr>
    </w:p>
    <w:p w14:paraId="003B6763" w14:textId="77777777" w:rsidR="00680C26" w:rsidRPr="00420C7D" w:rsidRDefault="00680C26" w:rsidP="00F32B20">
      <w:pPr>
        <w:spacing w:after="0" w:line="360" w:lineRule="auto"/>
        <w:jc w:val="both"/>
        <w:rPr>
          <w:rFonts w:ascii="Palatino Linotype" w:eastAsia="Calibri" w:hAnsi="Palatino Linotype" w:cs="Tahoma"/>
          <w:color w:val="FF0000"/>
          <w:lang w:val="es-ES"/>
        </w:rPr>
      </w:pPr>
    </w:p>
    <w:p w14:paraId="01F9DF04" w14:textId="77777777" w:rsidR="00680C26" w:rsidRPr="00420C7D" w:rsidRDefault="00680C26" w:rsidP="00F32B20">
      <w:pPr>
        <w:spacing w:after="0" w:line="360" w:lineRule="auto"/>
        <w:jc w:val="both"/>
        <w:rPr>
          <w:rFonts w:ascii="Palatino Linotype" w:eastAsia="Calibri" w:hAnsi="Palatino Linotype" w:cs="Tahoma"/>
          <w:color w:val="FF0000"/>
          <w:lang w:val="es-ES"/>
        </w:rPr>
      </w:pPr>
    </w:p>
    <w:p w14:paraId="69ED49B6" w14:textId="77777777" w:rsidR="00680C26" w:rsidRPr="00420C7D" w:rsidRDefault="00680C26" w:rsidP="00F32B20">
      <w:pPr>
        <w:spacing w:after="0" w:line="360" w:lineRule="auto"/>
        <w:jc w:val="both"/>
        <w:rPr>
          <w:rFonts w:ascii="Palatino Linotype" w:eastAsia="Calibri" w:hAnsi="Palatino Linotype" w:cs="Tahoma"/>
          <w:color w:val="FF0000"/>
          <w:lang w:val="es-ES"/>
        </w:rPr>
      </w:pPr>
    </w:p>
    <w:p w14:paraId="4F31A83E" w14:textId="77777777" w:rsidR="00680C26" w:rsidRPr="00420C7D" w:rsidRDefault="00680C26" w:rsidP="00F32B20">
      <w:pPr>
        <w:spacing w:after="0" w:line="360" w:lineRule="auto"/>
        <w:jc w:val="both"/>
        <w:rPr>
          <w:rFonts w:ascii="Palatino Linotype" w:eastAsia="Calibri" w:hAnsi="Palatino Linotype" w:cs="Tahoma"/>
          <w:color w:val="FF0000"/>
          <w:lang w:val="es-ES"/>
        </w:rPr>
      </w:pPr>
    </w:p>
    <w:p w14:paraId="3F1023F9" w14:textId="77777777" w:rsidR="00680C26" w:rsidRPr="00420C7D" w:rsidRDefault="00680C26" w:rsidP="00F32B20">
      <w:pPr>
        <w:spacing w:after="0" w:line="360" w:lineRule="auto"/>
        <w:jc w:val="both"/>
        <w:rPr>
          <w:rFonts w:ascii="Palatino Linotype" w:eastAsia="Calibri" w:hAnsi="Palatino Linotype" w:cs="Tahoma"/>
          <w:color w:val="FF0000"/>
          <w:lang w:val="es-ES"/>
        </w:rPr>
      </w:pPr>
    </w:p>
    <w:p w14:paraId="6940CBF0" w14:textId="77777777" w:rsidR="00680C26" w:rsidRPr="00420C7D" w:rsidRDefault="00680C26" w:rsidP="00F32B20">
      <w:pPr>
        <w:spacing w:after="0" w:line="360" w:lineRule="auto"/>
        <w:jc w:val="both"/>
        <w:rPr>
          <w:rFonts w:ascii="Palatino Linotype" w:eastAsia="Calibri" w:hAnsi="Palatino Linotype" w:cs="Tahoma"/>
          <w:color w:val="FF0000"/>
          <w:lang w:val="es-ES"/>
        </w:rPr>
      </w:pPr>
    </w:p>
    <w:p w14:paraId="75DCB723" w14:textId="77777777" w:rsidR="00680C26" w:rsidRPr="00420C7D" w:rsidRDefault="00680C26" w:rsidP="00F32B20">
      <w:pPr>
        <w:spacing w:after="0" w:line="360" w:lineRule="auto"/>
        <w:jc w:val="both"/>
        <w:rPr>
          <w:rFonts w:ascii="Palatino Linotype" w:eastAsia="Calibri" w:hAnsi="Palatino Linotype" w:cs="Tahoma"/>
          <w:color w:val="FF0000"/>
          <w:lang w:val="es-ES"/>
        </w:rPr>
      </w:pPr>
    </w:p>
    <w:p w14:paraId="2F6AAAB5" w14:textId="77777777" w:rsidR="00680C26" w:rsidRPr="00420C7D" w:rsidRDefault="00680C26" w:rsidP="00F32B20">
      <w:pPr>
        <w:spacing w:after="0" w:line="360" w:lineRule="auto"/>
        <w:jc w:val="both"/>
        <w:rPr>
          <w:rFonts w:ascii="Palatino Linotype" w:eastAsia="Calibri" w:hAnsi="Palatino Linotype" w:cs="Tahoma"/>
          <w:color w:val="FF0000"/>
          <w:lang w:val="es-ES"/>
        </w:rPr>
      </w:pPr>
    </w:p>
    <w:p w14:paraId="2A23B84C" w14:textId="77777777" w:rsidR="00680C26" w:rsidRPr="00420C7D" w:rsidRDefault="00680C26" w:rsidP="00F32B20">
      <w:pPr>
        <w:spacing w:after="0" w:line="360" w:lineRule="auto"/>
        <w:jc w:val="both"/>
        <w:rPr>
          <w:rFonts w:ascii="Palatino Linotype" w:eastAsia="Calibri" w:hAnsi="Palatino Linotype" w:cs="Tahoma"/>
          <w:color w:val="FF0000"/>
          <w:lang w:val="es-ES"/>
        </w:rPr>
      </w:pPr>
    </w:p>
    <w:p w14:paraId="37620D95" w14:textId="77777777" w:rsidR="00680C26" w:rsidRPr="00420C7D" w:rsidRDefault="00680C26" w:rsidP="00F32B20">
      <w:pPr>
        <w:spacing w:after="0" w:line="360" w:lineRule="auto"/>
        <w:jc w:val="both"/>
        <w:rPr>
          <w:rFonts w:ascii="Palatino Linotype" w:eastAsia="Calibri" w:hAnsi="Palatino Linotype" w:cs="Tahoma"/>
          <w:color w:val="FF0000"/>
          <w:lang w:val="es-ES"/>
        </w:rPr>
      </w:pPr>
    </w:p>
    <w:p w14:paraId="47AFDC07" w14:textId="77777777" w:rsidR="00680C26" w:rsidRPr="00420C7D" w:rsidRDefault="00680C26" w:rsidP="00F32B20">
      <w:pPr>
        <w:spacing w:after="0" w:line="360" w:lineRule="auto"/>
        <w:jc w:val="both"/>
        <w:rPr>
          <w:rFonts w:ascii="Palatino Linotype" w:eastAsia="Calibri" w:hAnsi="Palatino Linotype" w:cs="Tahoma"/>
          <w:color w:val="FF0000"/>
          <w:lang w:val="es-ES"/>
        </w:rPr>
      </w:pPr>
    </w:p>
    <w:p w14:paraId="4098DCA6" w14:textId="77777777" w:rsidR="00680C26" w:rsidRPr="00420C7D" w:rsidRDefault="00680C26" w:rsidP="00F32B20">
      <w:pPr>
        <w:spacing w:after="0" w:line="360" w:lineRule="auto"/>
        <w:jc w:val="both"/>
        <w:rPr>
          <w:rFonts w:ascii="Palatino Linotype" w:eastAsia="Calibri" w:hAnsi="Palatino Linotype" w:cs="Tahoma"/>
          <w:color w:val="FF0000"/>
          <w:lang w:val="es-ES"/>
        </w:rPr>
      </w:pPr>
    </w:p>
    <w:p w14:paraId="4355998E" w14:textId="77777777" w:rsidR="00680C26" w:rsidRPr="00420C7D" w:rsidRDefault="00680C26" w:rsidP="00F32B20">
      <w:pPr>
        <w:spacing w:after="0" w:line="360" w:lineRule="auto"/>
        <w:jc w:val="both"/>
        <w:rPr>
          <w:rFonts w:ascii="Palatino Linotype" w:eastAsia="Calibri" w:hAnsi="Palatino Linotype" w:cs="Tahoma"/>
          <w:color w:val="FF0000"/>
          <w:lang w:val="es-ES"/>
        </w:rPr>
      </w:pPr>
    </w:p>
    <w:p w14:paraId="45F0C0D7" w14:textId="77777777" w:rsidR="00680C26" w:rsidRPr="00420C7D" w:rsidRDefault="00680C26" w:rsidP="00F32B20">
      <w:pPr>
        <w:spacing w:after="0" w:line="360" w:lineRule="auto"/>
        <w:jc w:val="both"/>
        <w:rPr>
          <w:rFonts w:ascii="Palatino Linotype" w:eastAsia="Calibri" w:hAnsi="Palatino Linotype" w:cs="Tahoma"/>
          <w:color w:val="FF0000"/>
          <w:lang w:val="es-ES"/>
        </w:rPr>
      </w:pPr>
    </w:p>
    <w:p w14:paraId="4022D34B" w14:textId="77777777" w:rsidR="00680C26" w:rsidRPr="00420C7D" w:rsidRDefault="00680C26" w:rsidP="00F32B20">
      <w:pPr>
        <w:spacing w:after="0" w:line="360" w:lineRule="auto"/>
        <w:jc w:val="both"/>
        <w:rPr>
          <w:rFonts w:ascii="Palatino Linotype" w:eastAsia="Calibri" w:hAnsi="Palatino Linotype" w:cs="Tahoma"/>
          <w:color w:val="FF0000"/>
          <w:lang w:val="es-ES"/>
        </w:rPr>
      </w:pPr>
    </w:p>
    <w:p w14:paraId="1310C043" w14:textId="77777777" w:rsidR="00AF0A9B" w:rsidRPr="00420C7D" w:rsidRDefault="00AF0A9B" w:rsidP="00F32B20">
      <w:pPr>
        <w:spacing w:after="0"/>
        <w:rPr>
          <w:color w:val="FF0000"/>
        </w:rPr>
      </w:pPr>
    </w:p>
    <w:sectPr w:rsidR="00AF0A9B" w:rsidRPr="00420C7D" w:rsidSect="007B0409">
      <w:headerReference w:type="default" r:id="rId7"/>
      <w:footerReference w:type="default" r:id="rId8"/>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9C4BDE" w14:textId="77777777" w:rsidR="000678DE" w:rsidRDefault="000678DE" w:rsidP="00680C26">
      <w:pPr>
        <w:spacing w:after="0" w:line="240" w:lineRule="auto"/>
      </w:pPr>
      <w:r>
        <w:separator/>
      </w:r>
    </w:p>
  </w:endnote>
  <w:endnote w:type="continuationSeparator" w:id="0">
    <w:p w14:paraId="1C6A5616" w14:textId="77777777" w:rsidR="000678DE" w:rsidRDefault="000678DE" w:rsidP="00680C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2940312"/>
      <w:docPartObj>
        <w:docPartGallery w:val="Page Numbers (Bottom of Page)"/>
        <w:docPartUnique/>
      </w:docPartObj>
    </w:sdtPr>
    <w:sdtEndPr/>
    <w:sdtContent>
      <w:sdt>
        <w:sdtPr>
          <w:id w:val="-1769616900"/>
          <w:docPartObj>
            <w:docPartGallery w:val="Page Numbers (Top of Page)"/>
            <w:docPartUnique/>
          </w:docPartObj>
        </w:sdtPr>
        <w:sdtEndPr/>
        <w:sdtContent>
          <w:p w14:paraId="446D32F2" w14:textId="77777777" w:rsidR="00827AB4" w:rsidRDefault="00827AB4">
            <w:pPr>
              <w:pStyle w:val="Piedepgina"/>
              <w:jc w:val="right"/>
            </w:pPr>
            <w:r>
              <w:t xml:space="preserve">Página </w:t>
            </w:r>
            <w:r>
              <w:rPr>
                <w:b/>
                <w:bCs/>
                <w:sz w:val="24"/>
                <w:szCs w:val="24"/>
              </w:rPr>
              <w:fldChar w:fldCharType="begin"/>
            </w:r>
            <w:r>
              <w:rPr>
                <w:b/>
                <w:bCs/>
              </w:rPr>
              <w:instrText>PAGE</w:instrText>
            </w:r>
            <w:r>
              <w:rPr>
                <w:b/>
                <w:bCs/>
                <w:sz w:val="24"/>
                <w:szCs w:val="24"/>
              </w:rPr>
              <w:fldChar w:fldCharType="separate"/>
            </w:r>
            <w:r w:rsidR="00A00D8A">
              <w:rPr>
                <w:b/>
                <w:bCs/>
                <w:noProof/>
              </w:rPr>
              <w:t>2</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A00D8A">
              <w:rPr>
                <w:b/>
                <w:bCs/>
                <w:noProof/>
              </w:rPr>
              <w:t>6</w:t>
            </w:r>
            <w:r>
              <w:rPr>
                <w:b/>
                <w:bCs/>
                <w:sz w:val="24"/>
                <w:szCs w:val="24"/>
              </w:rPr>
              <w:fldChar w:fldCharType="end"/>
            </w:r>
          </w:p>
        </w:sdtContent>
      </w:sdt>
    </w:sdtContent>
  </w:sdt>
  <w:p w14:paraId="2C4841E9" w14:textId="77777777" w:rsidR="00827AB4" w:rsidRDefault="00827AB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40C311" w14:textId="77777777" w:rsidR="000678DE" w:rsidRDefault="000678DE" w:rsidP="00680C26">
      <w:pPr>
        <w:spacing w:after="0" w:line="240" w:lineRule="auto"/>
      </w:pPr>
      <w:r>
        <w:separator/>
      </w:r>
    </w:p>
  </w:footnote>
  <w:footnote w:type="continuationSeparator" w:id="0">
    <w:p w14:paraId="0E8E14A5" w14:textId="77777777" w:rsidR="000678DE" w:rsidRDefault="000678DE" w:rsidP="00680C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89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14"/>
      <w:gridCol w:w="5817"/>
    </w:tblGrid>
    <w:tr w:rsidR="00827AB4" w:rsidRPr="001106EA" w14:paraId="35F0E467" w14:textId="77777777" w:rsidTr="00A844C6">
      <w:trPr>
        <w:trHeight w:val="2127"/>
      </w:trPr>
      <w:tc>
        <w:tcPr>
          <w:tcW w:w="3114" w:type="dxa"/>
          <w:vAlign w:val="bottom"/>
        </w:tcPr>
        <w:p w14:paraId="1AD1390A" w14:textId="2E24DE3E" w:rsidR="00827AB4" w:rsidRDefault="00827AB4" w:rsidP="007B0409">
          <w:pPr>
            <w:pStyle w:val="Encabezado"/>
            <w:tabs>
              <w:tab w:val="center" w:pos="2614"/>
            </w:tabs>
            <w:ind w:left="-255"/>
          </w:pPr>
          <w:r>
            <w:rPr>
              <w:noProof/>
              <w:sz w:val="10"/>
              <w:szCs w:val="10"/>
              <w:lang w:eastAsia="es-MX"/>
            </w:rPr>
            <w:drawing>
              <wp:anchor distT="0" distB="0" distL="114300" distR="114300" simplePos="0" relativeHeight="251659264" behindDoc="0" locked="0" layoutInCell="1" allowOverlap="1" wp14:anchorId="5A77FAA1" wp14:editId="17ACE39D">
                <wp:simplePos x="0" y="0"/>
                <wp:positionH relativeFrom="column">
                  <wp:posOffset>-310515</wp:posOffset>
                </wp:positionH>
                <wp:positionV relativeFrom="paragraph">
                  <wp:posOffset>-1077595</wp:posOffset>
                </wp:positionV>
                <wp:extent cx="1873250" cy="111442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tipo Infoem.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73250" cy="1114425"/>
                        </a:xfrm>
                        <a:prstGeom prst="rect">
                          <a:avLst/>
                        </a:prstGeom>
                      </pic:spPr>
                    </pic:pic>
                  </a:graphicData>
                </a:graphic>
                <wp14:sizeRelH relativeFrom="margin">
                  <wp14:pctWidth>0</wp14:pctWidth>
                </wp14:sizeRelH>
                <wp14:sizeRelV relativeFrom="margin">
                  <wp14:pctHeight>0</wp14:pctHeight>
                </wp14:sizeRelV>
              </wp:anchor>
            </w:drawing>
          </w:r>
        </w:p>
        <w:p w14:paraId="678604BB" w14:textId="77777777" w:rsidR="00827AB4" w:rsidRDefault="00827AB4" w:rsidP="007B0409">
          <w:pPr>
            <w:pStyle w:val="Encabezado"/>
            <w:tabs>
              <w:tab w:val="center" w:pos="2614"/>
            </w:tabs>
          </w:pPr>
        </w:p>
      </w:tc>
      <w:tc>
        <w:tcPr>
          <w:tcW w:w="5817" w:type="dxa"/>
          <w:vAlign w:val="center"/>
        </w:tcPr>
        <w:p w14:paraId="1B705A72" w14:textId="77777777" w:rsidR="00827AB4" w:rsidRPr="0041405C" w:rsidRDefault="00827AB4" w:rsidP="00A844C6">
          <w:pPr>
            <w:pStyle w:val="Encabezado"/>
            <w:ind w:right="35"/>
            <w:jc w:val="both"/>
            <w:rPr>
              <w:rFonts w:ascii="Palatino Linotype" w:hAnsi="Palatino Linotype" w:cs="Tahoma"/>
              <w:b/>
            </w:rPr>
          </w:pPr>
          <w:r w:rsidRPr="0041405C">
            <w:rPr>
              <w:rFonts w:ascii="Palatino Linotype" w:hAnsi="Palatino Linotype" w:cs="Tahoma"/>
              <w:b/>
            </w:rPr>
            <w:t>Voto Particular</w:t>
          </w:r>
        </w:p>
        <w:p w14:paraId="5604C09D" w14:textId="5BD8E94E" w:rsidR="00827AB4" w:rsidRDefault="00827AB4" w:rsidP="00A844C6">
          <w:pPr>
            <w:pStyle w:val="Encabezado"/>
            <w:ind w:right="35"/>
            <w:jc w:val="both"/>
            <w:rPr>
              <w:rFonts w:ascii="Palatino Linotype" w:eastAsia="Palatino Linotype" w:hAnsi="Palatino Linotype" w:cs="Palatino Linotype"/>
            </w:rPr>
          </w:pPr>
          <w:r w:rsidRPr="0041405C">
            <w:rPr>
              <w:rFonts w:ascii="Palatino Linotype" w:hAnsi="Palatino Linotype" w:cs="Tahoma"/>
              <w:b/>
            </w:rPr>
            <w:t xml:space="preserve">Recurso de Revisión: </w:t>
          </w:r>
          <w:r>
            <w:rPr>
              <w:rFonts w:ascii="Palatino Linotype" w:eastAsia="Palatino Linotype" w:hAnsi="Palatino Linotype" w:cs="Palatino Linotype"/>
            </w:rPr>
            <w:t>07609</w:t>
          </w:r>
          <w:r w:rsidRPr="001241A7">
            <w:rPr>
              <w:rFonts w:ascii="Palatino Linotype" w:eastAsia="Palatino Linotype" w:hAnsi="Palatino Linotype" w:cs="Palatino Linotype"/>
            </w:rPr>
            <w:t>/INFOEM/IP/RR/2024</w:t>
          </w:r>
        </w:p>
        <w:p w14:paraId="0414519C" w14:textId="455BF03D" w:rsidR="00827AB4" w:rsidRPr="0041405C" w:rsidRDefault="00827AB4" w:rsidP="00A844C6">
          <w:pPr>
            <w:pStyle w:val="Encabezado"/>
            <w:ind w:right="35"/>
            <w:jc w:val="both"/>
            <w:rPr>
              <w:rFonts w:ascii="Palatino Linotype" w:hAnsi="Palatino Linotype" w:cs="Tahoma"/>
              <w:b/>
            </w:rPr>
          </w:pPr>
          <w:r w:rsidRPr="0041405C">
            <w:rPr>
              <w:rFonts w:ascii="Palatino Linotype" w:hAnsi="Palatino Linotype" w:cs="Tahoma"/>
              <w:b/>
            </w:rPr>
            <w:t xml:space="preserve">Sujeto Obligado: </w:t>
          </w:r>
          <w:r w:rsidRPr="00965523">
            <w:rPr>
              <w:rFonts w:ascii="Palatino Linotype" w:hAnsi="Palatino Linotype"/>
              <w:bCs/>
              <w:lang w:val="es-MX"/>
            </w:rPr>
            <w:t>Ayuntamiento de Zinacantepec</w:t>
          </w:r>
        </w:p>
        <w:p w14:paraId="72683D2F" w14:textId="6550720D" w:rsidR="00827AB4" w:rsidRPr="00A844C6" w:rsidRDefault="00827AB4" w:rsidP="00A844C6">
          <w:pPr>
            <w:pStyle w:val="Encabezado"/>
            <w:ind w:right="35"/>
            <w:jc w:val="both"/>
            <w:rPr>
              <w:rFonts w:ascii="Palatino Linotype" w:hAnsi="Palatino Linotype"/>
              <w:bCs/>
              <w:lang w:val="es-ES_tradnl"/>
            </w:rPr>
          </w:pPr>
          <w:r w:rsidRPr="0041405C">
            <w:rPr>
              <w:rFonts w:ascii="Palatino Linotype" w:hAnsi="Palatino Linotype" w:cs="Tahoma"/>
              <w:b/>
            </w:rPr>
            <w:t xml:space="preserve">Comisionada Ponente: </w:t>
          </w:r>
          <w:r w:rsidRPr="00965523">
            <w:rPr>
              <w:rFonts w:ascii="Palatino Linotype" w:hAnsi="Palatino Linotype" w:cs="Tahoma"/>
            </w:rPr>
            <w:t>Guadalupe Ramírez Peña</w:t>
          </w:r>
          <w:r w:rsidRPr="001241A7">
            <w:rPr>
              <w:rFonts w:ascii="Palatino Linotype" w:hAnsi="Palatino Linotype" w:cs="Tahoma"/>
            </w:rPr>
            <w:tab/>
          </w:r>
        </w:p>
        <w:p w14:paraId="24002DFC" w14:textId="77777777" w:rsidR="00827AB4" w:rsidRPr="001106EA" w:rsidRDefault="00827AB4" w:rsidP="007B0409">
          <w:pPr>
            <w:pStyle w:val="Encabezado"/>
            <w:jc w:val="both"/>
            <w:rPr>
              <w:rFonts w:ascii="Tahoma" w:hAnsi="Tahoma" w:cs="Tahoma"/>
            </w:rPr>
          </w:pPr>
        </w:p>
      </w:tc>
    </w:tr>
  </w:tbl>
  <w:p w14:paraId="757724AC" w14:textId="77777777" w:rsidR="00827AB4" w:rsidRPr="001106EA" w:rsidRDefault="00827AB4">
    <w:pPr>
      <w:pStyle w:val="Encabezado"/>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FB3419"/>
    <w:multiLevelType w:val="hybridMultilevel"/>
    <w:tmpl w:val="9BC2E23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 w15:restartNumberingAfterBreak="0">
    <w:nsid w:val="20686CBC"/>
    <w:multiLevelType w:val="hybridMultilevel"/>
    <w:tmpl w:val="70BE80F6"/>
    <w:lvl w:ilvl="0" w:tplc="B96A8D76">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4B507C14"/>
    <w:multiLevelType w:val="hybridMultilevel"/>
    <w:tmpl w:val="AEA447B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 w15:restartNumberingAfterBreak="0">
    <w:nsid w:val="52C0646E"/>
    <w:multiLevelType w:val="hybridMultilevel"/>
    <w:tmpl w:val="D902C53A"/>
    <w:lvl w:ilvl="0" w:tplc="5FD4A636">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6EE92973"/>
    <w:multiLevelType w:val="hybridMultilevel"/>
    <w:tmpl w:val="CD2242B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755858978">
    <w:abstractNumId w:val="0"/>
  </w:num>
  <w:num w:numId="2" w16cid:durableId="1560356613">
    <w:abstractNumId w:val="2"/>
  </w:num>
  <w:num w:numId="3" w16cid:durableId="485441681">
    <w:abstractNumId w:val="3"/>
  </w:num>
  <w:num w:numId="4" w16cid:durableId="1603222495">
    <w:abstractNumId w:val="1"/>
  </w:num>
  <w:num w:numId="5" w16cid:durableId="19772225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0C26"/>
    <w:rsid w:val="000050A8"/>
    <w:rsid w:val="000365AE"/>
    <w:rsid w:val="000678DE"/>
    <w:rsid w:val="00075E8E"/>
    <w:rsid w:val="000D6989"/>
    <w:rsid w:val="000E0D8B"/>
    <w:rsid w:val="001241A7"/>
    <w:rsid w:val="001423E6"/>
    <w:rsid w:val="0014249C"/>
    <w:rsid w:val="001521FA"/>
    <w:rsid w:val="00190C43"/>
    <w:rsid w:val="001C71F2"/>
    <w:rsid w:val="001D6F99"/>
    <w:rsid w:val="002432EA"/>
    <w:rsid w:val="002A2E9F"/>
    <w:rsid w:val="002E1733"/>
    <w:rsid w:val="00307AFB"/>
    <w:rsid w:val="003643A8"/>
    <w:rsid w:val="00364994"/>
    <w:rsid w:val="003B5ED7"/>
    <w:rsid w:val="003C1420"/>
    <w:rsid w:val="003C4707"/>
    <w:rsid w:val="003F698C"/>
    <w:rsid w:val="00420C7D"/>
    <w:rsid w:val="004358C0"/>
    <w:rsid w:val="00454560"/>
    <w:rsid w:val="00463A95"/>
    <w:rsid w:val="004815B1"/>
    <w:rsid w:val="005037BD"/>
    <w:rsid w:val="00510AA6"/>
    <w:rsid w:val="005113D1"/>
    <w:rsid w:val="00582CA2"/>
    <w:rsid w:val="005833F1"/>
    <w:rsid w:val="005C589B"/>
    <w:rsid w:val="00606070"/>
    <w:rsid w:val="00625412"/>
    <w:rsid w:val="006436DA"/>
    <w:rsid w:val="00674C98"/>
    <w:rsid w:val="00680C26"/>
    <w:rsid w:val="006B34F5"/>
    <w:rsid w:val="006C19F8"/>
    <w:rsid w:val="00703627"/>
    <w:rsid w:val="0071720E"/>
    <w:rsid w:val="00786471"/>
    <w:rsid w:val="007B0409"/>
    <w:rsid w:val="00817696"/>
    <w:rsid w:val="00820F70"/>
    <w:rsid w:val="00827AB4"/>
    <w:rsid w:val="0083303F"/>
    <w:rsid w:val="00834506"/>
    <w:rsid w:val="00842043"/>
    <w:rsid w:val="00854947"/>
    <w:rsid w:val="0087688F"/>
    <w:rsid w:val="00897474"/>
    <w:rsid w:val="008F604D"/>
    <w:rsid w:val="00965523"/>
    <w:rsid w:val="009741D4"/>
    <w:rsid w:val="0099679E"/>
    <w:rsid w:val="009B1EA1"/>
    <w:rsid w:val="009C354F"/>
    <w:rsid w:val="009C7A86"/>
    <w:rsid w:val="00A00D8A"/>
    <w:rsid w:val="00A13DEB"/>
    <w:rsid w:val="00A8101A"/>
    <w:rsid w:val="00A844C6"/>
    <w:rsid w:val="00AA613F"/>
    <w:rsid w:val="00AE07BC"/>
    <w:rsid w:val="00AF044C"/>
    <w:rsid w:val="00AF0A9B"/>
    <w:rsid w:val="00AF3C63"/>
    <w:rsid w:val="00B02870"/>
    <w:rsid w:val="00B31F33"/>
    <w:rsid w:val="00B34F6C"/>
    <w:rsid w:val="00BA6879"/>
    <w:rsid w:val="00BB2834"/>
    <w:rsid w:val="00BD4260"/>
    <w:rsid w:val="00BE646F"/>
    <w:rsid w:val="00C22295"/>
    <w:rsid w:val="00CA1565"/>
    <w:rsid w:val="00CA63A0"/>
    <w:rsid w:val="00CB453F"/>
    <w:rsid w:val="00D35DA2"/>
    <w:rsid w:val="00D83CBA"/>
    <w:rsid w:val="00DC12C5"/>
    <w:rsid w:val="00DD392D"/>
    <w:rsid w:val="00E2090A"/>
    <w:rsid w:val="00E64DB2"/>
    <w:rsid w:val="00E64F3A"/>
    <w:rsid w:val="00ED6B0B"/>
    <w:rsid w:val="00F32B20"/>
    <w:rsid w:val="00F349AA"/>
    <w:rsid w:val="00FB25CB"/>
    <w:rsid w:val="00FC5E2E"/>
    <w:rsid w:val="00FE400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6D9E3F"/>
  <w15:chartTrackingRefBased/>
  <w15:docId w15:val="{765638FE-6F73-43E4-843B-7164B5299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80C2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80C26"/>
  </w:style>
  <w:style w:type="paragraph" w:styleId="Piedepgina">
    <w:name w:val="footer"/>
    <w:basedOn w:val="Normal"/>
    <w:link w:val="PiedepginaCar"/>
    <w:uiPriority w:val="99"/>
    <w:unhideWhenUsed/>
    <w:rsid w:val="00680C2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80C26"/>
  </w:style>
  <w:style w:type="table" w:styleId="Tablaconcuadrcula">
    <w:name w:val="Table Grid"/>
    <w:basedOn w:val="Tablanormal"/>
    <w:uiPriority w:val="39"/>
    <w:rsid w:val="00680C26"/>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BE64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1273</Words>
  <Characters>7002</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8259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Infoem Soporte</cp:lastModifiedBy>
  <cp:revision>2</cp:revision>
  <dcterms:created xsi:type="dcterms:W3CDTF">2025-02-17T19:06:00Z</dcterms:created>
  <dcterms:modified xsi:type="dcterms:W3CDTF">2025-02-17T19:06:00Z</dcterms:modified>
</cp:coreProperties>
</file>