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B10" w:rsidRDefault="00DF6E94">
      <w:pPr>
        <w:spacing w:after="0" w:line="360" w:lineRule="auto"/>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w:t>
      </w:r>
      <w:bookmarkStart w:id="1" w:name="_GoBack"/>
      <w:bookmarkEnd w:id="1"/>
      <w:r>
        <w:rPr>
          <w:rFonts w:ascii="Palatino Linotype" w:eastAsia="Palatino Linotype" w:hAnsi="Palatino Linotype" w:cs="Palatino Linotype"/>
          <w:b/>
        </w:rPr>
        <w:t xml:space="preserve">PLENO DEL INSTITUTO DE TRANSPARENCIA, ACCESO A LA INFORMACIÓN PÚBLICA Y PROTECCIÓN DE DATOS PERSONALES DEL ESTADO DE MÉXICO Y MUNICIPIOS, EN LA DÉCIMA </w:t>
      </w:r>
      <w:r w:rsidR="001B7B63">
        <w:rPr>
          <w:rFonts w:ascii="Palatino Linotype" w:eastAsia="Palatino Linotype" w:hAnsi="Palatino Linotype" w:cs="Palatino Linotype"/>
          <w:b/>
        </w:rPr>
        <w:t>NOVENA</w:t>
      </w:r>
      <w:r>
        <w:rPr>
          <w:rFonts w:ascii="Palatino Linotype" w:eastAsia="Palatino Linotype" w:hAnsi="Palatino Linotype" w:cs="Palatino Linotype"/>
          <w:b/>
        </w:rPr>
        <w:t xml:space="preserve"> SESIÓN ORDINARIA DEL </w:t>
      </w:r>
      <w:r w:rsidR="001B7B63">
        <w:rPr>
          <w:rFonts w:ascii="Palatino Linotype" w:eastAsia="Palatino Linotype" w:hAnsi="Palatino Linotype" w:cs="Palatino Linotype"/>
          <w:b/>
        </w:rPr>
        <w:t>VEINTIOCHO DE MAYO</w:t>
      </w:r>
      <w:r>
        <w:rPr>
          <w:rFonts w:ascii="Palatino Linotype" w:eastAsia="Palatino Linotype" w:hAnsi="Palatino Linotype" w:cs="Palatino Linotype"/>
          <w:b/>
        </w:rPr>
        <w:t xml:space="preserve"> DE DOS MIL VEINTICINCO EN EL RECURSO DE REVISIÓN </w:t>
      </w:r>
      <w:r>
        <w:rPr>
          <w:rFonts w:ascii="Palatino Linotype" w:eastAsia="Palatino Linotype" w:hAnsi="Palatino Linotype" w:cs="Palatino Linotype"/>
          <w:b/>
          <w:color w:val="000000"/>
        </w:rPr>
        <w:t>0</w:t>
      </w:r>
      <w:r w:rsidR="001B7B63">
        <w:rPr>
          <w:rFonts w:ascii="Palatino Linotype" w:eastAsia="Palatino Linotype" w:hAnsi="Palatino Linotype" w:cs="Palatino Linotype"/>
          <w:b/>
          <w:color w:val="000000"/>
        </w:rPr>
        <w:t>3460</w:t>
      </w:r>
      <w:r>
        <w:rPr>
          <w:rFonts w:ascii="Palatino Linotype" w:eastAsia="Palatino Linotype" w:hAnsi="Palatino Linotype" w:cs="Palatino Linotype"/>
          <w:b/>
          <w:color w:val="000000"/>
        </w:rPr>
        <w:t>/INFOEM/IP/RR/2025.</w:t>
      </w:r>
    </w:p>
    <w:p w:rsidR="009A1B10" w:rsidRDefault="009A1B10">
      <w:pPr>
        <w:spacing w:after="0" w:line="360" w:lineRule="auto"/>
        <w:jc w:val="both"/>
        <w:rPr>
          <w:rFonts w:ascii="Palatino Linotype" w:eastAsia="Palatino Linotype" w:hAnsi="Palatino Linotype" w:cs="Palatino Linotype"/>
          <w:b/>
        </w:rPr>
      </w:pPr>
    </w:p>
    <w:p w:rsidR="009A1B10" w:rsidRDefault="00DF6E94">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resolvió por unanimidad de votos, la Resolución relativa al Recurso de Revisión</w:t>
      </w:r>
      <w:r w:rsidR="004A51F5">
        <w:rPr>
          <w:rFonts w:ascii="Palatino Linotype" w:eastAsia="Palatino Linotype" w:hAnsi="Palatino Linotype" w:cs="Palatino Linotype"/>
        </w:rPr>
        <w:t xml:space="preserve"> </w:t>
      </w:r>
      <w:r w:rsidR="00DC214C">
        <w:rPr>
          <w:rFonts w:ascii="Palatino Linotype" w:eastAsia="Palatino Linotype" w:hAnsi="Palatino Linotype" w:cs="Palatino Linotype"/>
          <w:b/>
          <w:color w:val="000000"/>
        </w:rPr>
        <w:t>03460/INFOEM/IP/RR/2025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9A1B10" w:rsidRDefault="009A1B10">
      <w:pPr>
        <w:spacing w:after="0" w:line="360" w:lineRule="auto"/>
        <w:ind w:right="-93"/>
        <w:jc w:val="both"/>
        <w:rPr>
          <w:rFonts w:ascii="Palatino Linotype" w:eastAsia="Palatino Linotype" w:hAnsi="Palatino Linotype" w:cs="Palatino Linotype"/>
        </w:rPr>
      </w:pPr>
    </w:p>
    <w:p w:rsidR="009A1B10" w:rsidRDefault="00DF6E94">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w:t>
      </w:r>
      <w:r w:rsidR="00DE4C45">
        <w:rPr>
          <w:rFonts w:ascii="Palatino Linotype" w:eastAsia="Palatino Linotype" w:hAnsi="Palatino Linotype" w:cs="Palatino Linotype"/>
        </w:rPr>
        <w:t xml:space="preserve"> misma que fue engrosada conforme el criterio mayoritario,</w:t>
      </w:r>
      <w:r>
        <w:rPr>
          <w:rFonts w:ascii="Palatino Linotype" w:eastAsia="Palatino Linotype" w:hAnsi="Palatino Linotype" w:cs="Palatino Linotype"/>
        </w:rPr>
        <w:t xml:space="preserve"> ya que del análisis de las constancias que conforman el expediente electrónico, se desprendió que la información que se ordena es susceptible de transparentarse pues se encuentra relacionada con la gestión pública y con su publicidad se favorece indudablemente a la rendición de cuentas.</w:t>
      </w:r>
    </w:p>
    <w:p w:rsidR="009A1B10" w:rsidRDefault="009A1B10">
      <w:pPr>
        <w:pBdr>
          <w:top w:val="nil"/>
          <w:left w:val="nil"/>
          <w:bottom w:val="nil"/>
          <w:right w:val="nil"/>
          <w:between w:val="nil"/>
        </w:pBdr>
        <w:spacing w:after="0" w:line="360" w:lineRule="auto"/>
        <w:jc w:val="both"/>
        <w:rPr>
          <w:rFonts w:ascii="Palatino Linotype" w:eastAsia="Palatino Linotype" w:hAnsi="Palatino Linotype" w:cs="Palatino Linotype"/>
        </w:rPr>
      </w:pPr>
    </w:p>
    <w:p w:rsidR="009A1B10" w:rsidRDefault="00DF6E9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9A1B10" w:rsidRDefault="009A1B10">
      <w:pPr>
        <w:pBdr>
          <w:top w:val="nil"/>
          <w:left w:val="nil"/>
          <w:bottom w:val="nil"/>
          <w:right w:val="nil"/>
          <w:between w:val="nil"/>
        </w:pBdr>
        <w:spacing w:after="0" w:line="360" w:lineRule="auto"/>
        <w:jc w:val="both"/>
        <w:rPr>
          <w:rFonts w:ascii="Palatino Linotype" w:eastAsia="Palatino Linotype" w:hAnsi="Palatino Linotype" w:cs="Palatino Linotype"/>
          <w:b/>
        </w:rPr>
      </w:pPr>
    </w:p>
    <w:p w:rsidR="009A1B10" w:rsidRDefault="00DF6E94">
      <w:pPr>
        <w:spacing w:after="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9A1B10" w:rsidRDefault="009A1B10">
      <w:pPr>
        <w:spacing w:after="0" w:line="276" w:lineRule="auto"/>
        <w:ind w:right="706"/>
        <w:jc w:val="both"/>
        <w:rPr>
          <w:rFonts w:ascii="Palatino Linotype" w:eastAsia="Palatino Linotype" w:hAnsi="Palatino Linotype" w:cs="Palatino Linotype"/>
          <w:i/>
        </w:rPr>
      </w:pPr>
    </w:p>
    <w:p w:rsidR="00DC214C" w:rsidRPr="00DC214C" w:rsidRDefault="00DF6E94" w:rsidP="00DC214C">
      <w:pPr>
        <w:spacing w:line="276" w:lineRule="auto"/>
        <w:ind w:left="709" w:right="706"/>
        <w:jc w:val="both"/>
        <w:rPr>
          <w:rFonts w:ascii="Palatino Linotype" w:eastAsia="Palatino Linotype" w:hAnsi="Palatino Linotype" w:cs="Palatino Linotype"/>
          <w:bCs/>
          <w:i/>
          <w:lang w:val="es-ES_tradnl"/>
        </w:rPr>
      </w:pPr>
      <w:bookmarkStart w:id="2" w:name="_heading=h.45hwe8mv0ra7" w:colFirst="0" w:colLast="0"/>
      <w:bookmarkEnd w:id="2"/>
      <w:r>
        <w:rPr>
          <w:rFonts w:ascii="Palatino Linotype" w:eastAsia="Palatino Linotype" w:hAnsi="Palatino Linotype" w:cs="Palatino Linotype"/>
          <w:i/>
        </w:rPr>
        <w:t>“</w:t>
      </w:r>
      <w:r w:rsidR="00DC214C" w:rsidRPr="00DC214C">
        <w:rPr>
          <w:rFonts w:ascii="Palatino Linotype" w:eastAsia="Palatino Linotype" w:hAnsi="Palatino Linotype" w:cs="Palatino Linotype"/>
          <w:bCs/>
          <w:i/>
          <w:lang w:val="es-ES_tradnl"/>
        </w:rPr>
        <w:t xml:space="preserve">Por lo que hace a la </w:t>
      </w:r>
      <w:r w:rsidR="00DC214C" w:rsidRPr="00DC214C">
        <w:rPr>
          <w:rFonts w:ascii="Palatino Linotype" w:eastAsia="Palatino Linotype" w:hAnsi="Palatino Linotype" w:cs="Palatino Linotype"/>
          <w:b/>
          <w:bCs/>
          <w:i/>
          <w:u w:val="single"/>
          <w:lang w:val="es-ES_tradnl"/>
        </w:rPr>
        <w:t>fotografía de los servidores públicos</w:t>
      </w:r>
      <w:r w:rsidR="00DC214C" w:rsidRPr="00DC214C">
        <w:rPr>
          <w:rFonts w:ascii="Palatino Linotype" w:eastAsia="Palatino Linotype" w:hAnsi="Palatino Linotype" w:cs="Palatino Linotype"/>
          <w:bCs/>
          <w:i/>
          <w:lang w:val="es-ES_tradnl"/>
        </w:rPr>
        <w:t>,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rsidR="00DC214C" w:rsidRPr="00DC214C" w:rsidRDefault="00DC214C" w:rsidP="00DC214C">
      <w:pPr>
        <w:spacing w:line="276" w:lineRule="auto"/>
        <w:ind w:left="709" w:right="706"/>
        <w:jc w:val="both"/>
        <w:rPr>
          <w:rFonts w:ascii="Palatino Linotype" w:eastAsia="Palatino Linotype" w:hAnsi="Palatino Linotype" w:cs="Palatino Linotype"/>
          <w:bCs/>
          <w:i/>
          <w:lang w:val="es-ES_tradnl"/>
        </w:rPr>
      </w:pPr>
      <w:r w:rsidRPr="00DC214C">
        <w:rPr>
          <w:rFonts w:ascii="Palatino Linotype" w:eastAsia="Palatino Linotype" w:hAnsi="Palatino Linotype" w:cs="Palatino Linotype"/>
          <w:bCs/>
          <w:i/>
          <w:lang w:val="es-ES_tradnl"/>
        </w:rPr>
        <w:t xml:space="preserve">Conforme a lo anterior, resulta necesario señalar que el Pleno de este Instituto emitió el criterio 03/2019 cuyo rubro dispone lo siguiente: </w:t>
      </w:r>
      <w:r w:rsidRPr="00DC214C">
        <w:rPr>
          <w:rFonts w:ascii="Palatino Linotype" w:eastAsia="Palatino Linotype" w:hAnsi="Palatino Linotype" w:cs="Palatino Linotype"/>
          <w:b/>
          <w:bCs/>
          <w:i/>
          <w:lang w:val="es-ES_tradnl"/>
        </w:rPr>
        <w:t>“Servidores públicos con categoría de mando medio y superior. La fotografía de aquellos es de carácter público”</w:t>
      </w:r>
      <w:r w:rsidRPr="00DC214C">
        <w:rPr>
          <w:rFonts w:ascii="Palatino Linotype" w:eastAsia="Palatino Linotype" w:hAnsi="Palatino Linotype" w:cs="Palatino Linotype"/>
          <w:bCs/>
          <w:i/>
          <w:lang w:val="es-ES_tradnl"/>
        </w:rPr>
        <w:t>; no obstante, dicho criterio fue interrumpido en términos del artículo 9, fracción XXVII del Reglamento Interior del Instituto de Transparencia, Acceso a la Información Pública y Protección de Datos Personales del Estado de México y Municipios.</w:t>
      </w:r>
    </w:p>
    <w:p w:rsidR="009A1B10" w:rsidRDefault="00DC214C" w:rsidP="00DC214C">
      <w:pPr>
        <w:spacing w:line="276" w:lineRule="auto"/>
        <w:ind w:left="709" w:right="706"/>
        <w:jc w:val="both"/>
        <w:rPr>
          <w:rFonts w:ascii="Palatino Linotype" w:eastAsia="Palatino Linotype" w:hAnsi="Palatino Linotype" w:cs="Palatino Linotype"/>
          <w:i/>
        </w:rPr>
      </w:pPr>
      <w:r w:rsidRPr="00DC214C">
        <w:rPr>
          <w:rFonts w:ascii="Palatino Linotype" w:eastAsia="Palatino Linotype" w:hAnsi="Palatino Linotype" w:cs="Palatino Linotype"/>
          <w:bCs/>
          <w:i/>
          <w:lang w:val="es-ES_tradnl"/>
        </w:rPr>
        <w:t xml:space="preserve">Debido a lo anterior, </w:t>
      </w:r>
      <w:r w:rsidRPr="00DC214C">
        <w:rPr>
          <w:rFonts w:ascii="Palatino Linotype" w:eastAsia="Palatino Linotype" w:hAnsi="Palatino Linotype" w:cs="Palatino Linotype"/>
          <w:b/>
          <w:bCs/>
          <w:i/>
          <w:lang w:val="es-ES_tradnl"/>
        </w:rPr>
        <w:t>las fotografías de servidores públicos sin importar el nivel o rango guardan la naturaleza de públicas</w:t>
      </w:r>
      <w:r w:rsidRPr="00DC214C">
        <w:rPr>
          <w:rFonts w:ascii="Palatino Linotype" w:eastAsia="Palatino Linotype" w:hAnsi="Palatino Linotype" w:cs="Palatino Linotype"/>
          <w:bCs/>
          <w:i/>
          <w:lang w:val="es-ES_tradnl"/>
        </w:rPr>
        <w:t xml:space="preserve"> (con excepción del personal operativo en materia de seguridad) y no procede su clasificación, en términos del artículo 143, fracción I, de la Ley de Transparencia y Acceso a la Información Pública del Estado de México y Municipios.</w:t>
      </w:r>
      <w:r w:rsidR="00DF6E94">
        <w:rPr>
          <w:rFonts w:ascii="Palatino Linotype" w:eastAsia="Palatino Linotype" w:hAnsi="Palatino Linotype" w:cs="Palatino Linotype"/>
          <w:i/>
          <w:color w:val="000000"/>
        </w:rPr>
        <w:t>”</w:t>
      </w:r>
    </w:p>
    <w:p w:rsidR="009A1B10" w:rsidRDefault="009A1B10">
      <w:pPr>
        <w:spacing w:after="0" w:line="276" w:lineRule="auto"/>
        <w:ind w:left="567" w:right="706"/>
        <w:jc w:val="both"/>
        <w:rPr>
          <w:rFonts w:ascii="Palatino Linotype" w:eastAsia="Palatino Linotype" w:hAnsi="Palatino Linotype" w:cs="Palatino Linotype"/>
          <w:i/>
        </w:rPr>
      </w:pPr>
    </w:p>
    <w:p w:rsidR="009A1B10" w:rsidRDefault="00DF6E94">
      <w:pPr>
        <w:spacing w:after="0" w:line="360" w:lineRule="auto"/>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lastRenderedPageBreak/>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9A1B10" w:rsidRDefault="009A1B10">
      <w:pPr>
        <w:spacing w:after="0" w:line="360" w:lineRule="auto"/>
        <w:jc w:val="both"/>
        <w:rPr>
          <w:rFonts w:ascii="Palatino Linotype" w:eastAsia="Palatino Linotype" w:hAnsi="Palatino Linotype" w:cs="Palatino Linotype"/>
        </w:rPr>
      </w:pPr>
    </w:p>
    <w:p w:rsidR="009A1B10" w:rsidRDefault="00DF6E9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9A1B10" w:rsidRDefault="009A1B10">
      <w:pPr>
        <w:spacing w:after="0" w:line="360" w:lineRule="auto"/>
        <w:jc w:val="both"/>
        <w:rPr>
          <w:rFonts w:ascii="Palatino Linotype" w:eastAsia="Palatino Linotype" w:hAnsi="Palatino Linotype" w:cs="Palatino Linotype"/>
        </w:rPr>
      </w:pPr>
    </w:p>
    <w:p w:rsidR="009A1B10" w:rsidRDefault="00DF6E94">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w:t>
      </w:r>
      <w:r>
        <w:rPr>
          <w:rFonts w:ascii="Palatino Linotype" w:eastAsia="Palatino Linotype" w:hAnsi="Palatino Linotype" w:cs="Palatino Linotype"/>
        </w:rPr>
        <w:lastRenderedPageBreak/>
        <w:t>permitir a la ciudadanía identifique a los funcionarios que toman decisiones importantes en su nombre.</w:t>
      </w:r>
    </w:p>
    <w:p w:rsidR="009A1B10" w:rsidRDefault="009A1B10">
      <w:pPr>
        <w:spacing w:after="0" w:line="360" w:lineRule="auto"/>
        <w:ind w:right="140"/>
        <w:jc w:val="both"/>
        <w:rPr>
          <w:rFonts w:ascii="Palatino Linotype" w:eastAsia="Palatino Linotype" w:hAnsi="Palatino Linotype" w:cs="Palatino Linotype"/>
        </w:rPr>
      </w:pPr>
    </w:p>
    <w:p w:rsidR="009A1B10" w:rsidRDefault="00DF6E9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9A1B10" w:rsidRDefault="009A1B10">
      <w:pPr>
        <w:tabs>
          <w:tab w:val="left" w:pos="4962"/>
        </w:tabs>
        <w:spacing w:after="0" w:line="360" w:lineRule="auto"/>
        <w:jc w:val="both"/>
        <w:rPr>
          <w:rFonts w:ascii="Palatino Linotype" w:eastAsia="Palatino Linotype" w:hAnsi="Palatino Linotype" w:cs="Palatino Linotype"/>
        </w:rPr>
      </w:pPr>
    </w:p>
    <w:p w:rsidR="009A1B10" w:rsidRDefault="00DF6E94">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9A1B10" w:rsidRDefault="009A1B10">
      <w:pPr>
        <w:spacing w:after="0" w:line="360" w:lineRule="auto"/>
        <w:jc w:val="both"/>
        <w:rPr>
          <w:rFonts w:ascii="Palatino Linotype" w:eastAsia="Palatino Linotype" w:hAnsi="Palatino Linotype" w:cs="Palatino Linotype"/>
        </w:rPr>
      </w:pPr>
    </w:p>
    <w:p w:rsidR="009A1B10" w:rsidRDefault="00DF6E9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9A1B10" w:rsidRDefault="009A1B10">
      <w:pPr>
        <w:spacing w:after="0" w:line="360" w:lineRule="auto"/>
        <w:jc w:val="both"/>
        <w:rPr>
          <w:rFonts w:ascii="Palatino Linotype" w:eastAsia="Palatino Linotype" w:hAnsi="Palatino Linotype" w:cs="Palatino Linotype"/>
        </w:rPr>
      </w:pPr>
    </w:p>
    <w:p w:rsidR="009A1B10" w:rsidRDefault="00DF6E9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9A1B10" w:rsidRDefault="009A1B10">
      <w:pPr>
        <w:spacing w:after="0" w:line="360" w:lineRule="auto"/>
        <w:jc w:val="both"/>
        <w:rPr>
          <w:rFonts w:ascii="Palatino Linotype" w:eastAsia="Palatino Linotype" w:hAnsi="Palatino Linotype" w:cs="Palatino Linotype"/>
        </w:rPr>
      </w:pPr>
    </w:p>
    <w:p w:rsidR="009A1B10" w:rsidRDefault="009A1B10">
      <w:pPr>
        <w:spacing w:after="0" w:line="360" w:lineRule="auto"/>
        <w:jc w:val="both"/>
        <w:rPr>
          <w:rFonts w:ascii="Palatino Linotype" w:eastAsia="Palatino Linotype" w:hAnsi="Palatino Linotype" w:cs="Palatino Linotype"/>
        </w:rPr>
      </w:pPr>
    </w:p>
    <w:p w:rsidR="009A1B10" w:rsidRDefault="009A1B10">
      <w:pPr>
        <w:tabs>
          <w:tab w:val="left" w:pos="851"/>
        </w:tabs>
        <w:spacing w:after="0" w:line="240" w:lineRule="auto"/>
        <w:ind w:right="902"/>
        <w:jc w:val="both"/>
        <w:rPr>
          <w:rFonts w:ascii="Palatino Linotype" w:eastAsia="Palatino Linotype" w:hAnsi="Palatino Linotype" w:cs="Palatino Linotype"/>
        </w:rPr>
      </w:pPr>
      <w:bookmarkStart w:id="5" w:name="_heading=h.2et92p0" w:colFirst="0" w:colLast="0"/>
      <w:bookmarkEnd w:id="5"/>
    </w:p>
    <w:p w:rsidR="009A1B10" w:rsidRDefault="009A1B10">
      <w:pPr>
        <w:tabs>
          <w:tab w:val="left" w:pos="851"/>
        </w:tabs>
        <w:spacing w:after="0" w:line="240" w:lineRule="auto"/>
        <w:ind w:right="902"/>
        <w:jc w:val="both"/>
        <w:rPr>
          <w:rFonts w:ascii="Palatino Linotype" w:eastAsia="Palatino Linotype" w:hAnsi="Palatino Linotype" w:cs="Palatino Linotype"/>
          <w:i/>
        </w:rPr>
      </w:pPr>
      <w:bookmarkStart w:id="6" w:name="_heading=h.30j0zll" w:colFirst="0" w:colLast="0"/>
      <w:bookmarkEnd w:id="6"/>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spacing w:after="0" w:line="360" w:lineRule="auto"/>
        <w:ind w:right="423"/>
        <w:jc w:val="both"/>
        <w:rPr>
          <w:rFonts w:ascii="Palatino Linotype" w:eastAsia="Palatino Linotype" w:hAnsi="Palatino Linotype" w:cs="Palatino Linotype"/>
        </w:rPr>
      </w:pPr>
    </w:p>
    <w:p w:rsidR="009A1B10" w:rsidRDefault="009A1B10">
      <w:pPr>
        <w:tabs>
          <w:tab w:val="left" w:pos="709"/>
        </w:tabs>
        <w:spacing w:after="0" w:line="360" w:lineRule="auto"/>
        <w:jc w:val="both"/>
        <w:rPr>
          <w:rFonts w:ascii="Palatino Linotype" w:eastAsia="Palatino Linotype" w:hAnsi="Palatino Linotype" w:cs="Palatino Linotype"/>
          <w:b/>
        </w:rPr>
      </w:pPr>
    </w:p>
    <w:sectPr w:rsidR="009A1B10">
      <w:headerReference w:type="default" r:id="rId8"/>
      <w:pgSz w:w="12240" w:h="15840"/>
      <w:pgMar w:top="2694"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0FE" w:rsidRDefault="001F60FE">
      <w:pPr>
        <w:spacing w:after="0" w:line="240" w:lineRule="auto"/>
      </w:pPr>
      <w:r>
        <w:separator/>
      </w:r>
    </w:p>
  </w:endnote>
  <w:endnote w:type="continuationSeparator" w:id="0">
    <w:p w:rsidR="001F60FE" w:rsidRDefault="001F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0FE" w:rsidRDefault="001F60FE">
      <w:pPr>
        <w:spacing w:after="0" w:line="240" w:lineRule="auto"/>
      </w:pPr>
      <w:r>
        <w:separator/>
      </w:r>
    </w:p>
  </w:footnote>
  <w:footnote w:type="continuationSeparator" w:id="0">
    <w:p w:rsidR="001F60FE" w:rsidRDefault="001F6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B10" w:rsidRDefault="00DF6E9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lang w:val="es-MX"/>
      </w:rPr>
      <w:drawing>
        <wp:anchor distT="0" distB="0" distL="0" distR="0" simplePos="0" relativeHeight="251658240" behindDoc="1" locked="0" layoutInCell="1" hidden="0" allowOverlap="1">
          <wp:simplePos x="0" y="0"/>
          <wp:positionH relativeFrom="column">
            <wp:posOffset>-1260472</wp:posOffset>
          </wp:positionH>
          <wp:positionV relativeFrom="paragraph">
            <wp:posOffset>-235581</wp:posOffset>
          </wp:positionV>
          <wp:extent cx="7521053" cy="9897494"/>
          <wp:effectExtent l="0" t="0" r="0" b="0"/>
          <wp:wrapNone/>
          <wp:docPr id="2716407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9A1B10" w:rsidRDefault="00DF6E94">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1B7B63" w:rsidRPr="001B7B63">
      <w:rPr>
        <w:rFonts w:ascii="Palatino Linotype" w:eastAsia="Palatino Linotype" w:hAnsi="Palatino Linotype" w:cs="Palatino Linotype"/>
        <w:b/>
        <w:color w:val="000000"/>
        <w:sz w:val="20"/>
        <w:szCs w:val="20"/>
      </w:rPr>
      <w:t>03460/INFOEM/IP/RR/2025</w:t>
    </w:r>
  </w:p>
  <w:p w:rsidR="009A1B10" w:rsidRDefault="00DF6E94">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1B7B63" w:rsidRPr="001B7B63">
      <w:rPr>
        <w:rFonts w:ascii="Palatino Linotype" w:eastAsia="Palatino Linotype" w:hAnsi="Palatino Linotype" w:cs="Palatino Linotype"/>
        <w:b/>
        <w:color w:val="000000"/>
        <w:sz w:val="20"/>
        <w:szCs w:val="20"/>
      </w:rPr>
      <w:t>Ayuntamiento de Temamatla</w:t>
    </w:r>
  </w:p>
  <w:p w:rsidR="009A1B10" w:rsidRDefault="00DF6E94" w:rsidP="001B7B6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Comisionad</w:t>
    </w:r>
    <w:r w:rsidR="001B7B63">
      <w:rPr>
        <w:rFonts w:ascii="Palatino Linotype" w:eastAsia="Palatino Linotype" w:hAnsi="Palatino Linotype" w:cs="Palatino Linotype"/>
        <w:b/>
        <w:color w:val="000000"/>
        <w:sz w:val="20"/>
        <w:szCs w:val="20"/>
      </w:rPr>
      <w:t>o</w:t>
    </w:r>
    <w:r>
      <w:rPr>
        <w:rFonts w:ascii="Palatino Linotype" w:eastAsia="Palatino Linotype" w:hAnsi="Palatino Linotype" w:cs="Palatino Linotype"/>
        <w:b/>
        <w:color w:val="000000"/>
        <w:sz w:val="20"/>
        <w:szCs w:val="20"/>
      </w:rPr>
      <w:t xml:space="preserve"> Ponente: </w:t>
    </w:r>
    <w:r w:rsidR="001B7B63" w:rsidRPr="001B7B63">
      <w:rPr>
        <w:rFonts w:ascii="Palatino Linotype" w:eastAsia="Palatino Linotype" w:hAnsi="Palatino Linotype" w:cs="Palatino Linotype"/>
        <w:b/>
        <w:color w:val="000000"/>
        <w:sz w:val="20"/>
        <w:szCs w:val="20"/>
        <w:lang w:val="es-ES_tradnl"/>
      </w:rPr>
      <w:t>José Martínez Vilchis</w:t>
    </w:r>
  </w:p>
  <w:p w:rsidR="009A1B10" w:rsidRDefault="009A1B10" w:rsidP="001B7B6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A1B10" w:rsidRDefault="009A1B10" w:rsidP="001B7B6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A1B10" w:rsidRDefault="009A1B10" w:rsidP="001B7B6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6EBF"/>
    <w:multiLevelType w:val="multilevel"/>
    <w:tmpl w:val="D7D21B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42E0411"/>
    <w:multiLevelType w:val="multilevel"/>
    <w:tmpl w:val="4AF2990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CA3ACE"/>
    <w:multiLevelType w:val="multilevel"/>
    <w:tmpl w:val="3CFCF112"/>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10"/>
    <w:rsid w:val="000824C5"/>
    <w:rsid w:val="001554D1"/>
    <w:rsid w:val="001B7B63"/>
    <w:rsid w:val="001F60FE"/>
    <w:rsid w:val="00394C34"/>
    <w:rsid w:val="004A51F5"/>
    <w:rsid w:val="00523DB1"/>
    <w:rsid w:val="006A2769"/>
    <w:rsid w:val="009A1B10"/>
    <w:rsid w:val="00A02AB9"/>
    <w:rsid w:val="00AB2E3A"/>
    <w:rsid w:val="00DC214C"/>
    <w:rsid w:val="00DE4C45"/>
    <w:rsid w:val="00DF6E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6D0620-10A7-4A9E-AD41-D8F5BF6D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yITwLzG1SivSkWmh+BfM4TrtA==">CgMxLjAyCGguZ2pkZ3hzMg5oLjQ1aHdlOG12MHJhNzIOaC5zZXpuazB2M2t3ZHAyDmgueGV6cjBva2Q1N3RuMgloLjJldDkycDAyCWguMzBqMHpsbDgAciExcjhFU0lIY2NJbXpaek1vQVYtUEM1WUt3d2lYbzk3eWY=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1187</Words>
  <Characters>6533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2</cp:revision>
  <dcterms:created xsi:type="dcterms:W3CDTF">2025-06-02T16:59:00Z</dcterms:created>
  <dcterms:modified xsi:type="dcterms:W3CDTF">2025-06-02T16:59:00Z</dcterms:modified>
</cp:coreProperties>
</file>