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E03" w:rsidRDefault="007A69A9" w:rsidP="004A3FCA">
      <w:pPr>
        <w:spacing w:before="240" w:after="24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EL </w:t>
      </w:r>
      <w:r>
        <w:rPr>
          <w:rFonts w:ascii="Palatino Linotype" w:eastAsia="Palatino Linotype" w:hAnsi="Palatino Linotype" w:cs="Palatino Linotype"/>
          <w:b/>
        </w:rPr>
        <w:t xml:space="preserve">RECURSO DE REVISIÓN </w:t>
      </w:r>
      <w:r>
        <w:rPr>
          <w:rFonts w:ascii="Palatino Linotype" w:eastAsia="Palatino Linotype" w:hAnsi="Palatino Linotype" w:cs="Palatino Linotype"/>
          <w:b/>
          <w:color w:val="000000"/>
        </w:rPr>
        <w:t>01930/INFOEM/IP/RR/2025</w:t>
      </w:r>
      <w:r>
        <w:rPr>
          <w:rFonts w:ascii="Palatino Linotype" w:eastAsia="Palatino Linotype" w:hAnsi="Palatino Linotype" w:cs="Palatino Linotype"/>
          <w:b/>
        </w:rPr>
        <w:t>.</w:t>
      </w:r>
    </w:p>
    <w:p w:rsidR="00FB3E03" w:rsidRDefault="007A69A9" w:rsidP="004A3FCA">
      <w:pPr>
        <w:spacing w:after="80" w:line="360" w:lineRule="auto"/>
        <w:ind w:right="-93"/>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 los Recursos de Revisión </w:t>
      </w:r>
      <w:r>
        <w:rPr>
          <w:rFonts w:ascii="Palatino Linotype" w:eastAsia="Palatino Linotype" w:hAnsi="Palatino Linotype" w:cs="Palatino Linotype"/>
          <w:b/>
          <w:color w:val="000000"/>
        </w:rPr>
        <w:t>01930/INFOEM/IP/RR/2025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w:t>
      </w:r>
      <w:r>
        <w:rPr>
          <w:rFonts w:ascii="Palatino Linotype" w:eastAsia="Palatino Linotype" w:hAnsi="Palatino Linotype" w:cs="Palatino Linotype"/>
        </w:rPr>
        <w:t xml:space="preserve"> de México, así como 45 y 48, fracción I, de los Lineamientos para el funcionamiento del Pleno y las Comisiones del Instituto de Transparencia, Acceso a la Información Pública y Protección de Datos Personales del Estado de México y Municipios.</w:t>
      </w: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7A69A9" w:rsidP="004A3FCA">
      <w:pPr>
        <w:spacing w:after="8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w:t>
      </w:r>
      <w:r>
        <w:rPr>
          <w:rFonts w:ascii="Palatino Linotype" w:eastAsia="Palatino Linotype" w:hAnsi="Palatino Linotype" w:cs="Palatino Linotype"/>
        </w:rPr>
        <w:t>, es preciso señalar que se comparte el sentido de la resolución, ya que del análisis de las constancias que conforman el expediente electrónico, se desprendió que la información solicitada es susceptible de transparentarse pues se encuentra relacionada co</w:t>
      </w:r>
      <w:r>
        <w:rPr>
          <w:rFonts w:ascii="Palatino Linotype" w:eastAsia="Palatino Linotype" w:hAnsi="Palatino Linotype" w:cs="Palatino Linotype"/>
        </w:rPr>
        <w:t>n la gestión pública y con su publicidad se favorece indudablemente a la rendición de cuentas.</w:t>
      </w: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7A69A9" w:rsidP="004A3FCA">
      <w:pPr>
        <w:spacing w:after="8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En ese sentido es de recordar que el Recurrente, entre otros requerimientos, requirió a la literalidad lo siguiente:</w:t>
      </w:r>
    </w:p>
    <w:p w:rsidR="00FB3E03" w:rsidRDefault="007A69A9" w:rsidP="004A3FCA">
      <w:pPr>
        <w:spacing w:after="0" w:line="276" w:lineRule="auto"/>
        <w:ind w:right="42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“Solicito se me exhiba copia legible de tod</w:t>
      </w:r>
      <w:r>
        <w:rPr>
          <w:rFonts w:ascii="Palatino Linotype" w:eastAsia="Palatino Linotype" w:hAnsi="Palatino Linotype" w:cs="Palatino Linotype"/>
          <w:i/>
          <w:color w:val="000000"/>
        </w:rPr>
        <w:t>as y cada una de las licencias de funcionamiento actualizadas al año 2023, con las copias del año 2022, de las unidades deportivas y canchas sintéticas propiedad del Ayuntamiento, las albercas públicas municipales, las privadas, así como las casas de cultu</w:t>
      </w:r>
      <w:r>
        <w:rPr>
          <w:rFonts w:ascii="Palatino Linotype" w:eastAsia="Palatino Linotype" w:hAnsi="Palatino Linotype" w:cs="Palatino Linotype"/>
          <w:i/>
          <w:color w:val="000000"/>
        </w:rPr>
        <w:t>ra de mismo. Siendo enunciativo mas no limitativo y los demás que sean propiedad municipal.”</w:t>
      </w: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7A69A9" w:rsidP="004A3FCA">
      <w:pPr>
        <w:spacing w:after="8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Sujeto Obligado, a través del Titular de la Unidad de Transparencia, refirió que:</w:t>
      </w:r>
    </w:p>
    <w:p w:rsidR="00FB3E03" w:rsidRDefault="007A69A9" w:rsidP="004A3FCA">
      <w:pPr>
        <w:numPr>
          <w:ilvl w:val="0"/>
          <w:numId w:val="1"/>
        </w:numPr>
        <w:pBdr>
          <w:top w:val="nil"/>
          <w:left w:val="nil"/>
          <w:bottom w:val="nil"/>
          <w:right w:val="nil"/>
          <w:between w:val="nil"/>
        </w:pBdr>
        <w:spacing w:before="240" w:line="276" w:lineRule="auto"/>
        <w:ind w:left="0" w:right="851"/>
        <w:jc w:val="both"/>
        <w:rPr>
          <w:rFonts w:ascii="Palatino Linotype" w:eastAsia="Palatino Linotype" w:hAnsi="Palatino Linotype" w:cs="Palatino Linotype"/>
          <w:i/>
          <w:color w:val="000000"/>
          <w:u w:val="single"/>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se exhiba copia legible de todas y cada una de las licencias de funcionamie</w:t>
      </w:r>
      <w:r>
        <w:rPr>
          <w:rFonts w:ascii="Palatino Linotype" w:eastAsia="Palatino Linotype" w:hAnsi="Palatino Linotype" w:cs="Palatino Linotype"/>
          <w:b/>
          <w:i/>
          <w:color w:val="000000"/>
        </w:rPr>
        <w:t>nto actualizadas al año 2023, con las copias del año 2022, de las unidades deportivas y canchas sintéticas propiedad del Ayuntamiento</w:t>
      </w:r>
      <w:r>
        <w:rPr>
          <w:rFonts w:ascii="Palatino Linotype" w:eastAsia="Palatino Linotype" w:hAnsi="Palatino Linotype" w:cs="Palatino Linotype"/>
          <w:i/>
          <w:color w:val="000000"/>
        </w:rPr>
        <w:t>; dicha información d</w:t>
      </w:r>
      <w:r>
        <w:rPr>
          <w:rFonts w:ascii="Palatino Linotype" w:eastAsia="Palatino Linotype" w:hAnsi="Palatino Linotype" w:cs="Palatino Linotype"/>
          <w:i/>
          <w:color w:val="000000"/>
        </w:rPr>
        <w:t>eberá ser requerida a la Secretaria del Ayuntamiento de Toluca, toda vez que este el Instituto Municip</w:t>
      </w:r>
      <w:r>
        <w:rPr>
          <w:rFonts w:ascii="Palatino Linotype" w:eastAsia="Palatino Linotype" w:hAnsi="Palatino Linotype" w:cs="Palatino Linotype"/>
          <w:i/>
          <w:color w:val="000000"/>
        </w:rPr>
        <w:t>al de Cultura Física y Deporte de Toluca, no realiza licencias de funcionamiento.</w:t>
      </w:r>
    </w:p>
    <w:p w:rsidR="00FB3E03" w:rsidRDefault="007A69A9" w:rsidP="004A3FCA">
      <w:pPr>
        <w:numPr>
          <w:ilvl w:val="0"/>
          <w:numId w:val="1"/>
        </w:numPr>
        <w:pBdr>
          <w:top w:val="nil"/>
          <w:left w:val="nil"/>
          <w:bottom w:val="nil"/>
          <w:right w:val="nil"/>
          <w:between w:val="nil"/>
        </w:pBdr>
        <w:spacing w:before="240" w:line="276" w:lineRule="auto"/>
        <w:ind w:left="0" w:right="851"/>
        <w:jc w:val="both"/>
      </w:pPr>
      <w:r>
        <w:rPr>
          <w:rFonts w:ascii="Palatino Linotype" w:eastAsia="Palatino Linotype" w:hAnsi="Palatino Linotype" w:cs="Palatino Linotype"/>
          <w:b/>
          <w:i/>
          <w:color w:val="000000"/>
        </w:rPr>
        <w:t>Por lo que respecta las albercas públicas municipales, las privadas, le informo que este Instituto</w:t>
      </w:r>
      <w:r>
        <w:rPr>
          <w:rFonts w:ascii="Palatino Linotype" w:eastAsia="Palatino Linotype" w:hAnsi="Palatino Linotype" w:cs="Palatino Linotype"/>
          <w:i/>
          <w:color w:val="000000"/>
        </w:rPr>
        <w:t>; no cuenta con albercas públicos municipales, por lo que se les proporciona algunas de las instancias que cuentan con albercas, haciéndole de su conocimiento que se desconocen sus cuotas y requisitos; siendo estas las siguientes:</w:t>
      </w:r>
    </w:p>
    <w:p w:rsidR="00FB3E03" w:rsidRDefault="007A69A9" w:rsidP="004A3FCA">
      <w:pPr>
        <w:numPr>
          <w:ilvl w:val="0"/>
          <w:numId w:val="1"/>
        </w:numPr>
        <w:pBdr>
          <w:top w:val="nil"/>
          <w:left w:val="nil"/>
          <w:bottom w:val="nil"/>
          <w:right w:val="nil"/>
          <w:between w:val="nil"/>
        </w:pBdr>
        <w:spacing w:before="240" w:line="276" w:lineRule="auto"/>
        <w:ind w:left="0" w:right="851"/>
        <w:jc w:val="both"/>
      </w:pPr>
      <w:r>
        <w:rPr>
          <w:rFonts w:ascii="Palatino Linotype" w:eastAsia="Palatino Linotype" w:hAnsi="Palatino Linotype" w:cs="Palatino Linotype"/>
          <w:b/>
          <w:i/>
          <w:color w:val="000000"/>
        </w:rPr>
        <w:t>Las casas de cultura;</w:t>
      </w:r>
      <w:r>
        <w:rPr>
          <w:rFonts w:ascii="Palatino Linotype" w:eastAsia="Palatino Linotype" w:hAnsi="Palatino Linotype" w:cs="Palatino Linotype"/>
          <w:i/>
          <w:color w:val="000000"/>
        </w:rPr>
        <w:t xml:space="preserve"> dic</w:t>
      </w:r>
      <w:r>
        <w:rPr>
          <w:rFonts w:ascii="Palatino Linotype" w:eastAsia="Palatino Linotype" w:hAnsi="Palatino Linotype" w:cs="Palatino Linotype"/>
          <w:i/>
          <w:color w:val="000000"/>
        </w:rPr>
        <w:t xml:space="preserve">ha información deberá ser requerida a la Dirección General de Educación Cultura y Turismo del Ayuntamiento de Toluca. </w:t>
      </w:r>
    </w:p>
    <w:p w:rsidR="00FB3E03" w:rsidRDefault="007A69A9" w:rsidP="004A3FCA">
      <w:pPr>
        <w:pBdr>
          <w:top w:val="nil"/>
          <w:left w:val="nil"/>
          <w:bottom w:val="nil"/>
          <w:right w:val="nil"/>
          <w:between w:val="nil"/>
        </w:pBdr>
        <w:spacing w:before="240" w:line="276" w:lineRule="auto"/>
        <w:ind w:right="85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No omito comentarle que este Instituto, reitera su disposición para que en el ámbito de su competencia y/o facultades contribuya a dar acceso a la información pública que se le requiere y obra en sus archivos”. </w:t>
      </w:r>
    </w:p>
    <w:p w:rsidR="00FB3E03" w:rsidRDefault="00FB3E03" w:rsidP="004A3FCA">
      <w:pPr>
        <w:spacing w:after="80" w:line="276"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7A69A9" w:rsidP="004A3FCA">
      <w:pPr>
        <w:spacing w:after="80" w:line="360" w:lineRule="auto"/>
        <w:ind w:right="-93"/>
        <w:jc w:val="both"/>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rPr>
        <w:t>Derivado de ello, la parte Recurrente se i</w:t>
      </w:r>
      <w:r>
        <w:rPr>
          <w:rFonts w:ascii="Palatino Linotype" w:eastAsia="Palatino Linotype" w:hAnsi="Palatino Linotype" w:cs="Palatino Linotype"/>
        </w:rPr>
        <w:t xml:space="preserve">nconformó arguyendo que: </w:t>
      </w:r>
      <w:r>
        <w:rPr>
          <w:rFonts w:ascii="Palatino Linotype" w:eastAsia="Palatino Linotype" w:hAnsi="Palatino Linotype" w:cs="Palatino Linotype"/>
          <w:i/>
        </w:rPr>
        <w:t>“No entrega la información solicitada” (Sic).</w:t>
      </w: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7A69A9" w:rsidP="004A3FCA">
      <w:pPr>
        <w:spacing w:after="80"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Mediante informe justificado, el Sujeto Obligado ratificó su respuesta inicial. </w:t>
      </w:r>
    </w:p>
    <w:p w:rsidR="00FB3E03" w:rsidRDefault="00FB3E03" w:rsidP="004A3FCA">
      <w:pPr>
        <w:spacing w:after="80" w:line="360" w:lineRule="auto"/>
        <w:ind w:right="-93"/>
        <w:jc w:val="both"/>
        <w:rPr>
          <w:rFonts w:ascii="Palatino Linotype" w:eastAsia="Palatino Linotype" w:hAnsi="Palatino Linotype" w:cs="Palatino Linotype"/>
          <w:color w:val="000000"/>
        </w:rPr>
      </w:pPr>
    </w:p>
    <w:p w:rsidR="00FB3E03" w:rsidRDefault="007A69A9" w:rsidP="004A3FCA">
      <w:pPr>
        <w:spacing w:after="80"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Del est</w:t>
      </w:r>
      <w:r w:rsidR="004A3FCA">
        <w:rPr>
          <w:rFonts w:ascii="Palatino Linotype" w:eastAsia="Palatino Linotype" w:hAnsi="Palatino Linotype" w:cs="Palatino Linotype"/>
          <w:color w:val="000000"/>
        </w:rPr>
        <w:t>udio de la Ponencia Resolutora, s</w:t>
      </w:r>
      <w:r>
        <w:rPr>
          <w:rFonts w:ascii="Palatino Linotype" w:eastAsia="Palatino Linotype" w:hAnsi="Palatino Linotype" w:cs="Palatino Linotype"/>
          <w:color w:val="000000"/>
        </w:rPr>
        <w:t xml:space="preserve">e concluyó que en efecto, el Sujeto Obligado era incompetente </w:t>
      </w:r>
      <w:r>
        <w:rPr>
          <w:rFonts w:ascii="Palatino Linotype" w:eastAsia="Palatino Linotype" w:hAnsi="Palatino Linotype" w:cs="Palatino Linotype"/>
          <w:color w:val="000000"/>
        </w:rPr>
        <w:t xml:space="preserve">y se procedió a CONFIRMAR su respuesta. </w:t>
      </w:r>
    </w:p>
    <w:p w:rsidR="004A3FCA" w:rsidRDefault="004A3FCA" w:rsidP="004A3FCA">
      <w:pPr>
        <w:spacing w:after="80" w:line="360" w:lineRule="auto"/>
        <w:ind w:right="-93"/>
        <w:jc w:val="both"/>
        <w:rPr>
          <w:rFonts w:ascii="Palatino Linotype" w:eastAsia="Palatino Linotype" w:hAnsi="Palatino Linotype" w:cs="Palatino Linotype"/>
          <w:color w:val="000000"/>
        </w:rPr>
      </w:pPr>
    </w:p>
    <w:p w:rsidR="004A3FCA" w:rsidRDefault="004A3FCA" w:rsidP="004A3FCA">
      <w:pPr>
        <w:spacing w:after="80"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es necesario hacer mención que, </w:t>
      </w:r>
      <w:r w:rsidRPr="004A3FCA">
        <w:rPr>
          <w:rFonts w:ascii="Palatino Linotype" w:eastAsia="Times New Roman" w:hAnsi="Palatino Linotype" w:cs="Tahoma"/>
          <w:bCs/>
          <w:iCs/>
          <w:lang w:eastAsia="es-ES"/>
        </w:rPr>
        <w:t xml:space="preserve"> </w:t>
      </w:r>
      <w:r w:rsidRPr="004A3FCA">
        <w:rPr>
          <w:rFonts w:ascii="Palatino Linotype" w:eastAsia="Times New Roman" w:hAnsi="Palatino Linotype" w:cs="Tahoma"/>
          <w:iCs/>
          <w:lang w:eastAsia="es-ES"/>
        </w:rPr>
        <w:t>el artículo 20 de la Ley de Transparencia y Acceso a la Información Pública del Estado de México y Municipios, establece que,</w:t>
      </w:r>
      <w:r>
        <w:rPr>
          <w:rFonts w:ascii="Palatino Linotype" w:eastAsia="Times New Roman" w:hAnsi="Palatino Linotype" w:cs="Tahoma"/>
          <w:iCs/>
          <w:lang w:eastAsia="es-ES"/>
        </w:rPr>
        <w:t xml:space="preserve"> existen dos supuestos para negar la información y,</w:t>
      </w:r>
      <w:r w:rsidRPr="004A3FCA">
        <w:rPr>
          <w:rFonts w:ascii="Palatino Linotype" w:eastAsia="Times New Roman" w:hAnsi="Palatino Linotype" w:cs="Tahoma"/>
          <w:b/>
          <w:iCs/>
          <w:lang w:eastAsia="es-ES"/>
        </w:rPr>
        <w:t xml:space="preserve"> el sujeto obligado </w:t>
      </w:r>
      <w:r>
        <w:rPr>
          <w:rFonts w:ascii="Palatino Linotype" w:eastAsia="Times New Roman" w:hAnsi="Palatino Linotype" w:cs="Tahoma"/>
          <w:b/>
          <w:iCs/>
          <w:lang w:eastAsia="es-ES"/>
        </w:rPr>
        <w:t xml:space="preserve">ante su negativa </w:t>
      </w:r>
      <w:r w:rsidRPr="004A3FCA">
        <w:rPr>
          <w:rFonts w:ascii="Palatino Linotype" w:eastAsia="Times New Roman" w:hAnsi="Palatino Linotype" w:cs="Tahoma"/>
          <w:b/>
          <w:iCs/>
          <w:lang w:eastAsia="es-ES"/>
        </w:rPr>
        <w:t>deberá demostrar que encuentra en alguna de las excepciones establecidas en la normatividad aplicable.</w:t>
      </w:r>
    </w:p>
    <w:p w:rsidR="004A3FCA" w:rsidRDefault="004A3FCA" w:rsidP="004A3FCA">
      <w:pPr>
        <w:spacing w:after="80" w:line="360" w:lineRule="auto"/>
        <w:ind w:right="-93"/>
        <w:jc w:val="both"/>
        <w:rPr>
          <w:rFonts w:ascii="Palatino Linotype" w:eastAsia="Palatino Linotype" w:hAnsi="Palatino Linotype" w:cs="Palatino Linotype"/>
          <w:color w:val="000000"/>
        </w:rPr>
      </w:pPr>
    </w:p>
    <w:p w:rsidR="004A3FCA" w:rsidRPr="004A3FCA" w:rsidRDefault="004A3FCA" w:rsidP="004A3FCA">
      <w:pPr>
        <w:spacing w:after="80" w:line="360" w:lineRule="auto"/>
        <w:ind w:right="-93"/>
        <w:jc w:val="both"/>
        <w:rPr>
          <w:rFonts w:ascii="Palatino Linotype" w:eastAsia="Palatino Linotype" w:hAnsi="Palatino Linotype" w:cs="Palatino Linotype"/>
          <w:color w:val="000000"/>
        </w:rPr>
      </w:pPr>
      <w:r w:rsidRPr="004A3FCA">
        <w:rPr>
          <w:rFonts w:ascii="Palatino Linotype" w:eastAsia="Times New Roman" w:hAnsi="Palatino Linotype" w:cs="Tahoma"/>
          <w:bCs/>
          <w:iCs/>
          <w:lang w:eastAsia="es-ES"/>
        </w:rPr>
        <w:t xml:space="preserve">En ese sentido, según Trujillo, Humberto (2019), en el “Diccionario de Transparencia y Acceso a la Información Pública” (p. 201), </w:t>
      </w:r>
      <w:r w:rsidRPr="004A3FCA">
        <w:rPr>
          <w:rFonts w:ascii="Palatino Linotype" w:eastAsia="Times New Roman" w:hAnsi="Palatino Linotype" w:cs="Tahoma"/>
          <w:b/>
          <w:bCs/>
          <w:iCs/>
          <w:lang w:eastAsia="es-ES"/>
        </w:rPr>
        <w:t xml:space="preserve">la negativa de acceso a la información </w:t>
      </w:r>
      <w:r w:rsidRPr="004A3FCA">
        <w:rPr>
          <w:rFonts w:ascii="Palatino Linotype" w:eastAsia="Times New Roman" w:hAnsi="Palatino Linotype" w:cs="Tahoma"/>
          <w:bCs/>
          <w:iCs/>
          <w:lang w:eastAsia="es-ES"/>
        </w:rPr>
        <w:t xml:space="preserve">ocurre cuanto de manera fundada y motivada, una autoridad la niega o la limita, por alguna de las siguientes razones: </w:t>
      </w:r>
    </w:p>
    <w:p w:rsidR="004A3FCA" w:rsidRPr="004A3FCA" w:rsidRDefault="004A3FCA" w:rsidP="004A3FCA">
      <w:pPr>
        <w:spacing w:after="0" w:line="360" w:lineRule="auto"/>
        <w:jc w:val="both"/>
        <w:rPr>
          <w:rFonts w:ascii="Palatino Linotype" w:eastAsia="Times New Roman" w:hAnsi="Palatino Linotype" w:cs="Tahoma"/>
          <w:bCs/>
          <w:iCs/>
          <w:lang w:eastAsia="es-ES"/>
        </w:rPr>
      </w:pPr>
    </w:p>
    <w:p w:rsidR="004A3FCA" w:rsidRPr="004A3FCA" w:rsidRDefault="004A3FCA" w:rsidP="004A3FCA">
      <w:pPr>
        <w:numPr>
          <w:ilvl w:val="0"/>
          <w:numId w:val="2"/>
        </w:numPr>
        <w:spacing w:after="0" w:line="360" w:lineRule="auto"/>
        <w:ind w:left="284"/>
        <w:jc w:val="both"/>
        <w:rPr>
          <w:rFonts w:ascii="Palatino Linotype" w:eastAsia="Times New Roman" w:hAnsi="Palatino Linotype" w:cs="Tahoma"/>
          <w:b/>
          <w:bCs/>
          <w:iCs/>
          <w:lang w:eastAsia="es-ES"/>
        </w:rPr>
      </w:pPr>
      <w:r w:rsidRPr="004A3FCA">
        <w:rPr>
          <w:rFonts w:ascii="Palatino Linotype" w:eastAsia="Times New Roman" w:hAnsi="Palatino Linotype" w:cs="Tahoma"/>
          <w:b/>
          <w:bCs/>
          <w:iCs/>
          <w:lang w:eastAsia="es-ES"/>
        </w:rPr>
        <w:t xml:space="preserve">La inexistencia de la información (p. 171): </w:t>
      </w:r>
      <w:r w:rsidRPr="004A3FCA">
        <w:rPr>
          <w:rFonts w:ascii="Palatino Linotype" w:eastAsia="Times New Roman" w:hAnsi="Palatino Linotype" w:cs="Tahoma"/>
          <w:bCs/>
          <w:iCs/>
          <w:lang w:eastAsia="es-ES"/>
        </w:rPr>
        <w:t>Sucede cuando la información solicitada no se encuentra en los archivos públicos o clasificados de los entes sujetos a las Leyes de Transparencia.</w:t>
      </w:r>
    </w:p>
    <w:p w:rsidR="004A3FCA" w:rsidRPr="004A3FCA" w:rsidRDefault="004A3FCA" w:rsidP="004A3FCA">
      <w:pPr>
        <w:numPr>
          <w:ilvl w:val="0"/>
          <w:numId w:val="2"/>
        </w:numPr>
        <w:spacing w:after="0" w:line="360" w:lineRule="auto"/>
        <w:ind w:left="284"/>
        <w:jc w:val="both"/>
        <w:rPr>
          <w:rFonts w:ascii="Palatino Linotype" w:eastAsia="Times New Roman" w:hAnsi="Palatino Linotype" w:cs="Tahoma"/>
          <w:b/>
          <w:bCs/>
          <w:iCs/>
          <w:lang w:eastAsia="es-ES"/>
        </w:rPr>
      </w:pPr>
      <w:r w:rsidRPr="004A3FCA">
        <w:rPr>
          <w:rFonts w:ascii="Palatino Linotype" w:eastAsia="Times New Roman" w:hAnsi="Palatino Linotype" w:cs="Tahoma"/>
          <w:b/>
          <w:bCs/>
          <w:iCs/>
          <w:lang w:eastAsia="es-ES"/>
        </w:rPr>
        <w:t xml:space="preserve">La incompetencia del Sujeto Obligado (p. 171): </w:t>
      </w:r>
      <w:r w:rsidRPr="004A3FCA">
        <w:rPr>
          <w:rFonts w:ascii="Palatino Linotype" w:eastAsia="Times New Roman" w:hAnsi="Palatino Linotype" w:cs="Tahoma"/>
          <w:bCs/>
          <w:iCs/>
          <w:lang w:eastAsia="es-ES"/>
        </w:rPr>
        <w:t>Ocurre cuando el Sujeto Obligado carece de atribuciones para poseer la información peticionada.</w:t>
      </w:r>
    </w:p>
    <w:p w:rsidR="004A3FCA" w:rsidRPr="004A3FCA" w:rsidRDefault="004A3FCA" w:rsidP="004A3FCA">
      <w:pPr>
        <w:numPr>
          <w:ilvl w:val="0"/>
          <w:numId w:val="2"/>
        </w:numPr>
        <w:spacing w:after="0" w:line="360" w:lineRule="auto"/>
        <w:ind w:left="284"/>
        <w:jc w:val="both"/>
        <w:rPr>
          <w:rFonts w:ascii="Palatino Linotype" w:eastAsia="Times New Roman" w:hAnsi="Palatino Linotype" w:cs="Tahoma"/>
          <w:b/>
          <w:bCs/>
          <w:iCs/>
          <w:lang w:eastAsia="es-ES"/>
        </w:rPr>
      </w:pPr>
      <w:r w:rsidRPr="004A3FCA">
        <w:rPr>
          <w:rFonts w:ascii="Palatino Linotype" w:eastAsia="Times New Roman" w:hAnsi="Palatino Linotype" w:cs="Tahoma"/>
          <w:b/>
          <w:bCs/>
          <w:iCs/>
          <w:lang w:eastAsia="es-ES"/>
        </w:rPr>
        <w:lastRenderedPageBreak/>
        <w:t xml:space="preserve">La clasificación de la información (p. 70): </w:t>
      </w:r>
      <w:r w:rsidRPr="004A3FCA">
        <w:rPr>
          <w:rFonts w:ascii="Palatino Linotype" w:eastAsia="Times New Roman" w:hAnsi="Palatino Linotype" w:cs="Tahoma"/>
          <w:bCs/>
          <w:iCs/>
          <w:lang w:eastAsia="es-ES"/>
        </w:rPr>
        <w:t>Es el proceso o conjunto de acciones que realizan los sujetos obligados para establecer que determinada información se encuentra en alguno de los supuestos de reserva o confidencialidad establecidos en la legislac</w:t>
      </w:r>
      <w:r>
        <w:rPr>
          <w:rFonts w:ascii="Palatino Linotype" w:eastAsia="Times New Roman" w:hAnsi="Palatino Linotype" w:cs="Tahoma"/>
          <w:bCs/>
          <w:iCs/>
          <w:lang w:eastAsia="es-ES"/>
        </w:rPr>
        <w:t>ión en materia de transparencia.</w:t>
      </w:r>
    </w:p>
    <w:p w:rsidR="004A3FCA" w:rsidRPr="004A3FCA" w:rsidRDefault="004A3FCA" w:rsidP="004A3FCA">
      <w:pPr>
        <w:spacing w:after="0" w:line="360" w:lineRule="auto"/>
        <w:jc w:val="both"/>
        <w:rPr>
          <w:rFonts w:ascii="Palatino Linotype" w:eastAsia="Times New Roman" w:hAnsi="Palatino Linotype" w:cs="Tahoma"/>
          <w:b/>
          <w:bCs/>
          <w:iCs/>
          <w:lang w:eastAsia="es-ES"/>
        </w:rPr>
      </w:pPr>
    </w:p>
    <w:p w:rsidR="004A3FCA" w:rsidRPr="004A3FCA" w:rsidRDefault="004A3FCA" w:rsidP="004A3FCA">
      <w:pPr>
        <w:spacing w:after="0" w:line="360" w:lineRule="auto"/>
        <w:jc w:val="both"/>
        <w:rPr>
          <w:rFonts w:ascii="Palatino Linotype" w:eastAsia="Times New Roman" w:hAnsi="Palatino Linotype" w:cs="Tahoma"/>
          <w:b/>
          <w:bCs/>
          <w:iCs/>
          <w:lang w:eastAsia="es-ES"/>
        </w:rPr>
      </w:pPr>
      <w:r w:rsidRPr="004A3FCA">
        <w:rPr>
          <w:rFonts w:ascii="Palatino Linotype" w:eastAsia="Times New Roman" w:hAnsi="Palatino Linotype" w:cs="Tahoma"/>
          <w:iCs/>
          <w:lang w:eastAsia="es-ES"/>
        </w:rPr>
        <w:t xml:space="preserve">Conforme a lo anterior, es de señalar que las </w:t>
      </w:r>
      <w:r w:rsidRPr="004A3FCA">
        <w:rPr>
          <w:rFonts w:ascii="Palatino Linotype" w:eastAsia="Times New Roman" w:hAnsi="Palatino Linotype" w:cs="Tahoma"/>
          <w:bCs/>
          <w:iCs/>
          <w:lang w:eastAsia="es-ES"/>
        </w:rPr>
        <w:t xml:space="preserve">excepciones al derecho de acceso a la información, consisten en que </w:t>
      </w:r>
      <w:r w:rsidRPr="004A3FCA">
        <w:rPr>
          <w:rFonts w:ascii="Palatino Linotype" w:eastAsia="Times New Roman" w:hAnsi="Palatino Linotype" w:cs="Tahoma"/>
          <w:b/>
          <w:iCs/>
          <w:lang w:eastAsia="es-ES"/>
        </w:rPr>
        <w:t>la documentación sea inexistente, obre en los archivos, pero se encuentre clasificada, o bien, el Sujeto Obligado sea incompetente</w:t>
      </w:r>
      <w:r w:rsidRPr="004A3FCA">
        <w:rPr>
          <w:rFonts w:ascii="Palatino Linotype" w:eastAsia="Times New Roman" w:hAnsi="Palatino Linotype" w:cs="Tahoma"/>
          <w:bCs/>
          <w:iCs/>
          <w:lang w:eastAsia="es-ES"/>
        </w:rPr>
        <w:t xml:space="preserve"> para contar con esta; esto es, la negativa de acceso a la información, recae cuando la documentación no se encuentre en los archivos del sujeto obligado, o bien exista, pero no pueda proporcionarse por contener datos </w:t>
      </w:r>
      <w:r w:rsidRPr="004A3FCA">
        <w:rPr>
          <w:rFonts w:ascii="Palatino Linotype" w:eastAsia="Times New Roman" w:hAnsi="Palatino Linotype" w:cs="Tahoma"/>
          <w:b/>
          <w:bCs/>
          <w:iCs/>
          <w:lang w:eastAsia="es-ES"/>
        </w:rPr>
        <w:t>confidenciales o reservados.</w:t>
      </w:r>
    </w:p>
    <w:p w:rsidR="00FB3E03" w:rsidRDefault="00FB3E03" w:rsidP="004A3FCA">
      <w:pPr>
        <w:spacing w:after="80" w:line="360" w:lineRule="auto"/>
        <w:ind w:right="-93"/>
        <w:jc w:val="both"/>
        <w:rPr>
          <w:rFonts w:ascii="Palatino Linotype" w:eastAsia="Palatino Linotype" w:hAnsi="Palatino Linotype" w:cs="Palatino Linotype"/>
          <w:color w:val="000000"/>
        </w:rPr>
      </w:pPr>
    </w:p>
    <w:p w:rsidR="004A3FCA" w:rsidRPr="004A3FCA" w:rsidRDefault="004A3FCA" w:rsidP="004A3FCA">
      <w:pPr>
        <w:spacing w:after="80"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en lo que respecta a la incompetencia, d</w:t>
      </w:r>
      <w:r w:rsidRPr="007D4455">
        <w:rPr>
          <w:rFonts w:ascii="Palatino Linotype" w:eastAsia="Palatino Linotype" w:hAnsi="Palatino Linotype" w:cs="Palatino Linotype"/>
        </w:rPr>
        <w:t xml:space="preserve">e acuerdo con, Cabanellas, Guillermo (1993), en el </w:t>
      </w:r>
      <w:r w:rsidRPr="007D4455">
        <w:rPr>
          <w:rFonts w:ascii="Palatino Linotype" w:eastAsia="Palatino Linotype" w:hAnsi="Palatino Linotype" w:cs="Palatino Linotype"/>
          <w:i/>
        </w:rPr>
        <w:t>“Diccionario Jurídico Elemental”</w:t>
      </w:r>
      <w:r w:rsidRPr="007D4455">
        <w:rPr>
          <w:rFonts w:ascii="Palatino Linotype" w:eastAsia="Palatino Linotype" w:hAnsi="Palatino Linotype" w:cs="Palatino Linotype"/>
        </w:rPr>
        <w:t xml:space="preserve"> (p. 32 y 161) la competencia o bien, la incompetencia se refiere a:  </w:t>
      </w:r>
    </w:p>
    <w:p w:rsidR="004A3FCA" w:rsidRPr="007D4455" w:rsidRDefault="004A3FCA" w:rsidP="004A3FCA">
      <w:pPr>
        <w:spacing w:after="0" w:line="360" w:lineRule="auto"/>
        <w:ind w:right="49"/>
        <w:jc w:val="both"/>
        <w:rPr>
          <w:rFonts w:ascii="Palatino Linotype" w:eastAsia="Palatino Linotype" w:hAnsi="Palatino Linotype" w:cs="Palatino Linotype"/>
          <w:color w:val="000000"/>
        </w:rPr>
      </w:pPr>
    </w:p>
    <w:p w:rsidR="004A3FCA" w:rsidRPr="007D4455" w:rsidRDefault="004A3FCA" w:rsidP="004A3FCA">
      <w:pPr>
        <w:numPr>
          <w:ilvl w:val="0"/>
          <w:numId w:val="3"/>
        </w:numPr>
        <w:spacing w:after="0" w:line="360" w:lineRule="auto"/>
        <w:ind w:right="49"/>
        <w:jc w:val="both"/>
        <w:rPr>
          <w:rFonts w:ascii="Palatino Linotype" w:eastAsia="Palatino Linotype" w:hAnsi="Palatino Linotype" w:cs="Palatino Linotype"/>
          <w:color w:val="000000"/>
        </w:rPr>
      </w:pPr>
      <w:r w:rsidRPr="007D4455">
        <w:rPr>
          <w:rFonts w:ascii="Palatino Linotype" w:eastAsia="Palatino Linotype" w:hAnsi="Palatino Linotype" w:cs="Palatino Linotype"/>
          <w:b/>
          <w:color w:val="000000"/>
        </w:rPr>
        <w:t xml:space="preserve">Competencia: </w:t>
      </w:r>
      <w:r w:rsidRPr="007D4455">
        <w:rPr>
          <w:rFonts w:ascii="Palatino Linotype" w:eastAsia="Palatino Linotype" w:hAnsi="Palatino Linotype" w:cs="Palatino Linotype"/>
          <w:color w:val="000000"/>
        </w:rPr>
        <w:t>La capacidad de una autoridad para conocer sobre una materia o asunto.</w:t>
      </w:r>
    </w:p>
    <w:p w:rsidR="004A3FCA" w:rsidRPr="007D4455" w:rsidRDefault="004A3FCA" w:rsidP="004A3FCA">
      <w:pPr>
        <w:numPr>
          <w:ilvl w:val="0"/>
          <w:numId w:val="3"/>
        </w:numPr>
        <w:spacing w:after="0" w:line="360" w:lineRule="auto"/>
        <w:ind w:right="49"/>
        <w:jc w:val="both"/>
        <w:rPr>
          <w:rFonts w:ascii="Palatino Linotype" w:eastAsia="Palatino Linotype" w:hAnsi="Palatino Linotype" w:cs="Palatino Linotype"/>
          <w:color w:val="000000"/>
        </w:rPr>
      </w:pPr>
      <w:r w:rsidRPr="007D4455">
        <w:rPr>
          <w:rFonts w:ascii="Palatino Linotype" w:eastAsia="Palatino Linotype" w:hAnsi="Palatino Linotype" w:cs="Palatino Linotype"/>
          <w:b/>
          <w:color w:val="000000"/>
        </w:rPr>
        <w:t>Incompetencia:</w:t>
      </w:r>
      <w:r w:rsidRPr="007D4455">
        <w:rPr>
          <w:rFonts w:ascii="Palatino Linotype" w:eastAsia="Palatino Linotype" w:hAnsi="Palatino Linotype" w:cs="Palatino Linotype"/>
          <w:color w:val="000000"/>
        </w:rPr>
        <w:t xml:space="preserve"> Falta de Competencia.</w:t>
      </w:r>
    </w:p>
    <w:p w:rsidR="004A3FCA" w:rsidRPr="007D4455" w:rsidRDefault="004A3FCA" w:rsidP="004A3FCA">
      <w:pPr>
        <w:spacing w:after="0" w:line="360" w:lineRule="auto"/>
        <w:ind w:right="49"/>
        <w:jc w:val="both"/>
        <w:rPr>
          <w:rFonts w:ascii="Palatino Linotype" w:eastAsia="Palatino Linotype" w:hAnsi="Palatino Linotype" w:cs="Palatino Linotype"/>
          <w:color w:val="000000"/>
        </w:rPr>
      </w:pPr>
    </w:p>
    <w:p w:rsidR="004A3FCA" w:rsidRPr="007D4455" w:rsidRDefault="004A3FCA" w:rsidP="004A3FCA">
      <w:pPr>
        <w:spacing w:after="0" w:line="360" w:lineRule="auto"/>
        <w:ind w:right="49"/>
        <w:jc w:val="both"/>
        <w:rPr>
          <w:rFonts w:ascii="Palatino Linotype" w:eastAsia="Palatino Linotype" w:hAnsi="Palatino Linotype" w:cs="Palatino Linotype"/>
          <w:color w:val="000000"/>
        </w:rPr>
      </w:pPr>
      <w:r w:rsidRPr="007D4455">
        <w:rPr>
          <w:rFonts w:ascii="Palatino Linotype" w:eastAsia="Palatino Linotype" w:hAnsi="Palatino Linotype" w:cs="Palatino Linotype"/>
          <w:color w:val="000000"/>
        </w:rPr>
        <w:t xml:space="preserve">Por lo que, </w:t>
      </w:r>
      <w:r w:rsidRPr="007D4455">
        <w:rPr>
          <w:rFonts w:ascii="Palatino Linotype" w:eastAsia="Palatino Linotype" w:hAnsi="Palatino Linotype" w:cs="Palatino Linotype"/>
          <w:b/>
          <w:color w:val="000000"/>
        </w:rPr>
        <w:t>la incompetencia</w:t>
      </w:r>
      <w:r w:rsidRPr="007D4455">
        <w:rPr>
          <w:rFonts w:ascii="Palatino Linotype" w:eastAsia="Palatino Linotype" w:hAnsi="Palatino Linotype" w:cs="Palatino Linotype"/>
          <w:color w:val="000000"/>
        </w:rPr>
        <w:t xml:space="preserve">, radica en la incapacidad de una autoridad para conocer de un tema o asunto; en el mismo sentido, conviene traer a cuenta tesis aislada número III.2o.P.11 </w:t>
      </w:r>
      <w:r w:rsidRPr="007D4455">
        <w:rPr>
          <w:rFonts w:ascii="Palatino Linotype" w:eastAsia="Palatino Linotype" w:hAnsi="Palatino Linotype" w:cs="Palatino Linotype"/>
          <w:color w:val="000000"/>
        </w:rPr>
        <w:lastRenderedPageBreak/>
        <w:t xml:space="preserve">K, publicada en el Semanario Judicial de la Federación y su Gaceta, Novena Época, Tomo XV, Mayo de 2002, Pág. 1243, ya que precisa lo siguiente: </w:t>
      </w:r>
    </w:p>
    <w:p w:rsidR="004A3FCA" w:rsidRPr="007D4455" w:rsidRDefault="004A3FCA" w:rsidP="004A3FCA">
      <w:pPr>
        <w:spacing w:after="0" w:line="360" w:lineRule="auto"/>
        <w:ind w:right="49"/>
        <w:jc w:val="both"/>
        <w:rPr>
          <w:rFonts w:ascii="Palatino Linotype" w:eastAsia="Palatino Linotype" w:hAnsi="Palatino Linotype" w:cs="Palatino Linotype"/>
          <w:color w:val="000000"/>
        </w:rPr>
      </w:pPr>
    </w:p>
    <w:p w:rsidR="004A3FCA" w:rsidRPr="007D4455" w:rsidRDefault="004A3FCA" w:rsidP="004A3FCA">
      <w:pPr>
        <w:spacing w:after="0" w:line="276" w:lineRule="auto"/>
        <w:ind w:left="567" w:right="49"/>
        <w:jc w:val="both"/>
        <w:rPr>
          <w:rFonts w:ascii="Palatino Linotype" w:eastAsia="Palatino Linotype" w:hAnsi="Palatino Linotype" w:cs="Palatino Linotype"/>
          <w:i/>
          <w:color w:val="000000"/>
        </w:rPr>
      </w:pPr>
      <w:r w:rsidRPr="007D4455">
        <w:rPr>
          <w:rFonts w:ascii="Palatino Linotype" w:eastAsia="Palatino Linotype" w:hAnsi="Palatino Linotype" w:cs="Palatino Linotype"/>
          <w:b/>
          <w:i/>
          <w:color w:val="000000"/>
        </w:rPr>
        <w:t xml:space="preserve">“LEGITIMACIÓN DE FUNCIONARIOS PÚBLICOS. LOS TRIBUNALES DE AMPARO, POR ESTAR VINCULADOS CON EL CONCEPTO DE COMPETENCIA A QUE SE REFIERE EL ARTÍCULO 16 CONSTITUCIONAL, NO PUEDEN CONOCER DE AQUÉLLA. </w:t>
      </w:r>
      <w:r w:rsidRPr="007D4455">
        <w:rPr>
          <w:rFonts w:ascii="Palatino Linotype" w:eastAsia="Palatino Linotype" w:hAnsi="Palatino Linotype" w:cs="Palatino Linotype"/>
          <w:i/>
          <w:color w:val="000000"/>
        </w:rPr>
        <w:t>El artículo </w:t>
      </w:r>
      <w:hyperlink r:id="rId8">
        <w:r w:rsidRPr="007D4455">
          <w:rPr>
            <w:rFonts w:ascii="Palatino Linotype" w:eastAsia="Palatino Linotype" w:hAnsi="Palatino Linotype" w:cs="Palatino Linotype"/>
            <w:i/>
            <w:color w:val="0000FF"/>
            <w:u w:val="single"/>
          </w:rPr>
          <w:t>16 constitucional</w:t>
        </w:r>
      </w:hyperlink>
      <w:r w:rsidRPr="007D4455">
        <w:rPr>
          <w:rFonts w:ascii="Palatino Linotype" w:eastAsia="Palatino Linotype" w:hAnsi="Palatino Linotype" w:cs="Palatino Linotype"/>
          <w:i/>
          <w:color w:val="000000"/>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rsidR="004A3FCA" w:rsidRPr="007D4455" w:rsidRDefault="004A3FCA" w:rsidP="004A3FCA">
      <w:pPr>
        <w:spacing w:after="0" w:line="360" w:lineRule="auto"/>
        <w:ind w:right="49"/>
        <w:jc w:val="both"/>
        <w:rPr>
          <w:rFonts w:ascii="Palatino Linotype" w:eastAsia="Palatino Linotype" w:hAnsi="Palatino Linotype" w:cs="Palatino Linotype"/>
          <w:color w:val="000000"/>
        </w:rPr>
      </w:pPr>
    </w:p>
    <w:p w:rsidR="004A3FCA" w:rsidRPr="007D4455" w:rsidRDefault="004A3FCA" w:rsidP="004A3FCA">
      <w:pPr>
        <w:spacing w:after="0" w:line="360" w:lineRule="auto"/>
        <w:ind w:right="49"/>
        <w:jc w:val="both"/>
        <w:rPr>
          <w:rFonts w:ascii="Palatino Linotype" w:eastAsia="Palatino Linotype" w:hAnsi="Palatino Linotype" w:cs="Palatino Linotype"/>
          <w:color w:val="000000"/>
        </w:rPr>
      </w:pPr>
      <w:r w:rsidRPr="007D4455">
        <w:rPr>
          <w:rFonts w:ascii="Palatino Linotype" w:eastAsia="Palatino Linotype" w:hAnsi="Palatino Linotype" w:cs="Palatino Linotype"/>
          <w:color w:val="000000"/>
        </w:rPr>
        <w:t xml:space="preserve">De la misma manera, resulta necesario traer a colación, el Criterio 13/17, emitido por el Instituto Nacional de Transparencia, Acceso a la Información y Protección de Datos Personales, que dispone lo siguiente: </w:t>
      </w:r>
    </w:p>
    <w:p w:rsidR="004A3FCA" w:rsidRPr="007D4455" w:rsidRDefault="004A3FCA" w:rsidP="004A3FCA">
      <w:pPr>
        <w:spacing w:after="0" w:line="360" w:lineRule="auto"/>
        <w:ind w:right="49"/>
        <w:jc w:val="both"/>
        <w:rPr>
          <w:rFonts w:ascii="Palatino Linotype" w:eastAsia="Palatino Linotype" w:hAnsi="Palatino Linotype" w:cs="Palatino Linotype"/>
          <w:color w:val="000000"/>
        </w:rPr>
      </w:pPr>
    </w:p>
    <w:p w:rsidR="004A3FCA" w:rsidRPr="007D4455" w:rsidRDefault="004A3FCA" w:rsidP="004A3FCA">
      <w:pPr>
        <w:spacing w:after="0" w:line="276" w:lineRule="auto"/>
        <w:ind w:left="567" w:right="49"/>
        <w:jc w:val="both"/>
        <w:rPr>
          <w:rFonts w:ascii="Palatino Linotype" w:eastAsia="Palatino Linotype" w:hAnsi="Palatino Linotype" w:cs="Palatino Linotype"/>
          <w:i/>
          <w:color w:val="000000"/>
        </w:rPr>
      </w:pPr>
      <w:r w:rsidRPr="007D4455">
        <w:rPr>
          <w:rFonts w:ascii="Palatino Linotype" w:eastAsia="Palatino Linotype" w:hAnsi="Palatino Linotype" w:cs="Palatino Linotype"/>
          <w:i/>
          <w:color w:val="000000"/>
        </w:rPr>
        <w:t>“</w:t>
      </w:r>
      <w:r w:rsidRPr="007D4455">
        <w:rPr>
          <w:rFonts w:ascii="Palatino Linotype" w:eastAsia="Palatino Linotype" w:hAnsi="Palatino Linotype" w:cs="Palatino Linotype"/>
          <w:b/>
          <w:i/>
          <w:color w:val="000000"/>
        </w:rPr>
        <w:t xml:space="preserve">Incompetencia. </w:t>
      </w:r>
      <w:r w:rsidRPr="007D4455">
        <w:rPr>
          <w:rFonts w:ascii="Palatino Linotype" w:eastAsia="Palatino Linotype" w:hAnsi="Palatino Linotype" w:cs="Palatino Linotype"/>
          <w:i/>
          <w:color w:val="000000"/>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rsidR="004A3FCA" w:rsidRPr="007D4455" w:rsidRDefault="004A3FCA" w:rsidP="004A3FCA">
      <w:pPr>
        <w:spacing w:after="0" w:line="360" w:lineRule="auto"/>
        <w:ind w:right="49"/>
        <w:jc w:val="both"/>
        <w:rPr>
          <w:rFonts w:ascii="Palatino Linotype" w:eastAsia="Palatino Linotype" w:hAnsi="Palatino Linotype" w:cs="Palatino Linotype"/>
          <w:color w:val="000000"/>
        </w:rPr>
      </w:pPr>
    </w:p>
    <w:p w:rsidR="004A3FCA" w:rsidRPr="007D4455" w:rsidRDefault="004A3FCA" w:rsidP="004A3FCA">
      <w:pPr>
        <w:spacing w:after="0" w:line="360" w:lineRule="auto"/>
        <w:ind w:right="49"/>
        <w:jc w:val="both"/>
        <w:rPr>
          <w:rFonts w:ascii="Palatino Linotype" w:eastAsia="Palatino Linotype" w:hAnsi="Palatino Linotype" w:cs="Palatino Linotype"/>
          <w:color w:val="000000"/>
        </w:rPr>
      </w:pPr>
      <w:r w:rsidRPr="007D4455">
        <w:rPr>
          <w:rFonts w:ascii="Palatino Linotype" w:eastAsia="Palatino Linotype" w:hAnsi="Palatino Linotype" w:cs="Palatino Linotype"/>
          <w:color w:val="000000"/>
        </w:rPr>
        <w:lastRenderedPageBreak/>
        <w:t xml:space="preserve">En tal virtud, la </w:t>
      </w:r>
      <w:r w:rsidRPr="007D4455">
        <w:rPr>
          <w:rFonts w:ascii="Palatino Linotype" w:eastAsia="Palatino Linotype" w:hAnsi="Palatino Linotype" w:cs="Palatino Linotype"/>
          <w:b/>
          <w:color w:val="000000"/>
        </w:rPr>
        <w:t xml:space="preserve">incompetencia </w:t>
      </w:r>
      <w:r w:rsidRPr="007D4455">
        <w:rPr>
          <w:rFonts w:ascii="Palatino Linotype" w:eastAsia="Palatino Linotype" w:hAnsi="Palatino Linotype" w:cs="Palatino Linotype"/>
          <w:color w:val="000000"/>
        </w:rPr>
        <w:t>implica que, de conformidad con las atribuciones conferidas al sujeto obligado, no habría razón por la cual este deba contar con la información solicitada, en cuyo caso, tendría que orientar al particular para que acuda a la instancia competente.</w:t>
      </w:r>
    </w:p>
    <w:p w:rsidR="00FB3E03" w:rsidRDefault="00FB3E03" w:rsidP="004A3FCA">
      <w:pPr>
        <w:spacing w:after="80" w:line="360" w:lineRule="auto"/>
        <w:ind w:right="-93"/>
        <w:jc w:val="both"/>
        <w:rPr>
          <w:rFonts w:ascii="Palatino Linotype" w:eastAsia="Palatino Linotype" w:hAnsi="Palatino Linotype" w:cs="Palatino Linotype"/>
        </w:rPr>
      </w:pPr>
    </w:p>
    <w:p w:rsidR="004A3FCA" w:rsidRDefault="004A3FCA" w:rsidP="004A3FCA">
      <w:pPr>
        <w:spacing w:after="8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Ahora bien</w:t>
      </w:r>
      <w:r w:rsidR="007A69A9">
        <w:rPr>
          <w:rFonts w:ascii="Palatino Linotype" w:eastAsia="Palatino Linotype" w:hAnsi="Palatino Linotype" w:cs="Palatino Linotype"/>
        </w:rPr>
        <w:t>, derivado de un análisis al requerimiento de información, se advirtió que se requieren li</w:t>
      </w:r>
      <w:r w:rsidR="007A69A9">
        <w:rPr>
          <w:rFonts w:ascii="Palatino Linotype" w:eastAsia="Palatino Linotype" w:hAnsi="Palatino Linotype" w:cs="Palatino Linotype"/>
        </w:rPr>
        <w:t>cencias de funcionamiento expedidas por la Administración Pública municipal a propiedades de la propia administración municipal, por lo que, no se trata de un tema de incompetencia debido a que la información fue solicitada al Instituto Municipal de Cultur</w:t>
      </w:r>
      <w:r w:rsidR="007A69A9">
        <w:rPr>
          <w:rFonts w:ascii="Palatino Linotype" w:eastAsia="Palatino Linotype" w:hAnsi="Palatino Linotype" w:cs="Palatino Linotype"/>
        </w:rPr>
        <w:t>a Física y Deporte de Toluca y debía solicitarse al Ayuntamiento, sino que, más bien, se trata de información de la  en la resolución no se advierte fuente obligación que constriña al Sujeto Obligado para generar, poseer o administrar la documentación soli</w:t>
      </w:r>
      <w:r w:rsidR="007A69A9">
        <w:rPr>
          <w:rFonts w:ascii="Palatino Linotype" w:eastAsia="Palatino Linotype" w:hAnsi="Palatino Linotype" w:cs="Palatino Linotype"/>
        </w:rPr>
        <w:t xml:space="preserve">citada tanto el Instituto Municipal </w:t>
      </w:r>
      <w:r>
        <w:rPr>
          <w:rFonts w:ascii="Palatino Linotype" w:eastAsia="Palatino Linotype" w:hAnsi="Palatino Linotype" w:cs="Palatino Linotype"/>
        </w:rPr>
        <w:t>como el Ayuntamiento de Toluca.</w:t>
      </w:r>
    </w:p>
    <w:p w:rsidR="004A3FCA" w:rsidRDefault="004A3FCA" w:rsidP="004A3FCA">
      <w:pPr>
        <w:spacing w:after="80" w:line="360" w:lineRule="auto"/>
        <w:ind w:right="-93"/>
        <w:jc w:val="both"/>
        <w:rPr>
          <w:rFonts w:ascii="Palatino Linotype" w:eastAsia="Palatino Linotype" w:hAnsi="Palatino Linotype" w:cs="Palatino Linotype"/>
        </w:rPr>
      </w:pPr>
    </w:p>
    <w:p w:rsidR="004A3FCA" w:rsidRPr="004A3FCA" w:rsidRDefault="004A3FCA" w:rsidP="004A3FCA">
      <w:pPr>
        <w:spacing w:after="8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De ello, cabe recalcar que, </w:t>
      </w:r>
      <w:r>
        <w:rPr>
          <w:rFonts w:ascii="Palatino Linotype" w:eastAsia="Palatino Linotype" w:hAnsi="Palatino Linotype" w:cs="Palatino Linotype"/>
          <w:color w:val="000000"/>
        </w:rPr>
        <w:t>en lo que respecta a l</w:t>
      </w:r>
      <w:r>
        <w:rPr>
          <w:rFonts w:ascii="Palatino Linotype" w:eastAsia="Palatino Linotype" w:hAnsi="Palatino Linotype" w:cs="Palatino Linotype"/>
          <w:color w:val="000000"/>
        </w:rPr>
        <w:t xml:space="preserve">as licencias de funcionamiento; </w:t>
      </w:r>
      <w:r>
        <w:rPr>
          <w:rFonts w:ascii="Palatino Linotype" w:eastAsia="Palatino Linotype" w:hAnsi="Palatino Linotype" w:cs="Palatino Linotype"/>
        </w:rPr>
        <w:t>Eduardo López Sosa, Natalia López Sosa. (2014). “Derecho Administrativo Mexicano”. (p. 262), establece que la autorización, la licencia, o el permiso es el acto administrativo por medio de los cuales se otorga a un particular, por un órgano administrativo, la facultad o el derecho para realizar una actividad o para hacer alguna cosa.</w:t>
      </w:r>
    </w:p>
    <w:p w:rsidR="004A3FCA" w:rsidRDefault="004A3FCA" w:rsidP="004A3FCA">
      <w:pPr>
        <w:widowControl w:val="0"/>
        <w:tabs>
          <w:tab w:val="center" w:pos="4522"/>
        </w:tabs>
        <w:spacing w:after="0" w:line="360" w:lineRule="auto"/>
        <w:rPr>
          <w:rFonts w:ascii="Palatino Linotype" w:eastAsia="Palatino Linotype" w:hAnsi="Palatino Linotype" w:cs="Palatino Linotype"/>
        </w:rPr>
      </w:pPr>
    </w:p>
    <w:p w:rsidR="004A3FCA" w:rsidRDefault="004A3FCA" w:rsidP="004A3FCA">
      <w:pPr>
        <w:widowControl w:val="0"/>
        <w:tabs>
          <w:tab w:val="center" w:pos="452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dichos documentos, el artículo 31, fracciones, XXIV Quáter y XLIV, de la Ley Orgánica Municipal el Estado de México, establece que los Ayuntamientos son los encargados de otorgar licencias para el funcionamiento de unidades económicas; así como, de crear el </w:t>
      </w:r>
      <w:r>
        <w:rPr>
          <w:rFonts w:ascii="Palatino Linotype" w:eastAsia="Palatino Linotype" w:hAnsi="Palatino Linotype" w:cs="Palatino Linotype"/>
        </w:rPr>
        <w:lastRenderedPageBreak/>
        <w:t>Registro Municipal de Unidades Económicas, donde se especifique la licencia de funcionamiento y las características que se determinen convenientes.</w:t>
      </w:r>
    </w:p>
    <w:p w:rsidR="004A3FCA" w:rsidRDefault="004A3FCA" w:rsidP="004A3FCA">
      <w:pPr>
        <w:widowControl w:val="0"/>
        <w:tabs>
          <w:tab w:val="center" w:pos="4522"/>
        </w:tabs>
        <w:spacing w:after="0" w:line="360" w:lineRule="auto"/>
        <w:jc w:val="both"/>
        <w:rPr>
          <w:rFonts w:ascii="Palatino Linotype" w:eastAsia="Palatino Linotype" w:hAnsi="Palatino Linotype" w:cs="Palatino Linotype"/>
        </w:rPr>
      </w:pPr>
    </w:p>
    <w:p w:rsidR="004A3FCA" w:rsidRDefault="004A3FCA" w:rsidP="004A3FCA">
      <w:pPr>
        <w:widowControl w:val="0"/>
        <w:tabs>
          <w:tab w:val="center" w:pos="452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Para lograr lo anterior, los Ayuntamientos contarán con un Director de Desarrollo Económico o equivalente que impulsa la simplificación de trámites y reducción de plazos para el otorgamiento de permisos, </w:t>
      </w:r>
      <w:r>
        <w:rPr>
          <w:rFonts w:ascii="Palatino Linotype" w:eastAsia="Palatino Linotype" w:hAnsi="Palatino Linotype" w:cs="Palatino Linotype"/>
          <w:b/>
        </w:rPr>
        <w:t>licencias</w:t>
      </w:r>
      <w:r>
        <w:rPr>
          <w:rFonts w:ascii="Palatino Linotype" w:eastAsia="Palatino Linotype" w:hAnsi="Palatino Linotype" w:cs="Palatino Linotype"/>
        </w:rPr>
        <w:t xml:space="preserve"> y autorizaciones del orden municipal, así como de operar y actualizar el Registro Municipal de Unidades Económicas de los permisos o licencias de funcionamiento otorgadas, de conformidad con el artículo 96 Quáter de la Ley señalada en el párrafo anterior, como se advierte a continuación:</w:t>
      </w:r>
    </w:p>
    <w:p w:rsidR="004A3FCA" w:rsidRDefault="004A3FCA" w:rsidP="004A3FCA">
      <w:pPr>
        <w:widowControl w:val="0"/>
        <w:tabs>
          <w:tab w:val="center" w:pos="4522"/>
        </w:tabs>
        <w:spacing w:after="0" w:line="360" w:lineRule="auto"/>
        <w:jc w:val="both"/>
        <w:rPr>
          <w:rFonts w:ascii="Palatino Linotype" w:eastAsia="Palatino Linotype" w:hAnsi="Palatino Linotype" w:cs="Palatino Linotype"/>
        </w:rPr>
      </w:pPr>
    </w:p>
    <w:p w:rsidR="004A3FCA" w:rsidRDefault="004A3FCA" w:rsidP="004A3FCA">
      <w:pPr>
        <w:widowControl w:val="0"/>
        <w:tabs>
          <w:tab w:val="center" w:pos="4522"/>
        </w:tabs>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96 Quáter.-</w:t>
      </w:r>
      <w:r>
        <w:rPr>
          <w:rFonts w:ascii="Palatino Linotype" w:eastAsia="Palatino Linotype" w:hAnsi="Palatino Linotype" w:cs="Palatino Linotype"/>
          <w:i/>
        </w:rPr>
        <w:t xml:space="preserve"> El Titular de la Dirección de Desarrollo Económico Municipal o el Titular de la Unidad Administrativa equivalente, tiene las siguientes atribuciones:</w:t>
      </w:r>
    </w:p>
    <w:p w:rsidR="004A3FCA" w:rsidRDefault="004A3FCA" w:rsidP="004A3FCA">
      <w:pPr>
        <w:widowControl w:val="0"/>
        <w:tabs>
          <w:tab w:val="center" w:pos="4522"/>
        </w:tabs>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II Bis. Impulsar y difundir la simplificación de trámites y reducción de plazos para el otorgamiento de permisos, licencias y autorizaciones del orden municipal, de conformidad con la Ley para la Mejora Regulatoria del Estado de México y Municipios, la Ley de Competitividad y Ordenamiento Comercial del Estado de México, la Ley de Fomento Económico del Estado de México, sus respectivos reglamentos y demás disposiciones jurídicas aplicables;</w:t>
      </w:r>
    </w:p>
    <w:p w:rsidR="004A3FCA" w:rsidRDefault="004A3FCA" w:rsidP="004A3FCA">
      <w:pPr>
        <w:widowControl w:val="0"/>
        <w:tabs>
          <w:tab w:val="center" w:pos="4522"/>
        </w:tabs>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rsidR="004A3FCA" w:rsidRDefault="004A3FCA" w:rsidP="004A3FCA">
      <w:pPr>
        <w:widowControl w:val="0"/>
        <w:tabs>
          <w:tab w:val="center" w:pos="4522"/>
        </w:tabs>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XIX. Operar y actualizar el Registro Municipal de Unidades Económicas de los permisos o licencias de funcionamiento otorgadas a las unidades económicas respectivas, así como remitir dentro de los cinco días hábiles siguientes los datos generados al Sistema que al efecto integre la Secretaría de Desarrollo Económico, a la Secretaría de Seguridad y a la Fiscalía General de Justicia del Estado de México, la información respectiva; XX. Crear y actualizar el Registro de las Unidades Económicas que cuenten con el Dictamen de Giro, para la solicitud o refrendo de las licencias de funcionamiento;</w:t>
      </w:r>
    </w:p>
    <w:p w:rsidR="004A3FCA" w:rsidRDefault="004A3FCA" w:rsidP="004A3FCA">
      <w:pPr>
        <w:widowControl w:val="0"/>
        <w:tabs>
          <w:tab w:val="center" w:pos="4522"/>
        </w:tabs>
        <w:spacing w:after="0"/>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rsidR="004A3FCA" w:rsidRDefault="004A3FCA" w:rsidP="004A3FCA">
      <w:pPr>
        <w:widowControl w:val="0"/>
        <w:tabs>
          <w:tab w:val="center" w:pos="4522"/>
        </w:tabs>
        <w:spacing w:after="0"/>
        <w:ind w:left="567" w:right="560"/>
        <w:jc w:val="both"/>
        <w:rPr>
          <w:rFonts w:ascii="Palatino Linotype" w:eastAsia="Palatino Linotype" w:hAnsi="Palatino Linotype" w:cs="Palatino Linotype"/>
          <w:i/>
        </w:rPr>
      </w:pPr>
    </w:p>
    <w:p w:rsidR="004A3FCA" w:rsidRDefault="004A3FCA" w:rsidP="004A3FCA">
      <w:pPr>
        <w:widowControl w:val="0"/>
        <w:tabs>
          <w:tab w:val="center" w:pos="452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ese sentido, en el artículo 2°, fracciones XV y XXXVIII, 5°, fracción X, 7°, fracción V, 15, 16 y 33 de la Ley de Competitividad y Ordenamiento Comercial del Estado de México, establece que la licencia de funcionamiento, es el acto administrativo emitido por los Municipios, a través de la Ventanilla Única, a través del cual se autoriza a una persona física o jurídica colectiva a desarrollar actividades económicas de bajo impacto, entre las que se encuentran la intermediación, compraventa, arredramiento, distribución de bienes o prestación de servicios comerciales.</w:t>
      </w:r>
    </w:p>
    <w:p w:rsidR="004A3FCA" w:rsidRDefault="004A3FCA" w:rsidP="004A3FCA">
      <w:pPr>
        <w:widowControl w:val="0"/>
        <w:tabs>
          <w:tab w:val="center" w:pos="4522"/>
        </w:tabs>
        <w:spacing w:after="0" w:line="360" w:lineRule="auto"/>
        <w:jc w:val="both"/>
        <w:rPr>
          <w:rFonts w:ascii="Palatino Linotype" w:eastAsia="Palatino Linotype" w:hAnsi="Palatino Linotype" w:cs="Palatino Linotype"/>
        </w:rPr>
      </w:pPr>
    </w:p>
    <w:p w:rsidR="004A3FCA" w:rsidRDefault="004A3FCA" w:rsidP="004A3FCA">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efecto de lo anterior, conviene citar el contenido de los siguientes artículos 2, fracciones XV, 4 fracción VIII, 7 fracción V, 16 fracción II y 66 de la Ley de Competitividad y Ordenamiento Comercial del Estado de México, que a la letra disponen lo siguiente:</w:t>
      </w:r>
    </w:p>
    <w:p w:rsidR="004A3FCA" w:rsidRDefault="004A3FCA" w:rsidP="004A3FCA">
      <w:pPr>
        <w:spacing w:after="0" w:line="360" w:lineRule="auto"/>
        <w:jc w:val="both"/>
        <w:rPr>
          <w:rFonts w:ascii="Palatino Linotype" w:eastAsia="Palatino Linotype" w:hAnsi="Palatino Linotype" w:cs="Palatino Linotype"/>
        </w:rPr>
      </w:pPr>
    </w:p>
    <w:p w:rsidR="004A3FCA" w:rsidRDefault="004A3FCA" w:rsidP="004A3FCA">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“Artículo 2. Para los efectos de esta Ley, se entenderá por:</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XV. Licencia de funcionamiento:</w:t>
      </w:r>
      <w:r>
        <w:rPr>
          <w:rFonts w:ascii="Palatino Linotype" w:eastAsia="Palatino Linotype" w:hAnsi="Palatino Linotype" w:cs="Palatino Linotype"/>
          <w:i/>
        </w:rPr>
        <w:t xml:space="preserve"> Al acto administrativo que emite la autoridad, por el cual autoriza a una persona física o jurídica colectiva a desarrollar actividades económicas.</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rsidR="004A3FCA" w:rsidRDefault="004A3FCA" w:rsidP="004A3FCA">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Artículo 4. Son autoridades encargadas de la aplicación de esta Ley las siguientes:</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VIII. Ayuntamientos.</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rsidR="004A3FCA" w:rsidRDefault="004A3FCA" w:rsidP="004A3FCA">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Artículo 7. Corresponde a los municipios:</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V</w:t>
      </w:r>
      <w:r>
        <w:rPr>
          <w:rFonts w:ascii="Palatino Linotype" w:eastAsia="Palatino Linotype" w:hAnsi="Palatino Linotype" w:cs="Palatino Linotype"/>
          <w:b/>
          <w:i/>
        </w:rPr>
        <w:t>. Resguardar y actualizar el archivo físico y digital con los documentos requeridos por las leyes para la expedición y refrendo de las licencias correspondientes.</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Artículo 16. Las ventanillas, en los diferentes ámbitos de su competencia, gestionarán los trámites siguientes:</w:t>
      </w:r>
      <w:r>
        <w:rPr>
          <w:rFonts w:ascii="Palatino Linotype" w:eastAsia="Palatino Linotype" w:hAnsi="Palatino Linotype" w:cs="Palatino Linotype"/>
          <w:i/>
        </w:rPr>
        <w:t xml:space="preserve"> </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rsidR="004A3FCA" w:rsidRDefault="004A3FCA" w:rsidP="004A3FCA">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II. Licencias</w:t>
      </w:r>
    </w:p>
    <w:p w:rsidR="004A3FCA" w:rsidRDefault="004A3FCA" w:rsidP="004A3FCA">
      <w:pPr>
        <w:spacing w:after="0" w:line="240" w:lineRule="auto"/>
        <w:ind w:left="567" w:right="560"/>
        <w:jc w:val="center"/>
        <w:rPr>
          <w:rFonts w:ascii="Palatino Linotype" w:eastAsia="Palatino Linotype" w:hAnsi="Palatino Linotype" w:cs="Palatino Linotype"/>
          <w:b/>
          <w:i/>
        </w:rPr>
      </w:pPr>
      <w:r>
        <w:rPr>
          <w:rFonts w:ascii="Palatino Linotype" w:eastAsia="Palatino Linotype" w:hAnsi="Palatino Linotype" w:cs="Palatino Linotype"/>
          <w:b/>
          <w:i/>
        </w:rPr>
        <w:t>“DE LOS REQUISITOS PARA OBTENER PERMISO O LICENCIA DE FUNCIONAMIENTO PARA LAS UNIDADES ECONÓMICAS DE MEDIANO Y ALTO IMPACTO</w:t>
      </w:r>
    </w:p>
    <w:p w:rsidR="004A3FCA" w:rsidRDefault="004A3FCA" w:rsidP="004A3FCA">
      <w:pPr>
        <w:spacing w:after="0" w:line="240"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Artículo 66. Para la obtención de un permiso o licencia de funcionamiento, los solicitantes o representante legal tendrán que cumplir los requisitos siguientes:</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I. Solicitud en la que se señale la razón social del solicitante, así como domicilio para oír y recibir notificaciones y dirección de correo electrónico para los efectos de esta Ley. En caso de que el solicitante sea persona física se cotejarán los datos de la credencial para votar con fotografía. </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II. Actividad económica que se pretende operar. </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III. Datos de la licencia de uso del suelo que señale el permitido para la actividad económica que se pretende operar. </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IV. Que cuenta con los cajones de estacionamiento que determine la autoridad correspondiente. </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V. La capacidad de aforo respectiva. </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VI. Dar cuenta del programa interno de protección civil. </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VII. Dictamen de Giro o permiso, en su caso, emitido por la autoridad municipal. </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VIII. Para el caso de las unidades económicas de alto impacto deberá manifestar que cuenta con el sistema de seguridad a que hace referencia esta Ley. </w:t>
      </w:r>
    </w:p>
    <w:p w:rsidR="004A3FCA" w:rsidRDefault="004A3FCA" w:rsidP="004A3FCA">
      <w:pP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Una vez cubiertos los requisitos señalados en el presente artículo y en caso de ser procedente el permiso o licencia de funcionamiento, la autoridad hará del conocimiento al solicitante o representante legal el monto a cubrir por los derechos correspondientes, una vez cubiertos se otorgará el permiso o licencia de funcionamiento.”</w:t>
      </w:r>
    </w:p>
    <w:p w:rsidR="004A3FCA" w:rsidRDefault="004A3FCA" w:rsidP="004A3FCA">
      <w:pPr>
        <w:spacing w:after="0" w:line="240" w:lineRule="auto"/>
        <w:ind w:left="567" w:right="560"/>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rsidR="004A3FCA" w:rsidRDefault="004A3FCA" w:rsidP="004A3FCA">
      <w:pPr>
        <w:spacing w:after="0" w:line="360" w:lineRule="auto"/>
        <w:jc w:val="both"/>
        <w:rPr>
          <w:rFonts w:ascii="Palatino Linotype" w:eastAsia="Palatino Linotype" w:hAnsi="Palatino Linotype" w:cs="Palatino Linotype"/>
        </w:rPr>
      </w:pPr>
    </w:p>
    <w:p w:rsidR="004A3FCA" w:rsidRPr="007A69A9" w:rsidRDefault="004A3FCA" w:rsidP="007A69A9">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las porciones legales citadas, se desprende que una licencia de funcionamiento es un acto administrativo que emite la autoridad, por el cual autoriza a una persona física o jurídica colectiva a desarrollar actividades económicas.</w:t>
      </w:r>
    </w:p>
    <w:p w:rsidR="00FB3E03" w:rsidRDefault="007A69A9" w:rsidP="004A3FCA">
      <w:pPr>
        <w:spacing w:after="8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esto, </w:t>
      </w:r>
      <w:r>
        <w:rPr>
          <w:rFonts w:ascii="Palatino Linotype" w:eastAsia="Palatino Linotype" w:hAnsi="Palatino Linotype" w:cs="Palatino Linotype"/>
          <w:b/>
        </w:rPr>
        <w:t>no se advierte</w:t>
      </w:r>
      <w:r>
        <w:rPr>
          <w:rFonts w:ascii="Palatino Linotype" w:eastAsia="Palatino Linotype" w:hAnsi="Palatino Linotype" w:cs="Palatino Linotype"/>
        </w:rPr>
        <w:t xml:space="preserve"> normativa que constriña al Ayuntamiento de Toluca a expedir licencias de funcionamientos a inmuebles propiedad del Ayuntamiento, sino que, estos únicamente se expiden a particulares. </w:t>
      </w: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7A69A9" w:rsidP="004A3FCA">
      <w:pPr>
        <w:spacing w:after="8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De tal manera que, se considera que la Ponencia resolutora debió analizar la fuente obligacional que permita tener la certeza de la expedición de licencias de funcionamiento a propiedades del ayuntamiento, para determinar la procedencia de la declinación d</w:t>
      </w:r>
      <w:r>
        <w:rPr>
          <w:rFonts w:ascii="Palatino Linotype" w:eastAsia="Palatino Linotype" w:hAnsi="Palatino Linotype" w:cs="Palatino Linotype"/>
        </w:rPr>
        <w:t xml:space="preserve">e competencia por parte del Sujeto Obligado y, en su caso, SOBRESEER el presente asunto. </w:t>
      </w:r>
    </w:p>
    <w:p w:rsidR="00FB3E03" w:rsidRDefault="00FB3E03" w:rsidP="004A3FCA">
      <w:pPr>
        <w:spacing w:after="80" w:line="360" w:lineRule="auto"/>
        <w:ind w:right="-93"/>
        <w:jc w:val="both"/>
        <w:rPr>
          <w:rFonts w:ascii="Palatino Linotype" w:eastAsia="Palatino Linotype" w:hAnsi="Palatino Linotype" w:cs="Palatino Linotype"/>
        </w:rPr>
      </w:pPr>
      <w:bookmarkStart w:id="3" w:name="_GoBack"/>
      <w:bookmarkEnd w:id="3"/>
    </w:p>
    <w:p w:rsidR="00FB3E03" w:rsidRDefault="007A69A9" w:rsidP="004A3FCA">
      <w:pPr>
        <w:spacing w:after="8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es que emito el presente Voto Particular. </w:t>
      </w: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spacing w:after="80" w:line="360" w:lineRule="auto"/>
        <w:ind w:right="-93"/>
        <w:jc w:val="both"/>
        <w:rPr>
          <w:rFonts w:ascii="Palatino Linotype" w:eastAsia="Palatino Linotype" w:hAnsi="Palatino Linotype" w:cs="Palatino Linotype"/>
        </w:rPr>
      </w:pPr>
    </w:p>
    <w:p w:rsidR="00FB3E03" w:rsidRDefault="00FB3E03" w:rsidP="004A3FCA">
      <w:pPr>
        <w:tabs>
          <w:tab w:val="left" w:pos="4962"/>
        </w:tabs>
        <w:spacing w:before="240" w:after="240" w:line="360" w:lineRule="auto"/>
        <w:jc w:val="both"/>
        <w:rPr>
          <w:rFonts w:ascii="Palatino Linotype" w:eastAsia="Palatino Linotype" w:hAnsi="Palatino Linotype" w:cs="Palatino Linotype"/>
        </w:rPr>
      </w:pPr>
    </w:p>
    <w:p w:rsidR="00FB3E03" w:rsidRDefault="00FB3E03" w:rsidP="004A3FCA">
      <w:pPr>
        <w:tabs>
          <w:tab w:val="left" w:pos="4962"/>
        </w:tabs>
        <w:spacing w:before="240" w:after="240" w:line="360" w:lineRule="auto"/>
        <w:jc w:val="both"/>
        <w:rPr>
          <w:rFonts w:ascii="Palatino Linotype" w:eastAsia="Palatino Linotype" w:hAnsi="Palatino Linotype" w:cs="Palatino Linotype"/>
        </w:rPr>
      </w:pPr>
    </w:p>
    <w:p w:rsidR="00FB3E03" w:rsidRDefault="00FB3E03" w:rsidP="004A3FCA">
      <w:pPr>
        <w:tabs>
          <w:tab w:val="left" w:pos="4962"/>
        </w:tabs>
        <w:spacing w:before="240" w:after="240" w:line="360" w:lineRule="auto"/>
        <w:jc w:val="both"/>
        <w:rPr>
          <w:rFonts w:ascii="Palatino Linotype" w:eastAsia="Palatino Linotype" w:hAnsi="Palatino Linotype" w:cs="Palatino Linotype"/>
        </w:rPr>
      </w:pPr>
    </w:p>
    <w:p w:rsidR="00FB3E03" w:rsidRDefault="00FB3E03" w:rsidP="004A3FCA">
      <w:pPr>
        <w:tabs>
          <w:tab w:val="left" w:pos="4962"/>
        </w:tabs>
        <w:spacing w:before="240" w:after="240" w:line="360" w:lineRule="auto"/>
        <w:jc w:val="both"/>
        <w:rPr>
          <w:rFonts w:ascii="Palatino Linotype" w:eastAsia="Palatino Linotype" w:hAnsi="Palatino Linotype" w:cs="Palatino Linotype"/>
        </w:rPr>
      </w:pPr>
    </w:p>
    <w:sectPr w:rsidR="00FB3E03">
      <w:headerReference w:type="default" r:id="rId9"/>
      <w:footerReference w:type="default" r:id="rId10"/>
      <w:pgSz w:w="12240" w:h="15840"/>
      <w:pgMar w:top="1871" w:right="1325"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A69A9">
      <w:pPr>
        <w:spacing w:after="0" w:line="240" w:lineRule="auto"/>
      </w:pPr>
      <w:r>
        <w:separator/>
      </w:r>
    </w:p>
  </w:endnote>
  <w:endnote w:type="continuationSeparator" w:id="0">
    <w:p w:rsidR="00000000" w:rsidRDefault="007A6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03" w:rsidRDefault="007A69A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4A3FCA">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4A3FCA">
      <w:rPr>
        <w:rFonts w:ascii="Arial" w:eastAsia="Arial" w:hAnsi="Arial" w:cs="Arial"/>
        <w:b/>
        <w:color w:val="000000"/>
        <w:sz w:val="20"/>
        <w:szCs w:val="20"/>
      </w:rPr>
      <w:fldChar w:fldCharType="separate"/>
    </w:r>
    <w:r>
      <w:rPr>
        <w:rFonts w:ascii="Arial" w:eastAsia="Arial" w:hAnsi="Arial" w:cs="Arial"/>
        <w:b/>
        <w:noProof/>
        <w:color w:val="000000"/>
        <w:sz w:val="20"/>
        <w:szCs w:val="20"/>
      </w:rPr>
      <w:t>11</w:t>
    </w:r>
    <w:r>
      <w:rPr>
        <w:rFonts w:ascii="Arial" w:eastAsia="Arial" w:hAnsi="Arial" w:cs="Arial"/>
        <w:b/>
        <w:color w:val="000000"/>
        <w:sz w:val="20"/>
        <w:szCs w:val="20"/>
      </w:rPr>
      <w:fldChar w:fldCharType="end"/>
    </w:r>
  </w:p>
  <w:p w:rsidR="00FB3E03" w:rsidRDefault="00FB3E0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A69A9">
      <w:pPr>
        <w:spacing w:after="0" w:line="240" w:lineRule="auto"/>
      </w:pPr>
      <w:r>
        <w:separator/>
      </w:r>
    </w:p>
  </w:footnote>
  <w:footnote w:type="continuationSeparator" w:id="0">
    <w:p w:rsidR="00000000" w:rsidRDefault="007A6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03" w:rsidRDefault="007A69A9">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-1171563</wp:posOffset>
          </wp:positionH>
          <wp:positionV relativeFrom="paragraph">
            <wp:posOffset>-486396</wp:posOffset>
          </wp:positionV>
          <wp:extent cx="7510628" cy="988377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FB3E03" w:rsidRDefault="007A69A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FB3E03" w:rsidRDefault="007A69A9">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01930/INFOEM/IP/RR/2025</w:t>
    </w:r>
  </w:p>
  <w:p w:rsidR="00FB3E03" w:rsidRDefault="007A69A9">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Pr>
        <w:rFonts w:ascii="Palatino Linotype" w:eastAsia="Palatino Linotype" w:hAnsi="Palatino Linotype" w:cs="Palatino Linotype"/>
        <w:b/>
      </w:rPr>
      <w:t>Instituto Municipal de Cultura Física y Deporte de Toluca</w:t>
    </w:r>
  </w:p>
  <w:p w:rsidR="00FB3E03" w:rsidRDefault="007A69A9">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 José Martínez Vilchis</w:t>
    </w:r>
  </w:p>
  <w:p w:rsidR="00FB3E03" w:rsidRDefault="00FB3E0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4516109"/>
    <w:multiLevelType w:val="multilevel"/>
    <w:tmpl w:val="D422AAB0"/>
    <w:lvl w:ilvl="0">
      <w:start w:val="1"/>
      <w:numFmt w:val="decimal"/>
      <w:lvlText w:val="%1."/>
      <w:lvlJc w:val="left"/>
      <w:pPr>
        <w:ind w:left="1271" w:hanging="360"/>
      </w:pPr>
      <w:rPr>
        <w:u w:val="none"/>
      </w:rPr>
    </w:lvl>
    <w:lvl w:ilvl="1">
      <w:start w:val="1"/>
      <w:numFmt w:val="lowerLetter"/>
      <w:lvlText w:val="%2."/>
      <w:lvlJc w:val="left"/>
      <w:pPr>
        <w:ind w:left="1991" w:hanging="360"/>
      </w:pPr>
    </w:lvl>
    <w:lvl w:ilvl="2">
      <w:start w:val="1"/>
      <w:numFmt w:val="lowerRoman"/>
      <w:lvlText w:val="%3."/>
      <w:lvlJc w:val="right"/>
      <w:pPr>
        <w:ind w:left="2711" w:hanging="180"/>
      </w:pPr>
    </w:lvl>
    <w:lvl w:ilvl="3">
      <w:start w:val="1"/>
      <w:numFmt w:val="decimal"/>
      <w:lvlText w:val="%4."/>
      <w:lvlJc w:val="left"/>
      <w:pPr>
        <w:ind w:left="3431" w:hanging="360"/>
      </w:pPr>
    </w:lvl>
    <w:lvl w:ilvl="4">
      <w:start w:val="1"/>
      <w:numFmt w:val="lowerLetter"/>
      <w:lvlText w:val="%5."/>
      <w:lvlJc w:val="left"/>
      <w:pPr>
        <w:ind w:left="4151" w:hanging="360"/>
      </w:pPr>
    </w:lvl>
    <w:lvl w:ilvl="5">
      <w:start w:val="1"/>
      <w:numFmt w:val="lowerRoman"/>
      <w:lvlText w:val="%6."/>
      <w:lvlJc w:val="right"/>
      <w:pPr>
        <w:ind w:left="4871" w:hanging="180"/>
      </w:pPr>
    </w:lvl>
    <w:lvl w:ilvl="6">
      <w:start w:val="1"/>
      <w:numFmt w:val="decimal"/>
      <w:lvlText w:val="%7."/>
      <w:lvlJc w:val="left"/>
      <w:pPr>
        <w:ind w:left="5591" w:hanging="360"/>
      </w:pPr>
    </w:lvl>
    <w:lvl w:ilvl="7">
      <w:start w:val="1"/>
      <w:numFmt w:val="lowerLetter"/>
      <w:lvlText w:val="%8."/>
      <w:lvlJc w:val="left"/>
      <w:pPr>
        <w:ind w:left="6311" w:hanging="360"/>
      </w:pPr>
    </w:lvl>
    <w:lvl w:ilvl="8">
      <w:start w:val="1"/>
      <w:numFmt w:val="lowerRoman"/>
      <w:lvlText w:val="%9."/>
      <w:lvlJc w:val="right"/>
      <w:pPr>
        <w:ind w:left="7031" w:hanging="180"/>
      </w:pPr>
    </w:lvl>
  </w:abstractNum>
  <w:abstractNum w:abstractNumId="2" w15:restartNumberingAfterBreak="0">
    <w:nsid w:val="432B007A"/>
    <w:multiLevelType w:val="multilevel"/>
    <w:tmpl w:val="002E210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03"/>
    <w:rsid w:val="004A3FCA"/>
    <w:rsid w:val="007A69A9"/>
    <w:rsid w:val="00FB3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5DCE0-34FE-4C39-8031-62666707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 w:type="paragraph" w:customStyle="1" w:styleId="INFOEM">
    <w:name w:val="INFOEM"/>
    <w:basedOn w:val="Normal"/>
    <w:qFormat/>
    <w:rsid w:val="00A4660D"/>
    <w:pPr>
      <w:spacing w:before="240" w:line="360" w:lineRule="auto"/>
      <w:ind w:left="851" w:right="851"/>
      <w:jc w:val="both"/>
    </w:pPr>
    <w:rPr>
      <w:rFonts w:ascii="Palatino Linotype" w:eastAsiaTheme="minorHAnsi" w:hAnsi="Palatino Linotype" w:cstheme="minorBidi"/>
      <w:i/>
      <w:szCs w:val="14"/>
      <w:lang w:val="es-MX" w:eastAsia="en-US"/>
    </w:rPr>
  </w:style>
  <w:style w:type="paragraph" w:styleId="Sinespaciado">
    <w:name w:val="No Spacing"/>
    <w:aliases w:val="Francesa,INAI"/>
    <w:link w:val="SinespaciadoCar"/>
    <w:uiPriority w:val="1"/>
    <w:qFormat/>
    <w:rsid w:val="00A4660D"/>
    <w:pPr>
      <w:spacing w:after="0" w:line="240" w:lineRule="auto"/>
    </w:pPr>
    <w:rPr>
      <w:rFonts w:asciiTheme="minorHAnsi" w:eastAsiaTheme="minorHAnsi" w:hAnsiTheme="minorHAnsi" w:cstheme="minorBidi"/>
      <w:lang w:val="es-MX" w:eastAsia="en-US"/>
    </w:rPr>
  </w:style>
  <w:style w:type="character" w:customStyle="1" w:styleId="SinespaciadoCar">
    <w:name w:val="Sin espaciado Car"/>
    <w:aliases w:val="Francesa Car,INAI Car"/>
    <w:link w:val="Sinespaciado"/>
    <w:uiPriority w:val="1"/>
    <w:locked/>
    <w:rsid w:val="00A4660D"/>
    <w:rPr>
      <w:rFonts w:asciiTheme="minorHAnsi" w:eastAsiaTheme="minorHAnsi" w:hAnsiTheme="minorHAnsi" w:cstheme="minorBidi"/>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JSZMZCSrVXasWpAdm2Fk01H0xA==">CgMxLjAyCGguZ2pkZ3hzMgloLjMwajB6bGwyCWguMWZvYjl0ZTgAciExNVNkaFlQZE5DYnU2QlZkbHRwZVN6ODh5Mk5rNmFwcVY=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2295</Words>
  <Characters>12627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Infoem590</cp:lastModifiedBy>
  <cp:revision>2</cp:revision>
  <dcterms:created xsi:type="dcterms:W3CDTF">2025-04-07T16:49:00Z</dcterms:created>
  <dcterms:modified xsi:type="dcterms:W3CDTF">2025-04-07T16:49:00Z</dcterms:modified>
</cp:coreProperties>
</file>