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E2D0" w14:textId="29F6745B"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526443">
        <w:rPr>
          <w:rFonts w:ascii="Palatino Linotype" w:eastAsia="Palatino Linotype" w:hAnsi="Palatino Linotype" w:cs="Palatino Linotype"/>
          <w:b/>
        </w:rPr>
        <w:t>VIGÉSIMA</w:t>
      </w:r>
      <w:r w:rsidR="00F72F47">
        <w:rPr>
          <w:rFonts w:ascii="Palatino Linotype" w:eastAsia="Palatino Linotype" w:hAnsi="Palatino Linotype" w:cs="Palatino Linotype"/>
          <w:b/>
        </w:rPr>
        <w:t xml:space="preserve"> SESIÓN ORDINARIA DEL </w:t>
      </w:r>
      <w:r w:rsidR="00526443">
        <w:rPr>
          <w:rFonts w:ascii="Palatino Linotype" w:eastAsia="Palatino Linotype" w:hAnsi="Palatino Linotype" w:cs="Palatino Linotype"/>
          <w:b/>
        </w:rPr>
        <w:t>CUATRO DE JUNIO</w:t>
      </w:r>
      <w:r>
        <w:rPr>
          <w:rFonts w:ascii="Palatino Linotype" w:eastAsia="Palatino Linotype" w:hAnsi="Palatino Linotype" w:cs="Palatino Linotype"/>
          <w:b/>
        </w:rPr>
        <w:t xml:space="preserve"> DE DOS MIL VEINTICINCO, EN EL RECURSO DE REVISIÓN </w:t>
      </w:r>
      <w:r w:rsidR="00FE38D5" w:rsidRPr="00FE38D5">
        <w:rPr>
          <w:rFonts w:ascii="Palatino Linotype" w:eastAsia="Palatino Linotype" w:hAnsi="Palatino Linotype" w:cs="Palatino Linotype"/>
          <w:b/>
        </w:rPr>
        <w:t>0</w:t>
      </w:r>
      <w:r w:rsidR="00FA7EE9">
        <w:rPr>
          <w:rFonts w:ascii="Palatino Linotype" w:eastAsia="Palatino Linotype" w:hAnsi="Palatino Linotype" w:cs="Palatino Linotype"/>
          <w:b/>
        </w:rPr>
        <w:t>2950</w:t>
      </w:r>
      <w:r w:rsidR="00FE38D5" w:rsidRPr="00FE38D5">
        <w:rPr>
          <w:rFonts w:ascii="Palatino Linotype" w:eastAsia="Palatino Linotype" w:hAnsi="Palatino Linotype" w:cs="Palatino Linotype"/>
          <w:b/>
        </w:rPr>
        <w:t>/INFOEM/IP/RR/2025</w:t>
      </w:r>
      <w:r>
        <w:rPr>
          <w:rFonts w:ascii="Palatino Linotype" w:eastAsia="Palatino Linotype" w:hAnsi="Palatino Linotype" w:cs="Palatino Linotype"/>
          <w:b/>
        </w:rPr>
        <w:t xml:space="preserve">. </w:t>
      </w:r>
    </w:p>
    <w:p w14:paraId="47A80121" w14:textId="40CF3DF6" w:rsidR="00600D3F" w:rsidRDefault="00665336">
      <w:pPr>
        <w:spacing w:after="80" w:line="360" w:lineRule="auto"/>
        <w:ind w:left="-567" w:right="-93"/>
        <w:jc w:val="both"/>
        <w:rPr>
          <w:rFonts w:ascii="Palatino Linotype" w:eastAsia="Palatino Linotype" w:hAnsi="Palatino Linotype" w:cs="Palatino Linotype"/>
        </w:rPr>
      </w:pPr>
      <w:bookmarkStart w:id="1" w:name="_heading=h.tyjcwt" w:colFirst="0" w:colLast="0"/>
      <w:bookmarkEnd w:id="1"/>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85108A">
        <w:rPr>
          <w:rFonts w:ascii="Palatino Linotype" w:eastAsia="Palatino Linotype" w:hAnsi="Palatino Linotype" w:cs="Palatino Linotype"/>
          <w:b/>
        </w:rPr>
        <w:t>0</w:t>
      </w:r>
      <w:r w:rsidR="00FA7EE9">
        <w:rPr>
          <w:rFonts w:ascii="Palatino Linotype" w:eastAsia="Palatino Linotype" w:hAnsi="Palatino Linotype" w:cs="Palatino Linotype"/>
          <w:b/>
        </w:rPr>
        <w:t>2950</w:t>
      </w:r>
      <w:r w:rsidR="00FE38D5" w:rsidRPr="00FE38D5">
        <w:rPr>
          <w:rFonts w:ascii="Palatino Linotype" w:eastAsia="Palatino Linotype" w:hAnsi="Palatino Linotype" w:cs="Palatino Linotype"/>
          <w:b/>
        </w:rPr>
        <w:t>/INFOEM/IP/RR/2025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3403857" w14:textId="77777777" w:rsidR="00142A4A" w:rsidRDefault="00142A4A">
      <w:pPr>
        <w:spacing w:after="80" w:line="360" w:lineRule="auto"/>
        <w:ind w:left="-567" w:right="-93"/>
        <w:jc w:val="both"/>
        <w:rPr>
          <w:rFonts w:ascii="Palatino Linotype" w:eastAsia="Palatino Linotype" w:hAnsi="Palatino Linotype" w:cs="Palatino Linotype"/>
        </w:rPr>
      </w:pPr>
    </w:p>
    <w:p w14:paraId="21BE23EB" w14:textId="77777777" w:rsidR="00600D3F" w:rsidRDefault="00665336">
      <w:pPr>
        <w:spacing w:after="80" w:line="360" w:lineRule="auto"/>
        <w:ind w:left="-567" w:right="-93"/>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1674BEB2" w14:textId="77777777" w:rsidR="00142A4A" w:rsidRDefault="00142A4A">
      <w:pPr>
        <w:spacing w:after="80" w:line="360" w:lineRule="auto"/>
        <w:ind w:left="-567" w:right="-93"/>
        <w:jc w:val="both"/>
        <w:rPr>
          <w:rFonts w:ascii="Palatino Linotype" w:eastAsia="Palatino Linotype" w:hAnsi="Palatino Linotype" w:cs="Palatino Linotype"/>
        </w:rPr>
      </w:pPr>
    </w:p>
    <w:p w14:paraId="17C481B7" w14:textId="77777777"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w:t>
      </w:r>
      <w:r>
        <w:rPr>
          <w:rFonts w:ascii="Palatino Linotype" w:eastAsia="Palatino Linotype" w:hAnsi="Palatino Linotype" w:cs="Palatino Linotype"/>
        </w:rPr>
        <w:lastRenderedPageBreak/>
        <w:t xml:space="preserve">sin importar el nivel o cargo y en cualquier documento que se encuentre vinculado con el cumplimiento de disposiciones legales debe ser pública. </w:t>
      </w:r>
    </w:p>
    <w:p w14:paraId="68B11528" w14:textId="77777777"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4B75B75D" w14:textId="77777777" w:rsidR="00FA7EE9" w:rsidRPr="00FA7EE9" w:rsidRDefault="00665336" w:rsidP="00FA7EE9">
      <w:pPr>
        <w:pStyle w:val="Prrafodelista"/>
        <w:autoSpaceDE w:val="0"/>
        <w:autoSpaceDN w:val="0"/>
        <w:adjustRightInd w:val="0"/>
        <w:spacing w:line="360" w:lineRule="auto"/>
        <w:ind w:left="720"/>
        <w:jc w:val="both"/>
        <w:rPr>
          <w:rFonts w:ascii="Calibri" w:hAnsi="Calibri" w:cs="Calibri"/>
          <w:color w:val="000000"/>
          <w:lang w:eastAsia="es-MX"/>
        </w:rPr>
      </w:pPr>
      <w:bookmarkStart w:id="3" w:name="_heading=h.1fob9te" w:colFirst="0" w:colLast="0"/>
      <w:bookmarkEnd w:id="3"/>
      <w:r w:rsidRPr="00DC2A88">
        <w:rPr>
          <w:rFonts w:ascii="Palatino Linotype" w:eastAsia="Palatino Linotype" w:hAnsi="Palatino Linotype" w:cs="Palatino Linotype"/>
          <w:i/>
        </w:rPr>
        <w:t>“…</w:t>
      </w:r>
    </w:p>
    <w:p w14:paraId="039FFCE8" w14:textId="16F8377F" w:rsidR="00FA7EE9" w:rsidRPr="00FA7EE9" w:rsidRDefault="00DD4F63" w:rsidP="00FA7EE9">
      <w:pPr>
        <w:pStyle w:val="Prrafodelista"/>
        <w:numPr>
          <w:ilvl w:val="0"/>
          <w:numId w:val="4"/>
        </w:numPr>
        <w:autoSpaceDE w:val="0"/>
        <w:autoSpaceDN w:val="0"/>
        <w:adjustRightInd w:val="0"/>
        <w:spacing w:line="276" w:lineRule="auto"/>
        <w:ind w:left="851" w:right="1133" w:firstLine="0"/>
        <w:jc w:val="both"/>
        <w:rPr>
          <w:rFonts w:ascii="Calibri" w:hAnsi="Calibri" w:cs="Calibri"/>
          <w:i/>
          <w:iCs/>
          <w:color w:val="000000"/>
          <w:sz w:val="22"/>
          <w:szCs w:val="22"/>
          <w:lang w:eastAsia="es-MX"/>
        </w:rPr>
      </w:pPr>
      <w:r w:rsidRPr="00FA7EE9">
        <w:rPr>
          <w:rFonts w:ascii="Palatino Linotype" w:eastAsia="Palatino Linotype" w:hAnsi="Palatino Linotype" w:cs="Palatino Linotype"/>
          <w:i/>
          <w:iCs/>
          <w:sz w:val="22"/>
          <w:szCs w:val="22"/>
        </w:rPr>
        <w:t xml:space="preserve"> </w:t>
      </w:r>
      <w:r w:rsidR="00FA7EE9" w:rsidRPr="00FA7EE9">
        <w:rPr>
          <w:rFonts w:ascii="Palatino Linotype" w:hAnsi="Palatino Linotype"/>
          <w:b/>
          <w:bCs/>
          <w:i/>
          <w:iCs/>
          <w:sz w:val="22"/>
          <w:szCs w:val="22"/>
        </w:rPr>
        <w:t xml:space="preserve">Fotografía: </w:t>
      </w:r>
    </w:p>
    <w:p w14:paraId="2BB5F0F4" w14:textId="77777777" w:rsidR="00FA7EE9" w:rsidRPr="00FA7EE9" w:rsidRDefault="00FA7EE9" w:rsidP="00FA7EE9">
      <w:pPr>
        <w:autoSpaceDE w:val="0"/>
        <w:autoSpaceDN w:val="0"/>
        <w:adjustRightInd w:val="0"/>
        <w:spacing w:line="276" w:lineRule="auto"/>
        <w:ind w:left="851" w:right="1133"/>
        <w:jc w:val="both"/>
        <w:rPr>
          <w:i/>
          <w:iCs/>
          <w:color w:val="000000"/>
        </w:rPr>
      </w:pPr>
      <w:r w:rsidRPr="00FA7EE9">
        <w:rPr>
          <w:rFonts w:ascii="Palatino Linotype" w:hAnsi="Palatino Linotype"/>
          <w:i/>
          <w:iCs/>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137E7A4" w14:textId="77777777" w:rsidR="00FA7EE9" w:rsidRPr="00FA7EE9" w:rsidRDefault="00FA7EE9" w:rsidP="00FA7EE9">
      <w:pPr>
        <w:spacing w:line="276" w:lineRule="auto"/>
        <w:ind w:left="851" w:right="1133"/>
        <w:jc w:val="both"/>
        <w:rPr>
          <w:rFonts w:ascii="Palatino Linotype" w:hAnsi="Palatino Linotype"/>
          <w:i/>
          <w:iCs/>
          <w:color w:val="000000"/>
        </w:rPr>
      </w:pPr>
      <w:r w:rsidRPr="00FA7EE9">
        <w:rPr>
          <w:rFonts w:ascii="Palatino Linotype" w:hAnsi="Palatino Linotype"/>
          <w:i/>
          <w:iCs/>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5030435" w14:textId="77777777" w:rsidR="00FA7EE9" w:rsidRPr="00FA7EE9" w:rsidRDefault="00FA7EE9" w:rsidP="00FA7EE9">
      <w:pPr>
        <w:spacing w:line="276" w:lineRule="auto"/>
        <w:ind w:left="851" w:right="1133"/>
        <w:jc w:val="both"/>
        <w:rPr>
          <w:rFonts w:ascii="Palatino Linotype" w:hAnsi="Palatino Linotype"/>
          <w:i/>
          <w:iCs/>
          <w:color w:val="000000"/>
        </w:rPr>
      </w:pPr>
      <w:r w:rsidRPr="00FA7EE9">
        <w:rPr>
          <w:rFonts w:ascii="Palatino Linotype" w:hAnsi="Palatino Linotype"/>
          <w:i/>
          <w:iCs/>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FA7EE9">
        <w:rPr>
          <w:rFonts w:ascii="Palatino Linotype" w:hAnsi="Palatino Linotype"/>
          <w:b/>
          <w:i/>
          <w:iCs/>
          <w:color w:val="000000"/>
          <w:u w:val="single"/>
        </w:rPr>
        <w:t>con excepción del personal operativo en materia de seguridad</w:t>
      </w:r>
      <w:r w:rsidRPr="00FA7EE9">
        <w:rPr>
          <w:rFonts w:ascii="Palatino Linotype" w:hAnsi="Palatino Linotype"/>
          <w:i/>
          <w:iCs/>
          <w:color w:val="000000"/>
        </w:rPr>
        <w:t xml:space="preserve">, respecto del cual el Pleno de este Instituto ya se ha pronunciado en el sentido de que la información que los haga identificados o identificables debe clasificarse como </w:t>
      </w:r>
      <w:r w:rsidRPr="00FA7EE9">
        <w:rPr>
          <w:rFonts w:ascii="Palatino Linotype" w:hAnsi="Palatino Linotype"/>
          <w:b/>
          <w:i/>
          <w:iCs/>
          <w:color w:val="000000"/>
        </w:rPr>
        <w:t>RESERVADA</w:t>
      </w:r>
      <w:r w:rsidRPr="00FA7EE9">
        <w:rPr>
          <w:rFonts w:ascii="Palatino Linotype" w:hAnsi="Palatino Linotype"/>
          <w:i/>
          <w:iCs/>
          <w:color w:val="000000"/>
        </w:rPr>
        <w:t>).</w:t>
      </w:r>
    </w:p>
    <w:p w14:paraId="3A690C0B" w14:textId="77777777" w:rsidR="00FA7EE9" w:rsidRPr="00FA7EE9" w:rsidRDefault="00FA7EE9" w:rsidP="00FA7EE9">
      <w:pPr>
        <w:spacing w:line="276" w:lineRule="auto"/>
        <w:ind w:left="851" w:right="1133"/>
        <w:jc w:val="both"/>
        <w:rPr>
          <w:rFonts w:ascii="Palatino Linotype" w:hAnsi="Palatino Linotype"/>
          <w:i/>
          <w:iCs/>
          <w:color w:val="000000"/>
        </w:rPr>
      </w:pPr>
      <w:r w:rsidRPr="00FA7EE9">
        <w:rPr>
          <w:rFonts w:ascii="Palatino Linotype" w:hAnsi="Palatino Linotype"/>
          <w:i/>
          <w:iCs/>
          <w:color w:val="000000"/>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173F703" w14:textId="77777777" w:rsidR="00FA7EE9" w:rsidRPr="00FA7EE9" w:rsidRDefault="00FA7EE9" w:rsidP="00FA7EE9">
      <w:pPr>
        <w:spacing w:line="276" w:lineRule="auto"/>
        <w:ind w:left="851" w:right="1133"/>
        <w:jc w:val="both"/>
        <w:rPr>
          <w:i/>
          <w:iCs/>
          <w:color w:val="000000"/>
        </w:rPr>
      </w:pPr>
      <w:r w:rsidRPr="00FA7EE9">
        <w:rPr>
          <w:rFonts w:ascii="Palatino Linotype" w:hAnsi="Palatino Linotype"/>
          <w:i/>
          <w:iCs/>
          <w:color w:val="000000"/>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64F3ED57" w14:textId="77777777" w:rsidR="00FA7EE9" w:rsidRPr="00FA7EE9" w:rsidRDefault="00FA7EE9" w:rsidP="00FA7EE9">
      <w:pPr>
        <w:spacing w:line="276" w:lineRule="auto"/>
        <w:ind w:left="851" w:right="1133"/>
        <w:jc w:val="both"/>
        <w:rPr>
          <w:i/>
          <w:iCs/>
          <w:color w:val="000000"/>
        </w:rPr>
      </w:pPr>
      <w:r w:rsidRPr="00FA7EE9">
        <w:rPr>
          <w:rFonts w:ascii="Palatino Linotype" w:hAnsi="Palatino Linotype"/>
          <w:i/>
          <w:iCs/>
          <w:color w:val="000000"/>
        </w:rPr>
        <w:t xml:space="preserve">Por lo anterior, cuando las fotografías de los servidores públicos obran en documentos que dan cuenta del cumplimiento de funciones, </w:t>
      </w:r>
      <w:r w:rsidRPr="00FA7EE9">
        <w:rPr>
          <w:rFonts w:ascii="Palatino Linotype" w:hAnsi="Palatino Linotype"/>
          <w:i/>
          <w:iCs/>
          <w:color w:val="000000"/>
          <w:u w:val="single"/>
        </w:rPr>
        <w:t>requisitos legales</w:t>
      </w:r>
      <w:r w:rsidRPr="00FA7EE9">
        <w:rPr>
          <w:rFonts w:ascii="Palatino Linotype" w:hAnsi="Palatino Linotype"/>
          <w:i/>
          <w:iCs/>
          <w:color w:val="000000"/>
        </w:rPr>
        <w:t xml:space="preserve"> o los acredita como servidores públicos, deben ser consideradas un dato personal, </w:t>
      </w:r>
      <w:r w:rsidRPr="00FA7EE9">
        <w:rPr>
          <w:rFonts w:ascii="Palatino Linotype" w:hAnsi="Palatino Linotype"/>
          <w:b/>
          <w:i/>
          <w:iCs/>
          <w:color w:val="000000"/>
          <w:u w:val="single"/>
        </w:rPr>
        <w:t>que no puede ser clasificado como confidencial</w:t>
      </w:r>
      <w:r w:rsidRPr="00FA7EE9">
        <w:rPr>
          <w:rFonts w:ascii="Palatino Linotype" w:hAnsi="Palatino Linotype"/>
          <w:i/>
          <w:iCs/>
          <w:color w:val="000000"/>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BA665B0" w14:textId="77777777" w:rsidR="00FA7EE9" w:rsidRPr="00FA7EE9" w:rsidRDefault="00FA7EE9" w:rsidP="00FA7EE9">
      <w:pPr>
        <w:spacing w:line="276" w:lineRule="auto"/>
        <w:ind w:left="851" w:right="1133"/>
        <w:jc w:val="both"/>
        <w:rPr>
          <w:rFonts w:ascii="Palatino Linotype" w:hAnsi="Palatino Linotype"/>
          <w:i/>
          <w:iCs/>
          <w:color w:val="000000"/>
        </w:rPr>
      </w:pPr>
      <w:r w:rsidRPr="00FA7EE9">
        <w:rPr>
          <w:rFonts w:ascii="Palatino Linotype" w:hAnsi="Palatino Linotype"/>
          <w:i/>
          <w:iCs/>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9981C14" w14:textId="77777777" w:rsidR="00FA7EE9" w:rsidRPr="00FA7EE9" w:rsidRDefault="00FA7EE9" w:rsidP="00FA7EE9">
      <w:pPr>
        <w:pStyle w:val="Prrafodelista"/>
        <w:spacing w:line="276" w:lineRule="auto"/>
        <w:ind w:left="851" w:right="1133"/>
        <w:jc w:val="both"/>
        <w:rPr>
          <w:rFonts w:ascii="Calibri" w:hAnsi="Calibri" w:cs="Calibri"/>
          <w:i/>
          <w:iCs/>
          <w:color w:val="000000"/>
          <w:sz w:val="22"/>
          <w:szCs w:val="22"/>
          <w:lang w:eastAsia="es-MX"/>
        </w:rPr>
      </w:pPr>
    </w:p>
    <w:p w14:paraId="03FA176D" w14:textId="77777777" w:rsidR="00FA7EE9" w:rsidRDefault="00FA7EE9" w:rsidP="00FA7EE9">
      <w:pPr>
        <w:spacing w:line="276" w:lineRule="auto"/>
        <w:ind w:left="851" w:right="1133"/>
        <w:jc w:val="both"/>
        <w:rPr>
          <w:rFonts w:ascii="Palatino Linotype" w:hAnsi="Palatino Linotype"/>
          <w:i/>
          <w:iCs/>
          <w:color w:val="000000"/>
        </w:rPr>
      </w:pPr>
      <w:r w:rsidRPr="00FA7EE9">
        <w:rPr>
          <w:rFonts w:ascii="Palatino Linotype" w:hAnsi="Palatino Linotype"/>
          <w:i/>
          <w:iCs/>
          <w:color w:val="000000"/>
        </w:rPr>
        <w:lastRenderedPageBreak/>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54A5599E" w14:textId="2F296000" w:rsidR="0085108A" w:rsidRPr="00FA7EE9" w:rsidRDefault="00FA7EE9" w:rsidP="00FA7EE9">
      <w:pPr>
        <w:spacing w:line="276" w:lineRule="auto"/>
        <w:ind w:left="851" w:right="1133"/>
        <w:jc w:val="both"/>
        <w:rPr>
          <w:rFonts w:ascii="Palatino Linotype" w:hAnsi="Palatino Linotype"/>
          <w:i/>
          <w:iCs/>
          <w:color w:val="000000"/>
        </w:rPr>
      </w:pPr>
      <w:r>
        <w:rPr>
          <w:rFonts w:ascii="Palatino Linotype" w:hAnsi="Palatino Linotype"/>
          <w:i/>
          <w:iCs/>
          <w:color w:val="000000"/>
        </w:rPr>
        <w:t>..</w:t>
      </w:r>
      <w:r w:rsidR="0085108A" w:rsidRPr="00DC2A88">
        <w:rPr>
          <w:rFonts w:ascii="Palatino Linotype" w:eastAsia="Palatino Linotype" w:hAnsi="Palatino Linotype" w:cs="Palatino Linotype"/>
          <w:i/>
          <w:color w:val="000000"/>
        </w:rPr>
        <w:t>.”</w:t>
      </w:r>
    </w:p>
    <w:p w14:paraId="666BE59A" w14:textId="77777777" w:rsidR="00600D3F" w:rsidRDefault="00600D3F" w:rsidP="00DC2A88">
      <w:pPr>
        <w:spacing w:line="276" w:lineRule="auto"/>
        <w:ind w:left="567" w:right="1417"/>
        <w:jc w:val="both"/>
        <w:rPr>
          <w:rFonts w:ascii="Palatino Linotype" w:eastAsia="Palatino Linotype" w:hAnsi="Palatino Linotype" w:cs="Palatino Linotype"/>
          <w:i/>
          <w:color w:val="000000"/>
        </w:rPr>
      </w:pPr>
    </w:p>
    <w:p w14:paraId="545431AA" w14:textId="77777777" w:rsidR="00600D3F" w:rsidRDefault="00665336">
      <w:pPr>
        <w:spacing w:after="0" w:line="360" w:lineRule="auto"/>
        <w:ind w:left="-426"/>
        <w:jc w:val="both"/>
        <w:rPr>
          <w:rFonts w:ascii="Palatino Linotype" w:eastAsia="Palatino Linotype" w:hAnsi="Palatino Linotype" w:cs="Palatino Linotype"/>
        </w:rPr>
      </w:pPr>
      <w:bookmarkStart w:id="4" w:name="_heading=h.seznk0v3kwdp" w:colFirst="0" w:colLast="0"/>
      <w:bookmarkEnd w:id="4"/>
      <w:r>
        <w:rPr>
          <w:rFonts w:ascii="Palatino Linotype" w:eastAsia="Palatino Linotype" w:hAnsi="Palatino Linotype" w:cs="Palatino Linotype"/>
        </w:rPr>
        <w:t xml:space="preserve">Como se puede advertir, en el criterio de la mayoría no se distingue </w:t>
      </w:r>
      <w:r w:rsidR="00983B10">
        <w:rPr>
          <w:rFonts w:ascii="Palatino Linotype" w:eastAsia="Palatino Linotype" w:hAnsi="Palatino Linotype" w:cs="Palatino Linotype"/>
        </w:rPr>
        <w:t xml:space="preserve">el nivel o cargo que ostente el </w:t>
      </w:r>
      <w:r>
        <w:rPr>
          <w:rFonts w:ascii="Palatino Linotype" w:eastAsia="Palatino Linotype" w:hAnsi="Palatino Linotype" w:cs="Palatino Linotype"/>
        </w:rPr>
        <w:t>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D02361A" w14:textId="77777777"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18E25A24" w14:textId="77777777"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w:t>
      </w:r>
      <w:r>
        <w:rPr>
          <w:rFonts w:ascii="Palatino Linotype" w:eastAsia="Palatino Linotype" w:hAnsi="Palatino Linotype" w:cs="Palatino Linotype"/>
        </w:rPr>
        <w:lastRenderedPageBreak/>
        <w:t>puede contribuir a la transparencia y la rendición de cuentas, al permitir a la ciudadanía identifique a los funcionarios que toman decisiones importantes en su nombre.</w:t>
      </w:r>
    </w:p>
    <w:p w14:paraId="3EA8D0A0" w14:textId="77777777"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5" w:name="_heading=h.xezr0okd57tn" w:colFirst="0" w:colLast="0"/>
      <w:bookmarkEnd w:id="5"/>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6D5850C8" w14:textId="77777777"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701FED82" w14:textId="77777777" w:rsidR="00600D3F" w:rsidRDefault="00600D3F">
      <w:pPr>
        <w:spacing w:after="0" w:line="360" w:lineRule="auto"/>
        <w:ind w:left="-426"/>
        <w:jc w:val="both"/>
        <w:rPr>
          <w:rFonts w:ascii="Palatino Linotype" w:eastAsia="Palatino Linotype" w:hAnsi="Palatino Linotype" w:cs="Palatino Linotype"/>
        </w:rPr>
      </w:pPr>
    </w:p>
    <w:p w14:paraId="13E780F3" w14:textId="77777777"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334AB355" w14:textId="77777777" w:rsidR="00600D3F" w:rsidRDefault="00600D3F">
      <w:pPr>
        <w:spacing w:after="0" w:line="360" w:lineRule="auto"/>
        <w:ind w:left="-426"/>
        <w:jc w:val="both"/>
        <w:rPr>
          <w:rFonts w:ascii="Palatino Linotype" w:eastAsia="Palatino Linotype" w:hAnsi="Palatino Linotype" w:cs="Palatino Linotype"/>
        </w:rPr>
      </w:pPr>
      <w:bookmarkStart w:id="6" w:name="_heading=h.3dy6vkm" w:colFirst="0" w:colLast="0"/>
      <w:bookmarkEnd w:id="6"/>
    </w:p>
    <w:p w14:paraId="53CEA18A" w14:textId="77777777" w:rsidR="00600D3F" w:rsidRDefault="00665336">
      <w:pPr>
        <w:spacing w:after="0" w:line="360" w:lineRule="auto"/>
        <w:ind w:left="-426"/>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lastRenderedPageBreak/>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391806EC"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8" w:name="_heading=h.2et92p0" w:colFirst="0" w:colLast="0"/>
      <w:bookmarkEnd w:id="8"/>
    </w:p>
    <w:p w14:paraId="69CE52C4"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2B4A0A89"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28301BC"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6E66C95"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0E03717"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4AE5894"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F88FCD4"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55853C3"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8925EB1"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2479A13"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FEE825A"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C0B7A0F"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F56673D"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0C38E89"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94015E1"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A943919"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35F3E2F"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7E18390"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1811A23"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0D456A1" w14:textId="77777777"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8"/>
      <w:footerReference w:type="default" r:id="rId9"/>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4F4E" w14:textId="77777777" w:rsidR="005E6AB2" w:rsidRDefault="005E6AB2">
      <w:pPr>
        <w:spacing w:after="0" w:line="240" w:lineRule="auto"/>
      </w:pPr>
      <w:r>
        <w:separator/>
      </w:r>
    </w:p>
  </w:endnote>
  <w:endnote w:type="continuationSeparator" w:id="0">
    <w:p w14:paraId="30EC2AF1" w14:textId="77777777" w:rsidR="005E6AB2" w:rsidRDefault="005E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0029" w14:textId="77777777"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5108A">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5108A">
      <w:rPr>
        <w:rFonts w:ascii="Arial" w:eastAsia="Arial" w:hAnsi="Arial" w:cs="Arial"/>
        <w:b/>
        <w:noProof/>
        <w:color w:val="000000"/>
        <w:sz w:val="20"/>
        <w:szCs w:val="20"/>
      </w:rPr>
      <w:t>6</w:t>
    </w:r>
    <w:r>
      <w:rPr>
        <w:rFonts w:ascii="Arial" w:eastAsia="Arial" w:hAnsi="Arial" w:cs="Arial"/>
        <w:b/>
        <w:color w:val="000000"/>
        <w:sz w:val="20"/>
        <w:szCs w:val="20"/>
      </w:rPr>
      <w:fldChar w:fldCharType="end"/>
    </w:r>
  </w:p>
  <w:p w14:paraId="5E03F418" w14:textId="77777777"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CDD4" w14:textId="77777777" w:rsidR="005E6AB2" w:rsidRDefault="005E6AB2">
      <w:pPr>
        <w:spacing w:after="0" w:line="240" w:lineRule="auto"/>
      </w:pPr>
      <w:r>
        <w:separator/>
      </w:r>
    </w:p>
  </w:footnote>
  <w:footnote w:type="continuationSeparator" w:id="0">
    <w:p w14:paraId="48CAA84D" w14:textId="77777777" w:rsidR="005E6AB2" w:rsidRDefault="005E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931A" w14:textId="77777777"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3BE3987B" wp14:editId="255D73C9">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2223B0A" w14:textId="77777777"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363FCC5E" w14:textId="1D54EEB1"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FE38D5">
      <w:rPr>
        <w:rFonts w:ascii="Palatino Linotype" w:eastAsia="Palatino Linotype" w:hAnsi="Palatino Linotype" w:cs="Palatino Linotype"/>
        <w:b/>
        <w:color w:val="000000"/>
        <w:sz w:val="20"/>
        <w:szCs w:val="20"/>
      </w:rPr>
      <w:t>0</w:t>
    </w:r>
    <w:r w:rsidR="00FA7EE9">
      <w:rPr>
        <w:rFonts w:ascii="Palatino Linotype" w:eastAsia="Palatino Linotype" w:hAnsi="Palatino Linotype" w:cs="Palatino Linotype"/>
        <w:b/>
        <w:color w:val="000000"/>
        <w:sz w:val="20"/>
        <w:szCs w:val="20"/>
      </w:rPr>
      <w:t>2950</w:t>
    </w:r>
    <w:r w:rsidR="00411552" w:rsidRPr="00411552">
      <w:rPr>
        <w:rFonts w:ascii="Palatino Linotype" w:eastAsia="Palatino Linotype" w:hAnsi="Palatino Linotype" w:cs="Palatino Linotype"/>
        <w:b/>
        <w:color w:val="000000"/>
        <w:sz w:val="20"/>
        <w:szCs w:val="20"/>
      </w:rPr>
      <w:t>/INFOEM/IP/RR/2025</w:t>
    </w:r>
  </w:p>
  <w:p w14:paraId="5A7ECB31" w14:textId="0AE7C9C3" w:rsidR="00F72F47"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526443" w:rsidRPr="00526443">
      <w:rPr>
        <w:rFonts w:ascii="Palatino Linotype" w:eastAsia="Palatino Linotype" w:hAnsi="Palatino Linotype" w:cs="Palatino Linotype"/>
        <w:b/>
        <w:color w:val="000000"/>
        <w:sz w:val="20"/>
        <w:szCs w:val="20"/>
      </w:rPr>
      <w:t xml:space="preserve">Ayuntamiento de </w:t>
    </w:r>
    <w:r w:rsidR="00FA7EE9">
      <w:rPr>
        <w:rFonts w:ascii="Palatino Linotype" w:eastAsia="Palatino Linotype" w:hAnsi="Palatino Linotype" w:cs="Palatino Linotype"/>
        <w:b/>
        <w:color w:val="000000"/>
        <w:sz w:val="20"/>
        <w:szCs w:val="20"/>
      </w:rPr>
      <w:t>Atenco</w:t>
    </w:r>
  </w:p>
  <w:p w14:paraId="4D45F882" w14:textId="0193C325" w:rsidR="00600D3F" w:rsidRDefault="00FE38D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w:t>
    </w:r>
    <w:r w:rsidR="00526443">
      <w:rPr>
        <w:rFonts w:ascii="Palatino Linotype" w:eastAsia="Palatino Linotype" w:hAnsi="Palatino Linotype" w:cs="Palatino Linotype"/>
        <w:b/>
        <w:color w:val="000000"/>
        <w:sz w:val="20"/>
        <w:szCs w:val="20"/>
      </w:rPr>
      <w:t>o</w:t>
    </w:r>
    <w:r w:rsidR="00665336">
      <w:rPr>
        <w:rFonts w:ascii="Palatino Linotype" w:eastAsia="Palatino Linotype" w:hAnsi="Palatino Linotype" w:cs="Palatino Linotype"/>
        <w:b/>
        <w:color w:val="000000"/>
        <w:sz w:val="20"/>
        <w:szCs w:val="20"/>
      </w:rPr>
      <w:t xml:space="preserve"> Ponente: </w:t>
    </w:r>
    <w:r w:rsidR="00526443">
      <w:rPr>
        <w:rFonts w:ascii="Palatino Linotype" w:eastAsia="Palatino Linotype" w:hAnsi="Palatino Linotype" w:cs="Palatino Linotype"/>
        <w:b/>
        <w:color w:val="000000"/>
        <w:sz w:val="20"/>
        <w:szCs w:val="20"/>
      </w:rPr>
      <w:t>José Martínez Vilchis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545"/>
    <w:multiLevelType w:val="multilevel"/>
    <w:tmpl w:val="6AD29824"/>
    <w:lvl w:ilvl="0">
      <w:start w:val="1"/>
      <w:numFmt w:val="decimal"/>
      <w:lvlText w:val="%1."/>
      <w:lvlJc w:val="left"/>
      <w:pPr>
        <w:ind w:left="2345" w:hanging="360"/>
      </w:pPr>
      <w:rPr>
        <w:rFonts w:ascii="Arial" w:eastAsia="Arial" w:hAnsi="Arial" w:cs="Arial"/>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884BCD"/>
    <w:multiLevelType w:val="multilevel"/>
    <w:tmpl w:val="74BAA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3425A3"/>
    <w:multiLevelType w:val="hybridMultilevel"/>
    <w:tmpl w:val="4FCE256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6093551">
    <w:abstractNumId w:val="0"/>
  </w:num>
  <w:num w:numId="2" w16cid:durableId="1741168365">
    <w:abstractNumId w:val="2"/>
  </w:num>
  <w:num w:numId="3" w16cid:durableId="508375794">
    <w:abstractNumId w:val="3"/>
  </w:num>
  <w:num w:numId="4" w16cid:durableId="79456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3F"/>
    <w:rsid w:val="00086534"/>
    <w:rsid w:val="000E2BC8"/>
    <w:rsid w:val="000F351F"/>
    <w:rsid w:val="00142A4A"/>
    <w:rsid w:val="001E6BD6"/>
    <w:rsid w:val="00205C30"/>
    <w:rsid w:val="00314402"/>
    <w:rsid w:val="00411552"/>
    <w:rsid w:val="00463D04"/>
    <w:rsid w:val="00526443"/>
    <w:rsid w:val="005E6AB2"/>
    <w:rsid w:val="00600D3F"/>
    <w:rsid w:val="00665336"/>
    <w:rsid w:val="006728D3"/>
    <w:rsid w:val="007176C3"/>
    <w:rsid w:val="007268FD"/>
    <w:rsid w:val="00731A57"/>
    <w:rsid w:val="007B2EC4"/>
    <w:rsid w:val="00832C0D"/>
    <w:rsid w:val="0085108A"/>
    <w:rsid w:val="00983B10"/>
    <w:rsid w:val="00983C34"/>
    <w:rsid w:val="009B6988"/>
    <w:rsid w:val="00B43A4F"/>
    <w:rsid w:val="00C553AE"/>
    <w:rsid w:val="00D10106"/>
    <w:rsid w:val="00D446E0"/>
    <w:rsid w:val="00D54CCA"/>
    <w:rsid w:val="00DB6B53"/>
    <w:rsid w:val="00DC2A88"/>
    <w:rsid w:val="00DD4F63"/>
    <w:rsid w:val="00E46F2A"/>
    <w:rsid w:val="00EB1C34"/>
    <w:rsid w:val="00EC1F6A"/>
    <w:rsid w:val="00EC31C9"/>
    <w:rsid w:val="00F72F47"/>
    <w:rsid w:val="00F77F71"/>
    <w:rsid w:val="00FA7EE9"/>
    <w:rsid w:val="00FE3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12AB"/>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1613</Words>
  <Characters>8876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3</cp:revision>
  <cp:lastPrinted>2025-06-02T17:57:00Z</cp:lastPrinted>
  <dcterms:created xsi:type="dcterms:W3CDTF">2025-06-03T20:01:00Z</dcterms:created>
  <dcterms:modified xsi:type="dcterms:W3CDTF">2025-06-03T20:06:00Z</dcterms:modified>
</cp:coreProperties>
</file>