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1D70" w14:textId="77777777" w:rsidR="00C44E2C" w:rsidRDefault="00CC1874">
      <w:pPr>
        <w:spacing w:before="240" w:after="240" w:line="360" w:lineRule="auto"/>
        <w:ind w:right="51"/>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O</w:t>
      </w:r>
      <w:r>
        <w:rPr>
          <w:rFonts w:ascii="Palatino Linotype" w:eastAsia="Palatino Linotype" w:hAnsi="Palatino Linotype" w:cs="Palatino Linotype"/>
          <w:b/>
        </w:rPr>
        <w:t>CTAVA SESIÓN ORDINARIA DEL SEIS DE MARZO DE DOS MIL VEINTICINCO EN EL RECURSO DE REVISIÓN 01020/INFOEM/IP/RR/2025.</w:t>
      </w:r>
    </w:p>
    <w:p w14:paraId="34D55ABB" w14:textId="77777777" w:rsidR="00C44E2C" w:rsidRDefault="00CC187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resolvió por u</w:t>
      </w:r>
      <w:r>
        <w:rPr>
          <w:rFonts w:ascii="Palatino Linotype" w:eastAsia="Palatino Linotype" w:hAnsi="Palatino Linotype" w:cs="Palatino Linotype"/>
        </w:rPr>
        <w:t xml:space="preserve">nanimidad de votos, la Resolución relativa al Recurso de Revisión </w:t>
      </w:r>
      <w:r>
        <w:rPr>
          <w:rFonts w:ascii="Palatino Linotype" w:eastAsia="Palatino Linotype" w:hAnsi="Palatino Linotype" w:cs="Palatino Linotype"/>
          <w:b/>
        </w:rPr>
        <w:t xml:space="preserve">01020/INFOEM/IP/RR/2025,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w:t>
      </w:r>
      <w:r>
        <w:rPr>
          <w:rFonts w:ascii="Palatino Linotype" w:eastAsia="Palatino Linotype" w:hAnsi="Palatino Linotype" w:cs="Palatino Linotype"/>
        </w:rPr>
        <w:t>encia, Acceso a la Información Pública y Protección de Personales Datos del Estado de México, así como 45 y 48, fracción I, de los Lineamientos para el funcionamiento del Pleno y las Comisiones del Instituto de Transparencia, Acceso a la Información Públic</w:t>
      </w:r>
      <w:r>
        <w:rPr>
          <w:rFonts w:ascii="Palatino Linotype" w:eastAsia="Palatino Linotype" w:hAnsi="Palatino Linotype" w:cs="Palatino Linotype"/>
        </w:rPr>
        <w:t>a y Protección de Datos Personales del Estado de México y Municipios.</w:t>
      </w:r>
    </w:p>
    <w:p w14:paraId="78069A50" w14:textId="77777777" w:rsidR="00C44E2C" w:rsidRDefault="00CC187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Al respecto, es de recordar que la parte Recurrente solicitó la siguiente información:</w:t>
      </w:r>
    </w:p>
    <w:p w14:paraId="305ADBDC" w14:textId="77777777" w:rsidR="00C44E2C" w:rsidRDefault="00CC1874">
      <w:pPr>
        <w:numPr>
          <w:ilvl w:val="0"/>
          <w:numId w:val="1"/>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Balanza de comprobación detallada 2024. </w:t>
      </w:r>
    </w:p>
    <w:p w14:paraId="28B156DF" w14:textId="77777777" w:rsidR="00C44E2C" w:rsidRDefault="00CC187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En respuesta, la</w:t>
      </w:r>
      <w:r>
        <w:rPr>
          <w:rFonts w:ascii="Palatino Linotype" w:eastAsia="Palatino Linotype" w:hAnsi="Palatino Linotype" w:cs="Palatino Linotype"/>
          <w:color w:val="000000"/>
        </w:rPr>
        <w:t xml:space="preserve"> Tesorería Municipal refirió que la inform</w:t>
      </w:r>
      <w:r>
        <w:rPr>
          <w:rFonts w:ascii="Palatino Linotype" w:eastAsia="Palatino Linotype" w:hAnsi="Palatino Linotype" w:cs="Palatino Linotype"/>
          <w:color w:val="000000"/>
        </w:rPr>
        <w:t>ación que solicita contiene nombres de clientes y proveedores, además de contener datos sensibles como cantidades pagadas y números de cuentas bancarias, razón por la cual se considera que la información contenida en la Balanza de Comprobación Detallada de</w:t>
      </w:r>
      <w:r>
        <w:rPr>
          <w:rFonts w:ascii="Palatino Linotype" w:eastAsia="Palatino Linotype" w:hAnsi="Palatino Linotype" w:cs="Palatino Linotype"/>
          <w:color w:val="000000"/>
        </w:rPr>
        <w:t xml:space="preserve">be de ser considerada como </w:t>
      </w:r>
      <w:r>
        <w:rPr>
          <w:rFonts w:ascii="Palatino Linotype" w:eastAsia="Palatino Linotype" w:hAnsi="Palatino Linotype" w:cs="Palatino Linotype"/>
          <w:color w:val="000000"/>
        </w:rPr>
        <w:lastRenderedPageBreak/>
        <w:t xml:space="preserve">confidencial y para ello, remitió el Acta de la cuarta sesión extraordinaria del comité de transparencia, de fecha seis de febrero de dos mil veinticinco. </w:t>
      </w:r>
    </w:p>
    <w:p w14:paraId="365E7B95" w14:textId="77777777" w:rsidR="00C44E2C" w:rsidRDefault="00CC187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Derivado de ello, la parte Recurrente se inconformó arguyendo lo siguient</w:t>
      </w:r>
      <w:r>
        <w:rPr>
          <w:rFonts w:ascii="Palatino Linotype" w:eastAsia="Palatino Linotype" w:hAnsi="Palatino Linotype" w:cs="Palatino Linotype"/>
        </w:rPr>
        <w:t xml:space="preserve">e: </w:t>
      </w:r>
    </w:p>
    <w:p w14:paraId="61B7E369" w14:textId="77777777" w:rsidR="00C44E2C" w:rsidRDefault="00CC1874">
      <w:pPr>
        <w:spacing w:before="240" w:line="360" w:lineRule="auto"/>
        <w:ind w:left="567" w:right="616"/>
        <w:jc w:val="both"/>
        <w:rPr>
          <w:rFonts w:ascii="Palatino" w:eastAsia="Palatino" w:hAnsi="Palatino" w:cs="Palatino"/>
          <w:b/>
          <w:i/>
        </w:rPr>
      </w:pPr>
      <w:r>
        <w:rPr>
          <w:rFonts w:ascii="Palatino" w:eastAsia="Palatino" w:hAnsi="Palatino" w:cs="Palatino"/>
          <w:b/>
          <w:i/>
        </w:rPr>
        <w:t xml:space="preserve">Acto Impugnado: </w:t>
      </w:r>
      <w:r>
        <w:rPr>
          <w:rFonts w:ascii="Palatino" w:eastAsia="Palatino" w:hAnsi="Palatino" w:cs="Palatino"/>
          <w:i/>
        </w:rPr>
        <w:t xml:space="preserve">“Negaron la información” </w:t>
      </w:r>
      <w:r>
        <w:rPr>
          <w:rFonts w:ascii="Palatino" w:eastAsia="Palatino" w:hAnsi="Palatino" w:cs="Palatino"/>
          <w:b/>
          <w:i/>
        </w:rPr>
        <w:t>(Sic)</w:t>
      </w:r>
    </w:p>
    <w:p w14:paraId="669C1CA4" w14:textId="77777777" w:rsidR="00C44E2C" w:rsidRDefault="00CC1874">
      <w:pPr>
        <w:spacing w:before="240" w:line="360" w:lineRule="auto"/>
        <w:ind w:left="567" w:right="616"/>
        <w:jc w:val="both"/>
        <w:rPr>
          <w:rFonts w:ascii="Palatino" w:eastAsia="Palatino" w:hAnsi="Palatino" w:cs="Palatino"/>
          <w:i/>
        </w:rPr>
      </w:pPr>
      <w:r>
        <w:rPr>
          <w:rFonts w:ascii="Palatino" w:eastAsia="Palatino" w:hAnsi="Palatino" w:cs="Palatino"/>
          <w:b/>
          <w:i/>
        </w:rPr>
        <w:t>Razones o Motivos de Inconformidad</w:t>
      </w:r>
      <w:r>
        <w:rPr>
          <w:rFonts w:ascii="Palatino" w:eastAsia="Palatino" w:hAnsi="Palatino" w:cs="Palatino"/>
          <w:i/>
        </w:rPr>
        <w:t>: “Negaron la información si bien es cierto que tiene información susceptible de clasificarse como lo son los números de cuenta debieron realizar una versión pública por l</w:t>
      </w:r>
      <w:r>
        <w:rPr>
          <w:rFonts w:ascii="Palatino" w:eastAsia="Palatino" w:hAnsi="Palatino" w:cs="Palatino"/>
          <w:i/>
        </w:rPr>
        <w:t xml:space="preserve">o que respecta a los nombres de proveedores no se consideran confidenciales ya que reciben recurso público” </w:t>
      </w:r>
      <w:r>
        <w:rPr>
          <w:rFonts w:ascii="Palatino" w:eastAsia="Palatino" w:hAnsi="Palatino" w:cs="Palatino"/>
          <w:b/>
          <w:i/>
        </w:rPr>
        <w:t>(Sic)</w:t>
      </w:r>
    </w:p>
    <w:p w14:paraId="0E03B631" w14:textId="77777777" w:rsidR="00C44E2C" w:rsidRDefault="00CC187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Las partes fueron omisas en rendir manifestaciones.</w:t>
      </w:r>
    </w:p>
    <w:p w14:paraId="3F713DE2" w14:textId="77777777" w:rsidR="00C44E2C" w:rsidRDefault="00CC187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la Ponencia Resolutora determinó lo siguiente: </w:t>
      </w:r>
    </w:p>
    <w:p w14:paraId="765FD6E6" w14:textId="77777777" w:rsidR="00C44E2C" w:rsidRDefault="00C44E2C">
      <w:pPr>
        <w:spacing w:after="0" w:line="360" w:lineRule="auto"/>
        <w:ind w:left="567" w:right="616"/>
        <w:jc w:val="both"/>
        <w:rPr>
          <w:rFonts w:ascii="Palatino Linotype" w:eastAsia="Palatino Linotype" w:hAnsi="Palatino Linotype" w:cs="Palatino Linotype"/>
          <w:i/>
        </w:rPr>
      </w:pPr>
    </w:p>
    <w:p w14:paraId="55C4208D" w14:textId="77777777" w:rsidR="00C44E2C" w:rsidRDefault="00CC1874">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PRIMERO.</w:t>
      </w:r>
      <w:r>
        <w:rPr>
          <w:rFonts w:ascii="Palatino Linotype" w:eastAsia="Palatino Linotype" w:hAnsi="Palatino Linotype" w:cs="Palatino Linotype"/>
          <w:i/>
        </w:rPr>
        <w:t xml:space="preserve"> Se </w:t>
      </w:r>
      <w:r>
        <w:rPr>
          <w:rFonts w:ascii="Palatino Linotype" w:eastAsia="Palatino Linotype" w:hAnsi="Palatino Linotype" w:cs="Palatino Linotype"/>
          <w:b/>
          <w:i/>
        </w:rPr>
        <w:t xml:space="preserve">REVOCA </w:t>
      </w:r>
      <w:r>
        <w:rPr>
          <w:rFonts w:ascii="Palatino Linotype" w:eastAsia="Palatino Linotype" w:hAnsi="Palatino Linotype" w:cs="Palatino Linotype"/>
          <w:i/>
        </w:rPr>
        <w:t xml:space="preserve">la respuesta entregada por </w:t>
      </w:r>
      <w:r>
        <w:rPr>
          <w:rFonts w:ascii="Palatino Linotype" w:eastAsia="Palatino Linotype" w:hAnsi="Palatino Linotype" w:cs="Palatino Linotype"/>
          <w:b/>
          <w:i/>
        </w:rPr>
        <w:t xml:space="preserve">EL SUJETO OBLIGADO, </w:t>
      </w:r>
      <w:r>
        <w:rPr>
          <w:rFonts w:ascii="Palatino Linotype" w:eastAsia="Palatino Linotype" w:hAnsi="Palatino Linotype" w:cs="Palatino Linotype"/>
          <w:i/>
        </w:rPr>
        <w:t xml:space="preserve">a la solicitud de información </w:t>
      </w:r>
      <w:r>
        <w:rPr>
          <w:rFonts w:ascii="Palatino Linotype" w:eastAsia="Palatino Linotype" w:hAnsi="Palatino Linotype" w:cs="Palatino Linotype"/>
          <w:b/>
          <w:i/>
        </w:rPr>
        <w:t xml:space="preserve">00119/ACAMBAY/IP/2025 </w:t>
      </w:r>
      <w:r>
        <w:rPr>
          <w:rFonts w:ascii="Palatino Linotype" w:eastAsia="Palatino Linotype" w:hAnsi="Palatino Linotype" w:cs="Palatino Linotype"/>
          <w:i/>
        </w:rPr>
        <w:t xml:space="preserve">por resultar fundados los motivos de inconformidad que arguye </w:t>
      </w:r>
      <w:r>
        <w:rPr>
          <w:rFonts w:ascii="Palatino Linotype" w:eastAsia="Palatino Linotype" w:hAnsi="Palatino Linotype" w:cs="Palatino Linotype"/>
          <w:b/>
          <w:i/>
        </w:rPr>
        <w:t xml:space="preserve">EL RECURRENTE, </w:t>
      </w:r>
      <w:r>
        <w:rPr>
          <w:rFonts w:ascii="Palatino Linotype" w:eastAsia="Palatino Linotype" w:hAnsi="Palatino Linotype" w:cs="Palatino Linotype"/>
          <w:i/>
        </w:rPr>
        <w:t xml:space="preserve">en términos del considerando </w:t>
      </w:r>
      <w:r>
        <w:rPr>
          <w:rFonts w:ascii="Palatino Linotype" w:eastAsia="Palatino Linotype" w:hAnsi="Palatino Linotype" w:cs="Palatino Linotype"/>
          <w:b/>
          <w:i/>
        </w:rPr>
        <w:t xml:space="preserve">CUARTO </w:t>
      </w:r>
      <w:r>
        <w:rPr>
          <w:rFonts w:ascii="Palatino Linotype" w:eastAsia="Palatino Linotype" w:hAnsi="Palatino Linotype" w:cs="Palatino Linotype"/>
          <w:i/>
        </w:rPr>
        <w:t xml:space="preserve">de la presente resolución. </w:t>
      </w:r>
    </w:p>
    <w:p w14:paraId="6021A9BF" w14:textId="77777777" w:rsidR="00C44E2C" w:rsidRDefault="00C44E2C">
      <w:pPr>
        <w:spacing w:after="0" w:line="360" w:lineRule="auto"/>
        <w:ind w:left="567" w:right="616"/>
        <w:jc w:val="both"/>
        <w:rPr>
          <w:rFonts w:ascii="Palatino Linotype" w:eastAsia="Palatino Linotype" w:hAnsi="Palatino Linotype" w:cs="Palatino Linotype"/>
          <w:i/>
        </w:rPr>
      </w:pPr>
    </w:p>
    <w:p w14:paraId="0679ED24" w14:textId="77777777" w:rsidR="00C44E2C" w:rsidRDefault="00CC1874">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SEGUNDO.</w:t>
      </w:r>
      <w:r>
        <w:rPr>
          <w:rFonts w:ascii="Palatino Linotype" w:eastAsia="Palatino Linotype" w:hAnsi="Palatino Linotype" w:cs="Palatino Linotype"/>
          <w:i/>
        </w:rPr>
        <w:t xml:space="preserve"> Se </w:t>
      </w:r>
      <w:r>
        <w:rPr>
          <w:rFonts w:ascii="Palatino Linotype" w:eastAsia="Palatino Linotype" w:hAnsi="Palatino Linotype" w:cs="Palatino Linotype"/>
          <w:b/>
          <w:i/>
        </w:rPr>
        <w:t>ORD</w:t>
      </w:r>
      <w:r>
        <w:rPr>
          <w:rFonts w:ascii="Palatino Linotype" w:eastAsia="Palatino Linotype" w:hAnsi="Palatino Linotype" w:cs="Palatino Linotype"/>
          <w:b/>
          <w:i/>
        </w:rPr>
        <w:t>ENA</w:t>
      </w:r>
      <w:r>
        <w:rPr>
          <w:rFonts w:ascii="Palatino Linotype" w:eastAsia="Palatino Linotype" w:hAnsi="Palatino Linotype" w:cs="Palatino Linotype"/>
          <w:i/>
        </w:rPr>
        <w:t xml:space="preserve"> al </w:t>
      </w:r>
      <w:r>
        <w:rPr>
          <w:rFonts w:ascii="Palatino Linotype" w:eastAsia="Palatino Linotype" w:hAnsi="Palatino Linotype" w:cs="Palatino Linotype"/>
          <w:b/>
          <w:i/>
        </w:rPr>
        <w:t>SUJETO OBLIGADO</w:t>
      </w:r>
      <w:r>
        <w:rPr>
          <w:rFonts w:ascii="Palatino Linotype" w:eastAsia="Palatino Linotype" w:hAnsi="Palatino Linotype" w:cs="Palatino Linotype"/>
          <w:i/>
        </w:rPr>
        <w:t xml:space="preserve"> hacer entrega al </w:t>
      </w:r>
      <w:r>
        <w:rPr>
          <w:rFonts w:ascii="Palatino Linotype" w:eastAsia="Palatino Linotype" w:hAnsi="Palatino Linotype" w:cs="Palatino Linotype"/>
          <w:b/>
          <w:i/>
        </w:rPr>
        <w:t xml:space="preserve">RECURRENTE, vía </w:t>
      </w:r>
      <w:r>
        <w:rPr>
          <w:rFonts w:ascii="Palatino Linotype" w:eastAsia="Palatino Linotype" w:hAnsi="Palatino Linotype" w:cs="Palatino Linotype"/>
          <w:i/>
        </w:rPr>
        <w:t xml:space="preserve">Sistema de Acceso a la Información Mexiquense </w:t>
      </w:r>
      <w:r>
        <w:rPr>
          <w:rFonts w:ascii="Palatino Linotype" w:eastAsia="Palatino Linotype" w:hAnsi="Palatino Linotype" w:cs="Palatino Linotype"/>
          <w:b/>
          <w:i/>
        </w:rPr>
        <w:t xml:space="preserve">(SAIMEX), </w:t>
      </w:r>
      <w:r>
        <w:rPr>
          <w:rFonts w:ascii="Palatino Linotype" w:eastAsia="Palatino Linotype" w:hAnsi="Palatino Linotype" w:cs="Palatino Linotype"/>
          <w:i/>
        </w:rPr>
        <w:t>de forma íntegra,</w:t>
      </w: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en términos del Considerando </w:t>
      </w:r>
      <w:r>
        <w:rPr>
          <w:rFonts w:ascii="Palatino Linotype" w:eastAsia="Palatino Linotype" w:hAnsi="Palatino Linotype" w:cs="Palatino Linotype"/>
          <w:b/>
          <w:i/>
        </w:rPr>
        <w:t xml:space="preserve">CUARTO </w:t>
      </w:r>
      <w:r>
        <w:rPr>
          <w:rFonts w:ascii="Palatino Linotype" w:eastAsia="Palatino Linotype" w:hAnsi="Palatino Linotype" w:cs="Palatino Linotype"/>
          <w:i/>
        </w:rPr>
        <w:t>de esta resolución</w:t>
      </w:r>
      <w:r>
        <w:rPr>
          <w:rFonts w:ascii="Palatino Linotype" w:eastAsia="Palatino Linotype" w:hAnsi="Palatino Linotype" w:cs="Palatino Linotype"/>
          <w:b/>
          <w:i/>
        </w:rPr>
        <w:t xml:space="preserve">, </w:t>
      </w:r>
      <w:r>
        <w:rPr>
          <w:rFonts w:ascii="Palatino Linotype" w:eastAsia="Palatino Linotype" w:hAnsi="Palatino Linotype" w:cs="Palatino Linotype"/>
          <w:i/>
        </w:rPr>
        <w:t>de lo siguiente:</w:t>
      </w:r>
    </w:p>
    <w:p w14:paraId="0E8B2F02" w14:textId="77777777" w:rsidR="00C44E2C" w:rsidRDefault="00CC1874">
      <w:pPr>
        <w:numPr>
          <w:ilvl w:val="0"/>
          <w:numId w:val="2"/>
        </w:numPr>
        <w:pBdr>
          <w:top w:val="nil"/>
          <w:left w:val="nil"/>
          <w:bottom w:val="nil"/>
          <w:right w:val="nil"/>
          <w:between w:val="nil"/>
        </w:pBdr>
        <w:spacing w:after="0" w:line="360"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Balanza de comprobac</w:t>
      </w:r>
      <w:r>
        <w:rPr>
          <w:rFonts w:ascii="Palatino Linotype" w:eastAsia="Palatino Linotype" w:hAnsi="Palatino Linotype" w:cs="Palatino Linotype"/>
          <w:i/>
          <w:color w:val="000000"/>
        </w:rPr>
        <w:t xml:space="preserve">ión detallada, </w:t>
      </w:r>
      <w:r>
        <w:rPr>
          <w:rFonts w:ascii="Palatino Linotype" w:eastAsia="Palatino Linotype" w:hAnsi="Palatino Linotype" w:cs="Palatino Linotype"/>
          <w:i/>
          <w:color w:val="000000"/>
        </w:rPr>
        <w:t>del periodo comprendido del uno de enero al treinta y uno de diciembre de dos mil veinticuatro.</w:t>
      </w:r>
    </w:p>
    <w:p w14:paraId="0C972AA9" w14:textId="77777777" w:rsidR="00C44E2C" w:rsidRDefault="00CC187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anterior, es preciso señalar que se comparte el sentido de la resolución, ya que del análisis de las constancias que conforman el expediente electrónico,</w:t>
      </w:r>
      <w:r>
        <w:rPr>
          <w:rFonts w:ascii="Palatino Linotype" w:eastAsia="Palatino Linotype" w:hAnsi="Palatino Linotype" w:cs="Palatino Linotype"/>
        </w:rPr>
        <w:t xml:space="preserve"> se desprendió que la información solicitada, es susceptible de transparentarse pues se encuentra relacionada con la gestión pública y con su publicidad se favorece indudablemente a la rendición de cuentas.</w:t>
      </w:r>
    </w:p>
    <w:p w14:paraId="1E4C3B16" w14:textId="77777777" w:rsidR="00C44E2C" w:rsidRDefault="00CC187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Sin embargo, es mencionar que el presente voto se</w:t>
      </w:r>
      <w:r>
        <w:rPr>
          <w:rFonts w:ascii="Palatino Linotype" w:eastAsia="Palatino Linotype" w:hAnsi="Palatino Linotype" w:cs="Palatino Linotype"/>
        </w:rPr>
        <w:t xml:space="preserve"> formula, toda vez que no se </w:t>
      </w:r>
      <w:proofErr w:type="gramStart"/>
      <w:r>
        <w:rPr>
          <w:rFonts w:ascii="Palatino Linotype" w:eastAsia="Palatino Linotype" w:hAnsi="Palatino Linotype" w:cs="Palatino Linotype"/>
        </w:rPr>
        <w:t>comparte  que</w:t>
      </w:r>
      <w:proofErr w:type="gramEnd"/>
      <w:r>
        <w:rPr>
          <w:rFonts w:ascii="Palatino Linotype" w:eastAsia="Palatino Linotype" w:hAnsi="Palatino Linotype" w:cs="Palatino Linotype"/>
        </w:rPr>
        <w:t xml:space="preserve"> se haya resuelto ordenar la entrega de la balanza de comprobación detallada de forma íntegra, es decir, se determinó que por la estructura del documento, el mismo no contiene datos personales, en razón de que, en </w:t>
      </w:r>
      <w:r>
        <w:rPr>
          <w:rFonts w:ascii="Palatino Linotype" w:eastAsia="Palatino Linotype" w:hAnsi="Palatino Linotype" w:cs="Palatino Linotype"/>
        </w:rPr>
        <w:t xml:space="preserve">términos generales esta se integra de datos como: cuenta, subcuenta, nombres de la cuenta, saldo inicial, movimientos, saldo final, como se advierte a continuación. </w:t>
      </w:r>
    </w:p>
    <w:p w14:paraId="6D837C7A" w14:textId="77777777" w:rsidR="00C44E2C" w:rsidRDefault="00CC1874">
      <w:pPr>
        <w:spacing w:before="240" w:after="240"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45AFBF58" wp14:editId="024C5FA0">
            <wp:extent cx="5612130" cy="685800"/>
            <wp:effectExtent l="0" t="0" r="0" b="0"/>
            <wp:docPr id="15514532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685800"/>
                    </a:xfrm>
                    <a:prstGeom prst="rect">
                      <a:avLst/>
                    </a:prstGeom>
                    <a:ln/>
                  </pic:spPr>
                </pic:pic>
              </a:graphicData>
            </a:graphic>
          </wp:inline>
        </w:drawing>
      </w:r>
    </w:p>
    <w:p w14:paraId="684B4B14" w14:textId="77777777" w:rsidR="00C44E2C" w:rsidRDefault="00CC187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No </w:t>
      </w:r>
      <w:proofErr w:type="gramStart"/>
      <w:r>
        <w:rPr>
          <w:rFonts w:ascii="Palatino Linotype" w:eastAsia="Palatino Linotype" w:hAnsi="Palatino Linotype" w:cs="Palatino Linotype"/>
        </w:rPr>
        <w:t>obstante</w:t>
      </w:r>
      <w:proofErr w:type="gramEnd"/>
      <w:r>
        <w:rPr>
          <w:rFonts w:ascii="Palatino Linotype" w:eastAsia="Palatino Linotype" w:hAnsi="Palatino Linotype" w:cs="Palatino Linotype"/>
        </w:rPr>
        <w:t xml:space="preserve"> lo anterior, no se debe perder de vista, que si la balanza de comprobación detallada tiene como finalidad clasificar las operaciones por cuenta y subcuentas; estas se presentarán hasta el quinto nivel de tal manera que se puedan conocer el movi</w:t>
      </w:r>
      <w:r>
        <w:rPr>
          <w:rFonts w:ascii="Palatino Linotype" w:eastAsia="Palatino Linotype" w:hAnsi="Palatino Linotype" w:cs="Palatino Linotype"/>
        </w:rPr>
        <w:t xml:space="preserve">miento y saldo de cada una de ella y así garantizar la veracidad de la contabilidad. </w:t>
      </w:r>
    </w:p>
    <w:p w14:paraId="2B8C3AB9" w14:textId="77777777" w:rsidR="00C44E2C" w:rsidRDefault="00CC187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este entendido, toda vez que el documento contiene los detalles de </w:t>
      </w:r>
      <w:proofErr w:type="gramStart"/>
      <w:r>
        <w:rPr>
          <w:rFonts w:ascii="Palatino Linotype" w:eastAsia="Palatino Linotype" w:hAnsi="Palatino Linotype" w:cs="Palatino Linotype"/>
        </w:rPr>
        <w:t>la operaciones</w:t>
      </w:r>
      <w:proofErr w:type="gramEnd"/>
      <w:r>
        <w:rPr>
          <w:rFonts w:ascii="Palatino Linotype" w:eastAsia="Palatino Linotype" w:hAnsi="Palatino Linotype" w:cs="Palatino Linotype"/>
        </w:rPr>
        <w:t xml:space="preserve">, el mismo puede contener el número de cuenta bancaria a la cual se </w:t>
      </w:r>
      <w:proofErr w:type="spellStart"/>
      <w:r>
        <w:rPr>
          <w:rFonts w:ascii="Palatino Linotype" w:eastAsia="Palatino Linotype" w:hAnsi="Palatino Linotype" w:cs="Palatino Linotype"/>
        </w:rPr>
        <w:t>destino</w:t>
      </w:r>
      <w:proofErr w:type="spellEnd"/>
      <w:r>
        <w:rPr>
          <w:rFonts w:ascii="Palatino Linotype" w:eastAsia="Palatino Linotype" w:hAnsi="Palatino Linotype" w:cs="Palatino Linotype"/>
        </w:rPr>
        <w:t xml:space="preserve"> el egreso.</w:t>
      </w:r>
      <w:r>
        <w:rPr>
          <w:rFonts w:ascii="Palatino Linotype" w:eastAsia="Palatino Linotype" w:hAnsi="Palatino Linotype" w:cs="Palatino Linotype"/>
        </w:rPr>
        <w:t xml:space="preserve"> </w:t>
      </w:r>
    </w:p>
    <w:p w14:paraId="3DB599BB" w14:textId="77777777" w:rsidR="00C44E2C" w:rsidRDefault="00CC187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no se consideró en la resolución el pronunciamiento del Servidor Público Habilitado quien al contar con facultades para generar, poseer y administrar la información pública solicitada manifestó que el documento contiene datos susceptibles </w:t>
      </w:r>
      <w:r>
        <w:rPr>
          <w:rFonts w:ascii="Palatino Linotype" w:eastAsia="Palatino Linotype" w:hAnsi="Palatino Linotype" w:cs="Palatino Linotype"/>
        </w:rPr>
        <w:t xml:space="preserve">de clasificar como información confidencial, entre otros, el número de cuenta bancarios, y que si bien es cierto no refirió si se trata de cuentas bancarias del Sujeto Obligado, la Ponencia que resuelve no se allegó de elementos </w:t>
      </w:r>
      <w:r>
        <w:rPr>
          <w:rFonts w:ascii="Palatino Linotype" w:eastAsia="Palatino Linotype" w:hAnsi="Palatino Linotype" w:cs="Palatino Linotype"/>
          <w:b/>
        </w:rPr>
        <w:t xml:space="preserve"> </w:t>
      </w:r>
      <w:r>
        <w:rPr>
          <w:rFonts w:ascii="Palatino Linotype" w:eastAsia="Palatino Linotype" w:hAnsi="Palatino Linotype" w:cs="Palatino Linotype"/>
        </w:rPr>
        <w:t>para determinar si se trat</w:t>
      </w:r>
      <w:r>
        <w:rPr>
          <w:rFonts w:ascii="Palatino Linotype" w:eastAsia="Palatino Linotype" w:hAnsi="Palatino Linotype" w:cs="Palatino Linotype"/>
        </w:rPr>
        <w:t xml:space="preserve">a de cuentas bancarias de los proveedores.  </w:t>
      </w:r>
    </w:p>
    <w:p w14:paraId="7AD7828E" w14:textId="77777777" w:rsidR="00C44E2C" w:rsidRDefault="00CC187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es de destacar que, el número de cuenta, las </w:t>
      </w:r>
      <w:proofErr w:type="spellStart"/>
      <w:r>
        <w:rPr>
          <w:rFonts w:ascii="Palatino Linotype" w:eastAsia="Palatino Linotype" w:hAnsi="Palatino Linotype" w:cs="Palatino Linotype"/>
        </w:rPr>
        <w:t>clabes</w:t>
      </w:r>
      <w:proofErr w:type="spellEnd"/>
      <w:r>
        <w:rPr>
          <w:rFonts w:ascii="Palatino Linotype" w:eastAsia="Palatino Linotype" w:hAnsi="Palatino Linotype" w:cs="Palatino Linotype"/>
        </w:rPr>
        <w:t xml:space="preserve"> interbancarias, la institución y/o sucursal bancaria de particulares es información que sólo su titular o personas autorizadas pueden tener ac</w:t>
      </w:r>
      <w:r>
        <w:rPr>
          <w:rFonts w:ascii="Palatino Linotype" w:eastAsia="Palatino Linotype" w:hAnsi="Palatino Linotype" w:cs="Palatino Linotype"/>
        </w:rPr>
        <w:t>ceso, por lo que la difusión pública del mismo facilita la afectación al patrimonio del titular de la cuenta.</w:t>
      </w:r>
    </w:p>
    <w:p w14:paraId="38B889CE" w14:textId="77777777" w:rsidR="00C44E2C" w:rsidRDefault="00CC1874">
      <w:pPr>
        <w:spacing w:before="240" w:after="24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el número de cuenta bancaria y de </w:t>
      </w:r>
      <w:proofErr w:type="spellStart"/>
      <w:r>
        <w:rPr>
          <w:rFonts w:ascii="Palatino Linotype" w:eastAsia="Palatino Linotype" w:hAnsi="Palatino Linotype" w:cs="Palatino Linotype"/>
        </w:rPr>
        <w:t>clabe</w:t>
      </w:r>
      <w:proofErr w:type="spellEnd"/>
      <w:r>
        <w:rPr>
          <w:rFonts w:ascii="Palatino Linotype" w:eastAsia="Palatino Linotype" w:hAnsi="Palatino Linotype" w:cs="Palatino Linotype"/>
        </w:rPr>
        <w:t xml:space="preserve"> interbancaria deben ser clasificados como confidenciales con fundamento en las fracciones</w:t>
      </w:r>
      <w:r>
        <w:rPr>
          <w:rFonts w:ascii="Palatino Linotype" w:eastAsia="Palatino Linotype" w:hAnsi="Palatino Linotype" w:cs="Palatino Linotype"/>
        </w:rPr>
        <w:t xml:space="preserve"> I y II del artículo 143 de la Ley de la Materia de la Entidad; en razón de que, con su difusión se estaría poniendo en riesgo la seguridad de su titular.</w:t>
      </w:r>
    </w:p>
    <w:p w14:paraId="1A8B865F" w14:textId="77777777" w:rsidR="00C44E2C" w:rsidRDefault="00CC1874">
      <w:pPr>
        <w:spacing w:before="240" w:after="24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Además de que, la publicidad de los números de cuenta bancaria de los particulares en nada contribuye</w:t>
      </w:r>
      <w:r>
        <w:rPr>
          <w:rFonts w:ascii="Palatino Linotype" w:eastAsia="Palatino Linotype" w:hAnsi="Palatino Linotype" w:cs="Palatino Linotype"/>
        </w:rPr>
        <w:t xml:space="preserve"> a la rendición de cuentas, sino por el contrario, dar a conocer los números de las cuentas bancarias hace vulnerable a las personas físicas, al abrir la posibilidad de que terceros que cuenten con las posibilidades tecnológicas y/o económicas puedan reali</w:t>
      </w:r>
      <w:r>
        <w:rPr>
          <w:rFonts w:ascii="Palatino Linotype" w:eastAsia="Palatino Linotype" w:hAnsi="Palatino Linotype" w:cs="Palatino Linotype"/>
        </w:rPr>
        <w:t xml:space="preserve">zar actos ilícitos mediante operaciones cibernéticas; en esa virtud, este Instituto determina que </w:t>
      </w:r>
      <w:r>
        <w:rPr>
          <w:rFonts w:ascii="Palatino Linotype" w:eastAsia="Palatino Linotype" w:hAnsi="Palatino Linotype" w:cs="Palatino Linotype"/>
        </w:rPr>
        <w:lastRenderedPageBreak/>
        <w:t>dicha información no puede ser del dominio público, toda vez que se podría dar un uso inadecuado a la misma o cometer algún ilícito o fraude en contra del pat</w:t>
      </w:r>
      <w:r>
        <w:rPr>
          <w:rFonts w:ascii="Palatino Linotype" w:eastAsia="Palatino Linotype" w:hAnsi="Palatino Linotype" w:cs="Palatino Linotype"/>
        </w:rPr>
        <w:t>rimonio de los particulares.</w:t>
      </w:r>
    </w:p>
    <w:p w14:paraId="75AE9884" w14:textId="77777777" w:rsidR="00C44E2C" w:rsidRDefault="00CC1874">
      <w:pPr>
        <w:spacing w:before="240" w:after="24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Robustece lo anterior, el Criterio 10/17 emitido por la Suprema Corte de Justicia de la Nación, que a la letra señala lo siguiente:</w:t>
      </w:r>
    </w:p>
    <w:p w14:paraId="461DEE06" w14:textId="77777777" w:rsidR="00C44E2C" w:rsidRDefault="00CC1874">
      <w:pPr>
        <w:shd w:val="clear" w:color="auto" w:fill="FFFFFF"/>
        <w:spacing w:before="240" w:after="240" w:line="276" w:lineRule="auto"/>
        <w:ind w:left="560" w:right="900"/>
        <w:jc w:val="both"/>
        <w:rPr>
          <w:rFonts w:ascii="Palatino Linotype" w:eastAsia="Palatino Linotype" w:hAnsi="Palatino Linotype" w:cs="Palatino Linotype"/>
          <w:highlight w:val="red"/>
        </w:rPr>
      </w:pPr>
      <w:r>
        <w:rPr>
          <w:rFonts w:ascii="Palatino Linotype" w:eastAsia="Palatino Linotype" w:hAnsi="Palatino Linotype" w:cs="Palatino Linotype"/>
          <w:b/>
          <w:i/>
        </w:rPr>
        <w:t xml:space="preserve"> “Cuentas bancarias y/o CLABE interbancaria de personas físicas y morales privadas.</w:t>
      </w:r>
      <w:r>
        <w:rPr>
          <w:rFonts w:ascii="Palatino Linotype" w:eastAsia="Palatino Linotype" w:hAnsi="Palatino Linotype" w:cs="Palatino Linotype"/>
          <w:i/>
        </w:rPr>
        <w:t xml:space="preserve"> El número d</w:t>
      </w:r>
      <w:r>
        <w:rPr>
          <w:rFonts w:ascii="Palatino Linotype" w:eastAsia="Palatino Linotype" w:hAnsi="Palatino Linotype" w:cs="Palatino Linotype"/>
          <w:i/>
        </w:rPr>
        <w:t>e cuenta bancaria y/o CLABE interbancaria de particulares es información confidencial, al tratarse de un conjunto de caracteres numéricos utilizados por los grupos financieros para identificar las cuentas de sus clientes, a través de los cuales se puede ac</w:t>
      </w:r>
      <w:r>
        <w:rPr>
          <w:rFonts w:ascii="Palatino Linotype" w:eastAsia="Palatino Linotype" w:hAnsi="Palatino Linotype" w:cs="Palatino Linotype"/>
          <w:i/>
        </w:rPr>
        <w:t>ceder a información relacionada con su patrimonio y realizar diversas transacciones; por tanto, constituye información clasificada con fundamento en los artículos 116 de la Ley General de Transparencia y Acceso a la Información Pública y 113 de la Ley Fede</w:t>
      </w:r>
      <w:r>
        <w:rPr>
          <w:rFonts w:ascii="Palatino Linotype" w:eastAsia="Palatino Linotype" w:hAnsi="Palatino Linotype" w:cs="Palatino Linotype"/>
          <w:i/>
        </w:rPr>
        <w:t>ral de Transparencia y Acceso a la Información Pública.</w:t>
      </w:r>
    </w:p>
    <w:p w14:paraId="05412F94" w14:textId="77777777" w:rsidR="00C44E2C" w:rsidRDefault="00CC187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consiguiente, el número de cuenta bancaria o </w:t>
      </w:r>
      <w:proofErr w:type="spellStart"/>
      <w:r>
        <w:rPr>
          <w:rFonts w:ascii="Palatino Linotype" w:eastAsia="Palatino Linotype" w:hAnsi="Palatino Linotype" w:cs="Palatino Linotype"/>
        </w:rPr>
        <w:t>clabe</w:t>
      </w:r>
      <w:proofErr w:type="spellEnd"/>
      <w:r>
        <w:rPr>
          <w:rFonts w:ascii="Palatino Linotype" w:eastAsia="Palatino Linotype" w:hAnsi="Palatino Linotype" w:cs="Palatino Linotype"/>
        </w:rPr>
        <w:t xml:space="preserve"> interbancaria que pueden obrar en la Balanza de Comprobación Detallada es un dato susceptible de ser clasificado como confidencial en términos de</w:t>
      </w:r>
      <w:r>
        <w:rPr>
          <w:rFonts w:ascii="Palatino Linotype" w:eastAsia="Palatino Linotype" w:hAnsi="Palatino Linotype" w:cs="Palatino Linotype"/>
        </w:rPr>
        <w:t>l artículo 143, fracción I, de la Ley de Transparencia y Acceso a la Información Pública del Estado de México y Municipios.</w:t>
      </w:r>
    </w:p>
    <w:p w14:paraId="30CAFA9D" w14:textId="77777777" w:rsidR="00C44E2C" w:rsidRDefault="00CC187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En este sentido, tomando como referencia que, el Tesorero Municipal, en su respuesta alegó que la información debía clasificarse por</w:t>
      </w:r>
      <w:r>
        <w:rPr>
          <w:rFonts w:ascii="Palatino Linotype" w:eastAsia="Palatino Linotype" w:hAnsi="Palatino Linotype" w:cs="Palatino Linotype"/>
        </w:rPr>
        <w:t xml:space="preserve"> contener datos personales, es que se insiste que, la Ponencia Resolutora debió haber valorado dicha manifestación y ordenar la entrega de la información, de ser el caso, en versión pública, </w:t>
      </w:r>
      <w:r>
        <w:rPr>
          <w:rFonts w:ascii="Palatino Linotype" w:eastAsia="Palatino Linotype" w:hAnsi="Palatino Linotype" w:cs="Palatino Linotype"/>
          <w:color w:val="000000"/>
        </w:rPr>
        <w:t xml:space="preserve">acompañado de su acuerdo emitido por el Comité de Transparencia, </w:t>
      </w:r>
      <w:r>
        <w:rPr>
          <w:rFonts w:ascii="Palatino Linotype" w:eastAsia="Palatino Linotype" w:hAnsi="Palatino Linotype" w:cs="Palatino Linotype"/>
          <w:color w:val="000000"/>
        </w:rPr>
        <w:t xml:space="preserve">razón por la cual, </w:t>
      </w:r>
      <w:r>
        <w:rPr>
          <w:rFonts w:ascii="Palatino Linotype" w:eastAsia="Palatino Linotype" w:hAnsi="Palatino Linotype" w:cs="Palatino Linotype"/>
        </w:rPr>
        <w:t xml:space="preserve">se emite el presente </w:t>
      </w:r>
      <w:r>
        <w:rPr>
          <w:rFonts w:ascii="Palatino Linotype" w:eastAsia="Palatino Linotype" w:hAnsi="Palatino Linotype" w:cs="Palatino Linotype"/>
          <w:b/>
        </w:rPr>
        <w:t>Voto Particular.</w:t>
      </w:r>
    </w:p>
    <w:p w14:paraId="75FD1533" w14:textId="77777777" w:rsidR="00C44E2C" w:rsidRDefault="00C44E2C">
      <w:pPr>
        <w:spacing w:after="0" w:line="360" w:lineRule="auto"/>
        <w:jc w:val="both"/>
        <w:rPr>
          <w:rFonts w:ascii="Palatino Linotype" w:eastAsia="Palatino Linotype" w:hAnsi="Palatino Linotype" w:cs="Palatino Linotype"/>
        </w:rPr>
      </w:pPr>
    </w:p>
    <w:p w14:paraId="09234043" w14:textId="77777777" w:rsidR="00C44E2C" w:rsidRDefault="00C44E2C">
      <w:pPr>
        <w:tabs>
          <w:tab w:val="left" w:pos="851"/>
        </w:tabs>
        <w:spacing w:after="0" w:line="240" w:lineRule="auto"/>
        <w:ind w:right="902"/>
        <w:jc w:val="both"/>
        <w:rPr>
          <w:rFonts w:ascii="Palatino Linotype" w:eastAsia="Palatino Linotype" w:hAnsi="Palatino Linotype" w:cs="Palatino Linotype"/>
        </w:rPr>
      </w:pPr>
      <w:bookmarkStart w:id="1" w:name="_heading=h.2et92p0" w:colFirst="0" w:colLast="0"/>
      <w:bookmarkEnd w:id="1"/>
    </w:p>
    <w:p w14:paraId="28651233"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4877E96C"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3B42A53C"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06C9AFD7"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026B71B3"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6EF5820B"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5B8ACBAB"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76B450A2"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7E865E2B"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03D799A0"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012D484D"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413B55CA"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1C56F97B"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4FADB37B"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55CB60AE"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7648DBBC"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6422A40B"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1FFC37CE"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29F58C57"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4C15A96A"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7611301B"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0C6F6B88"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297CED4A"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38A80228"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20677CF1"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bookmarkStart w:id="2" w:name="_heading=h.30j0zll" w:colFirst="0" w:colLast="0"/>
      <w:bookmarkEnd w:id="2"/>
    </w:p>
    <w:p w14:paraId="3D30FD2C"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1B6D4FBD"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4B98B577"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3C766BB9"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260F7BB7"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3B09D759"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03975032"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5EEC3FFD" w14:textId="77777777" w:rsidR="00C44E2C" w:rsidRDefault="00C44E2C">
      <w:pPr>
        <w:tabs>
          <w:tab w:val="left" w:pos="851"/>
        </w:tabs>
        <w:spacing w:after="0" w:line="240" w:lineRule="auto"/>
        <w:ind w:right="902"/>
        <w:jc w:val="both"/>
        <w:rPr>
          <w:rFonts w:ascii="Palatino Linotype" w:eastAsia="Palatino Linotype" w:hAnsi="Palatino Linotype" w:cs="Palatino Linotype"/>
          <w:i/>
        </w:rPr>
      </w:pPr>
    </w:p>
    <w:p w14:paraId="285FC519" w14:textId="77777777" w:rsidR="00C44E2C" w:rsidRDefault="00C44E2C">
      <w:pPr>
        <w:spacing w:after="0" w:line="360" w:lineRule="auto"/>
        <w:ind w:right="423"/>
        <w:jc w:val="both"/>
        <w:rPr>
          <w:rFonts w:ascii="Palatino Linotype" w:eastAsia="Palatino Linotype" w:hAnsi="Palatino Linotype" w:cs="Palatino Linotype"/>
        </w:rPr>
      </w:pPr>
    </w:p>
    <w:p w14:paraId="7D19110B" w14:textId="77777777" w:rsidR="00C44E2C" w:rsidRDefault="00C44E2C">
      <w:pPr>
        <w:tabs>
          <w:tab w:val="left" w:pos="709"/>
        </w:tabs>
        <w:spacing w:after="0" w:line="360" w:lineRule="auto"/>
        <w:jc w:val="both"/>
        <w:rPr>
          <w:rFonts w:ascii="Palatino Linotype" w:eastAsia="Palatino Linotype" w:hAnsi="Palatino Linotype" w:cs="Palatino Linotype"/>
          <w:b/>
        </w:rPr>
      </w:pPr>
    </w:p>
    <w:sectPr w:rsidR="00C44E2C">
      <w:headerReference w:type="default" r:id="rId9"/>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4335F" w14:textId="77777777" w:rsidR="00CC1874" w:rsidRDefault="00CC1874">
      <w:pPr>
        <w:spacing w:after="0" w:line="240" w:lineRule="auto"/>
      </w:pPr>
      <w:r>
        <w:separator/>
      </w:r>
    </w:p>
  </w:endnote>
  <w:endnote w:type="continuationSeparator" w:id="0">
    <w:p w14:paraId="5D63B17D" w14:textId="77777777" w:rsidR="00CC1874" w:rsidRDefault="00CC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94BA" w14:textId="77777777" w:rsidR="00CC1874" w:rsidRDefault="00CC1874">
      <w:pPr>
        <w:spacing w:after="0" w:line="240" w:lineRule="auto"/>
      </w:pPr>
      <w:r>
        <w:separator/>
      </w:r>
    </w:p>
  </w:footnote>
  <w:footnote w:type="continuationSeparator" w:id="0">
    <w:p w14:paraId="1A21CD52" w14:textId="77777777" w:rsidR="00CC1874" w:rsidRDefault="00CC1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7C67" w14:textId="77777777" w:rsidR="00C44E2C" w:rsidRDefault="00CC1874">
    <w:pPr>
      <w:widowControl w:val="0"/>
      <w:pBdr>
        <w:top w:val="nil"/>
        <w:left w:val="nil"/>
        <w:bottom w:val="nil"/>
        <w:right w:val="nil"/>
        <w:between w:val="nil"/>
      </w:pBdr>
      <w:spacing w:after="0" w:line="276" w:lineRule="auto"/>
      <w:rPr>
        <w:rFonts w:ascii="Palatino Linotype" w:eastAsia="Palatino Linotype" w:hAnsi="Palatino Linotype" w:cs="Palatino Linotype"/>
        <w:b/>
      </w:rPr>
    </w:pPr>
    <w:r>
      <w:rPr>
        <w:noProof/>
      </w:rPr>
      <w:drawing>
        <wp:anchor distT="0" distB="0" distL="0" distR="0" simplePos="0" relativeHeight="251658240" behindDoc="1" locked="0" layoutInCell="1" hidden="0" allowOverlap="1" wp14:anchorId="498C2F9B" wp14:editId="220B23A1">
          <wp:simplePos x="0" y="0"/>
          <wp:positionH relativeFrom="column">
            <wp:posOffset>-643888</wp:posOffset>
          </wp:positionH>
          <wp:positionV relativeFrom="paragraph">
            <wp:posOffset>-302893</wp:posOffset>
          </wp:positionV>
          <wp:extent cx="7520940" cy="9897110"/>
          <wp:effectExtent l="0" t="0" r="0" b="0"/>
          <wp:wrapNone/>
          <wp:docPr id="155145329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0940" cy="9897110"/>
                  </a:xfrm>
                  <a:prstGeom prst="rect">
                    <a:avLst/>
                  </a:prstGeom>
                  <a:ln/>
                </pic:spPr>
              </pic:pic>
            </a:graphicData>
          </a:graphic>
        </wp:anchor>
      </w:drawing>
    </w:r>
  </w:p>
  <w:tbl>
    <w:tblPr>
      <w:tblStyle w:val="a2"/>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263"/>
      <w:gridCol w:w="3544"/>
    </w:tblGrid>
    <w:tr w:rsidR="00C44E2C" w14:paraId="3D2DF8DA" w14:textId="77777777">
      <w:tc>
        <w:tcPr>
          <w:tcW w:w="2263" w:type="dxa"/>
          <w:vAlign w:val="center"/>
        </w:tcPr>
        <w:p w14:paraId="78C05734" w14:textId="77777777" w:rsidR="00C44E2C" w:rsidRDefault="00C44E2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544" w:type="dxa"/>
          <w:vAlign w:val="center"/>
        </w:tcPr>
        <w:p w14:paraId="05DE534A" w14:textId="77777777" w:rsidR="00C44E2C" w:rsidRDefault="00CC187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C44E2C" w14:paraId="754626AC" w14:textId="77777777">
      <w:tc>
        <w:tcPr>
          <w:tcW w:w="2263" w:type="dxa"/>
          <w:vAlign w:val="center"/>
        </w:tcPr>
        <w:p w14:paraId="27B09B2A" w14:textId="77777777" w:rsidR="00C44E2C" w:rsidRDefault="00CC1874">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544" w:type="dxa"/>
        </w:tcPr>
        <w:p w14:paraId="3D3D572D" w14:textId="77777777" w:rsidR="00C44E2C" w:rsidRDefault="00CC1874">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01020/INFOEM/IP/RR/2025 </w:t>
          </w:r>
        </w:p>
      </w:tc>
    </w:tr>
    <w:tr w:rsidR="00C44E2C" w14:paraId="4254498C" w14:textId="77777777">
      <w:tc>
        <w:tcPr>
          <w:tcW w:w="2263" w:type="dxa"/>
        </w:tcPr>
        <w:p w14:paraId="1F467FB6" w14:textId="77777777" w:rsidR="00C44E2C" w:rsidRDefault="00CC1874">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544" w:type="dxa"/>
        </w:tcPr>
        <w:p w14:paraId="6E9E19E5" w14:textId="77777777" w:rsidR="00C44E2C" w:rsidRDefault="00CC1874">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Ayuntamiento de Acambay de Ruíz Castañeda</w:t>
          </w:r>
        </w:p>
      </w:tc>
    </w:tr>
    <w:tr w:rsidR="00C44E2C" w14:paraId="19D9594B" w14:textId="77777777">
      <w:tc>
        <w:tcPr>
          <w:tcW w:w="2263" w:type="dxa"/>
        </w:tcPr>
        <w:p w14:paraId="3696544E" w14:textId="77777777" w:rsidR="00C44E2C" w:rsidRDefault="00CC1874">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544" w:type="dxa"/>
        </w:tcPr>
        <w:p w14:paraId="402D0303" w14:textId="77777777" w:rsidR="00C44E2C" w:rsidRDefault="00CC1874">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14:paraId="4243457F" w14:textId="77777777" w:rsidR="00C44E2C" w:rsidRDefault="00C44E2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93DC1"/>
    <w:multiLevelType w:val="multilevel"/>
    <w:tmpl w:val="8828E11E"/>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693578"/>
    <w:multiLevelType w:val="multilevel"/>
    <w:tmpl w:val="EAC8C0F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7108168">
    <w:abstractNumId w:val="0"/>
  </w:num>
  <w:num w:numId="2" w16cid:durableId="118740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2C"/>
    <w:rsid w:val="00C44E2C"/>
    <w:rsid w:val="00CC1874"/>
    <w:rsid w:val="00D352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E6DA"/>
  <w15:docId w15:val="{407AEBC7-6C9C-4ACE-BC79-2B32592A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paragraph" w:styleId="Lista">
    <w:name w:val="List"/>
    <w:basedOn w:val="Normal"/>
    <w:uiPriority w:val="99"/>
    <w:unhideWhenUsed/>
    <w:rsid w:val="00E3666A"/>
    <w:pPr>
      <w:ind w:left="283" w:hanging="283"/>
      <w:contextualSpacing/>
    </w:pPr>
  </w:style>
  <w:style w:type="paragraph" w:styleId="Textoindependiente">
    <w:name w:val="Body Text"/>
    <w:basedOn w:val="Normal"/>
    <w:link w:val="TextoindependienteCar"/>
    <w:uiPriority w:val="99"/>
    <w:unhideWhenUsed/>
    <w:rsid w:val="00E3666A"/>
    <w:pPr>
      <w:spacing w:after="120"/>
    </w:pPr>
  </w:style>
  <w:style w:type="character" w:customStyle="1" w:styleId="TextoindependienteCar">
    <w:name w:val="Texto independiente Car"/>
    <w:basedOn w:val="Fuentedeprrafopredeter"/>
    <w:link w:val="Textoindependiente"/>
    <w:uiPriority w:val="99"/>
    <w:rsid w:val="00E3666A"/>
  </w:style>
  <w:style w:type="paragraph" w:styleId="Sangradetextonormal">
    <w:name w:val="Body Text Indent"/>
    <w:basedOn w:val="Normal"/>
    <w:link w:val="SangradetextonormalCar"/>
    <w:uiPriority w:val="99"/>
    <w:semiHidden/>
    <w:unhideWhenUsed/>
    <w:rsid w:val="00E3666A"/>
    <w:pPr>
      <w:spacing w:after="120"/>
      <w:ind w:left="283"/>
    </w:pPr>
  </w:style>
  <w:style w:type="character" w:customStyle="1" w:styleId="SangradetextonormalCar">
    <w:name w:val="Sangría de texto normal Car"/>
    <w:basedOn w:val="Fuentedeprrafopredeter"/>
    <w:link w:val="Sangradetextonormal"/>
    <w:uiPriority w:val="99"/>
    <w:semiHidden/>
    <w:rsid w:val="00E3666A"/>
  </w:style>
  <w:style w:type="paragraph" w:styleId="Textoindependienteprimerasangra2">
    <w:name w:val="Body Text First Indent 2"/>
    <w:basedOn w:val="Sangradetextonormal"/>
    <w:link w:val="Textoindependienteprimerasangra2Car"/>
    <w:uiPriority w:val="99"/>
    <w:unhideWhenUsed/>
    <w:rsid w:val="00E3666A"/>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3666A"/>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m13KdsdtcKce57JQlkC8nwQpA==">CgMxLjAyCGguZ2pkZ3hzMgloLjJldDkycDAyCWguMzBqMHpsbDgAciExUTQ4MUpQXzZ6WjllbEVvQW9fSWdGZlRTbkdqclcxUFI=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1178</Words>
  <Characters>6480</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inf03m619@outlook.com</cp:lastModifiedBy>
  <cp:revision>2</cp:revision>
  <dcterms:created xsi:type="dcterms:W3CDTF">2025-03-11T19:36:00Z</dcterms:created>
  <dcterms:modified xsi:type="dcterms:W3CDTF">2025-03-11T19:36:00Z</dcterms:modified>
</cp:coreProperties>
</file>