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4E" w:rsidRDefault="006A154E">
      <w:pPr>
        <w:spacing w:after="0" w:line="360" w:lineRule="auto"/>
        <w:jc w:val="both"/>
        <w:rPr>
          <w:rFonts w:ascii="Palatino Linotype" w:eastAsia="Palatino Linotype" w:hAnsi="Palatino Linotype" w:cs="Palatino Linotype"/>
          <w:b/>
        </w:rPr>
      </w:pPr>
      <w:bookmarkStart w:id="0" w:name="_heading=h.gjdgxs" w:colFirst="0" w:colLast="0"/>
      <w:bookmarkEnd w:id="0"/>
    </w:p>
    <w:p w:rsidR="006A154E" w:rsidRDefault="00480BA6">
      <w:pPr>
        <w:spacing w:after="0" w:line="360" w:lineRule="auto"/>
        <w:jc w:val="both"/>
        <w:rPr>
          <w:rFonts w:ascii="Palatino Linotype" w:eastAsia="Palatino Linotype" w:hAnsi="Palatino Linotype" w:cs="Palatino Linotype"/>
          <w:b/>
        </w:rPr>
      </w:pPr>
      <w:bookmarkStart w:id="1" w:name="_heading=h.1fob9te" w:colFirst="0" w:colLast="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CUARTA SESIÓN ORDINARIA DEL SEIS DE FEBRERO DE DOS MIL VEINTICINCO, EN EL RECURSO DE REVISIÓN 00085/INFOEM/IP/RR/2025. </w:t>
      </w:r>
    </w:p>
    <w:p w:rsidR="006A154E" w:rsidRDefault="006A154E">
      <w:pPr>
        <w:spacing w:after="0" w:line="360" w:lineRule="auto"/>
        <w:jc w:val="both"/>
        <w:rPr>
          <w:rFonts w:ascii="Palatino Linotype" w:eastAsia="Palatino Linotype" w:hAnsi="Palatino Linotype" w:cs="Palatino Linotype"/>
          <w:b/>
        </w:rPr>
      </w:pPr>
    </w:p>
    <w:p w:rsidR="006A154E" w:rsidRDefault="00480BA6">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w:t>
      </w:r>
      <w:r>
        <w:rPr>
          <w:rFonts w:ascii="Palatino Linotype" w:eastAsia="Palatino Linotype" w:hAnsi="Palatino Linotype" w:cs="Palatino Linotype"/>
        </w:rPr>
        <w:t xml:space="preserve"> por unanimidad de votos, la Resolución relativa al Recurso de Revisión </w:t>
      </w:r>
      <w:r>
        <w:rPr>
          <w:rFonts w:ascii="Palatino Linotype" w:eastAsia="Palatino Linotype" w:hAnsi="Palatino Linotype" w:cs="Palatino Linotype"/>
          <w:b/>
          <w:color w:val="000000"/>
        </w:rPr>
        <w:t>00085/INFOEM/IP/RR/2025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w:t>
      </w:r>
      <w:r>
        <w:rPr>
          <w:rFonts w:ascii="Palatino Linotype" w:eastAsia="Palatino Linotype" w:hAnsi="Palatino Linotype" w:cs="Palatino Linotype"/>
        </w:rPr>
        <w:t>glamento del Instituto de Transparencia, Acceso a la Información Pública y Protección de Personales Datos del Estado de México, así como 45 y 48, fracción I, de los Lineamientos para el funcionamiento del Pleno y las Comisiones del Instituto de Transparenc</w:t>
      </w:r>
      <w:r>
        <w:rPr>
          <w:rFonts w:ascii="Palatino Linotype" w:eastAsia="Palatino Linotype" w:hAnsi="Palatino Linotype" w:cs="Palatino Linotype"/>
        </w:rPr>
        <w:t>ia, Acceso a la Información Pública y Protección de Datos Personales del Estado de México y Municipios.</w:t>
      </w:r>
    </w:p>
    <w:p w:rsidR="006A154E" w:rsidRDefault="006A154E">
      <w:pPr>
        <w:spacing w:after="0" w:line="360" w:lineRule="auto"/>
        <w:jc w:val="both"/>
        <w:rPr>
          <w:rFonts w:ascii="Palatino Linotype" w:eastAsia="Palatino Linotype" w:hAnsi="Palatino Linotype" w:cs="Palatino Linotype"/>
        </w:rPr>
      </w:pPr>
      <w:bookmarkStart w:id="2" w:name="_heading=h.2et92p0" w:colFirst="0" w:colLast="0"/>
      <w:bookmarkEnd w:id="2"/>
    </w:p>
    <w:p w:rsidR="006A154E" w:rsidRDefault="00480BA6">
      <w:pPr>
        <w:spacing w:after="0" w:line="360" w:lineRule="auto"/>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En el asunto que nos ocupa, la parte Recurrente solicitó a Servicios Educativos Integrados al Estado de México que proporcionara de la Escuela Secundar</w:t>
      </w:r>
      <w:r>
        <w:rPr>
          <w:rFonts w:ascii="Palatino Linotype" w:eastAsia="Palatino Linotype" w:hAnsi="Palatino Linotype" w:cs="Palatino Linotype"/>
        </w:rPr>
        <w:t>ía General Número 8 “Lic. Isidro Fabela”, la información relacionada con diversos contratos de obras del periodo comprendido del uno de octubre de dos mil diecisiete al ocho de abril de dos mil veinticuatro, siendo que, dentro de los contratos solicitados,</w:t>
      </w:r>
      <w:r>
        <w:rPr>
          <w:rFonts w:ascii="Palatino Linotype" w:eastAsia="Palatino Linotype" w:hAnsi="Palatino Linotype" w:cs="Palatino Linotype"/>
        </w:rPr>
        <w:t xml:space="preserve"> se encontraban los siguientes: </w:t>
      </w:r>
    </w:p>
    <w:p w:rsidR="006A154E" w:rsidRDefault="006A154E">
      <w:pPr>
        <w:spacing w:after="0" w:line="360" w:lineRule="auto"/>
        <w:jc w:val="both"/>
        <w:rPr>
          <w:rFonts w:ascii="Palatino Linotype" w:eastAsia="Palatino Linotype" w:hAnsi="Palatino Linotype" w:cs="Palatino Linotype"/>
        </w:rPr>
      </w:pP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Contrato para la reparación del puente afectado por el sismo del 2017 en fechas del 05 de junio 2018.  </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la remodelación de bebederos y colocación de techumbre en fechas del 08 de junio del 2018.</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Contrato por </w:t>
      </w:r>
      <w:r>
        <w:rPr>
          <w:rFonts w:ascii="Palatino Linotype" w:eastAsia="Palatino Linotype" w:hAnsi="Palatino Linotype" w:cs="Palatino Linotype"/>
          <w:color w:val="000000"/>
        </w:rPr>
        <w:t>la obra en la construcción del domo en la entrada de la escuela en fechas del 01 octubre 2018.</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la colocación de las rejas de herrería a la entrada de la escuela y construcción de los pisos firme en la entrada de la oficina de jefatura del sec</w:t>
      </w:r>
      <w:r>
        <w:rPr>
          <w:rFonts w:ascii="Palatino Linotype" w:eastAsia="Palatino Linotype" w:hAnsi="Palatino Linotype" w:cs="Palatino Linotype"/>
          <w:color w:val="000000"/>
        </w:rPr>
        <w:t>tor, del pasillo entre la puerta de entrada principal y el portón de estacionamiento y en los pasillos entre jardineras centrales en fechas del mes de agosto 2019</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la restauración del policarbonato en ventanas en el salón de los espejos en fec</w:t>
      </w:r>
      <w:r>
        <w:rPr>
          <w:rFonts w:ascii="Palatino Linotype" w:eastAsia="Palatino Linotype" w:hAnsi="Palatino Linotype" w:cs="Palatino Linotype"/>
          <w:color w:val="000000"/>
        </w:rPr>
        <w:t xml:space="preserve">has 11 de septiembre 2019. </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construcción de la cisterna de agua potable junto con la colocación de 6 tinacos de agua Rotoplas y tubería que inicia de la entrada a los dos baños del en fechas del 11 septiembre 2019.</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Contrato de instalación de </w:t>
      </w:r>
      <w:r>
        <w:rPr>
          <w:rFonts w:ascii="Palatino Linotype" w:eastAsia="Palatino Linotype" w:hAnsi="Palatino Linotype" w:cs="Palatino Linotype"/>
          <w:color w:val="000000"/>
        </w:rPr>
        <w:t>lavamanos por Isla Urbana y colocación de piso firme en fechas del 18 de agosto 2020.</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la construcción de las ESCALERAS DE EMERGENCIA en el edificio donde se ubican los salones de segundo y primer grado y descansan en la jardinera en fechas de</w:t>
      </w:r>
      <w:r>
        <w:rPr>
          <w:rFonts w:ascii="Palatino Linotype" w:eastAsia="Palatino Linotype" w:hAnsi="Palatino Linotype" w:cs="Palatino Linotype"/>
          <w:color w:val="000000"/>
        </w:rPr>
        <w:t>l 10 de octubre 2023.</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la demolición de los escalones de las ESCALERAS DE EMERGENCIA iniciada el 14 de diciembre del 2023 y el contrato para nueva construcción de los escalones de emergencia en fechas 03 de enero 2024.</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 para la demolic</w:t>
      </w:r>
      <w:r>
        <w:rPr>
          <w:rFonts w:ascii="Palatino Linotype" w:eastAsia="Palatino Linotype" w:hAnsi="Palatino Linotype" w:cs="Palatino Linotype"/>
          <w:color w:val="000000"/>
        </w:rPr>
        <w:t xml:space="preserve">ión, construcción y remodelación de la cancha de basquetbol iniciada el 14 de marzo 2024 2. </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autorización para la construcción y ejecución para la obra civil en el espacio educativo.</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Dictamen del director responsable de obra civil y corresponsabl</w:t>
      </w:r>
      <w:r>
        <w:rPr>
          <w:rFonts w:ascii="Palatino Linotype" w:eastAsia="Palatino Linotype" w:hAnsi="Palatino Linotype" w:cs="Palatino Linotype"/>
          <w:color w:val="000000"/>
        </w:rPr>
        <w:t>e en seguridad estructural.</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Certificación de la calidad de aprobación por la autoridad competente d) Informe justificado identificando de donde provienen los recursos. </w:t>
      </w:r>
    </w:p>
    <w:p w:rsidR="006A154E" w:rsidRDefault="00480BA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Contratos de obra civil que se hayan celebrado en el periodo de 01 octubre del 2017 al 08 de abril del 2024 identificando los recursos, es decir si son municipales, estatales, federales, o bien donaciones recibidas de particulares y/o instituciones. </w:t>
      </w:r>
    </w:p>
    <w:p w:rsidR="006A154E" w:rsidRDefault="006A154E">
      <w:pPr>
        <w:spacing w:after="0" w:line="360" w:lineRule="auto"/>
        <w:jc w:val="both"/>
        <w:rPr>
          <w:rFonts w:ascii="Palatino Linotype" w:eastAsia="Palatino Linotype" w:hAnsi="Palatino Linotype" w:cs="Palatino Linotype"/>
          <w:i/>
        </w:rPr>
      </w:pPr>
    </w:p>
    <w:p w:rsidR="006A154E" w:rsidRDefault="00480BA6">
      <w:pPr>
        <w:tabs>
          <w:tab w:val="left" w:pos="7513"/>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w:t>
      </w:r>
      <w:r>
        <w:rPr>
          <w:rFonts w:ascii="Palatino Linotype" w:eastAsia="Palatino Linotype" w:hAnsi="Palatino Linotype" w:cs="Palatino Linotype"/>
          <w:b/>
        </w:rPr>
        <w:t>S</w:t>
      </w:r>
      <w:r>
        <w:rPr>
          <w:rFonts w:ascii="Palatino Linotype" w:eastAsia="Palatino Linotype" w:hAnsi="Palatino Linotype" w:cs="Palatino Linotype"/>
          <w:b/>
        </w:rPr>
        <w:t>ujeto Obligado</w:t>
      </w:r>
      <w:r>
        <w:rPr>
          <w:rFonts w:ascii="Palatino Linotype" w:eastAsia="Palatino Linotype" w:hAnsi="Palatino Linotype" w:cs="Palatino Linotype"/>
        </w:rPr>
        <w:t>, en respuesta, a través de la Dirección de Instalaciones Educativas manifestó que derivado de una revisión exhaustiva en los archivos de su unidad, no se encontró información relacionada con su solicitud. Asimismo, la Dirección Escolar preci</w:t>
      </w:r>
      <w:r>
        <w:rPr>
          <w:rFonts w:ascii="Palatino Linotype" w:eastAsia="Palatino Linotype" w:hAnsi="Palatino Linotype" w:cs="Palatino Linotype"/>
        </w:rPr>
        <w:t>só que, las obras se hicieron con las donaciones de los padres de familia siendo la asociación de padres quienes hicieron la contratación del personal para las obras, del mismo modo, señaló que, la obra para la demolición, construcción y remodelación de la</w:t>
      </w:r>
      <w:r>
        <w:rPr>
          <w:rFonts w:ascii="Palatino Linotype" w:eastAsia="Palatino Linotype" w:hAnsi="Palatino Linotype" w:cs="Palatino Linotype"/>
        </w:rPr>
        <w:t xml:space="preserve"> cancha de basquetbol, se realizó con recursos del programa “La Escuela es Nuestra”, la cual fue administrada por el comité de vigilancia quienes contrataron al personal que laboró en la obra. </w:t>
      </w:r>
    </w:p>
    <w:p w:rsidR="006A154E" w:rsidRDefault="006A154E">
      <w:pPr>
        <w:pBdr>
          <w:top w:val="nil"/>
          <w:left w:val="nil"/>
          <w:bottom w:val="nil"/>
          <w:right w:val="nil"/>
          <w:between w:val="nil"/>
        </w:pBdr>
        <w:spacing w:after="0" w:line="276" w:lineRule="auto"/>
        <w:ind w:right="706"/>
        <w:rPr>
          <w:rFonts w:ascii="Times New Roman" w:eastAsia="Times New Roman" w:hAnsi="Times New Roman" w:cs="Times New Roman"/>
          <w:i/>
          <w:color w:val="000000"/>
        </w:rPr>
      </w:pPr>
    </w:p>
    <w:p w:rsidR="006A154E" w:rsidRDefault="00480BA6">
      <w:pP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rPr>
        <w:t>Derivado de ello,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interpuso su medio de impugnación, expresando medularmente la negativa de entrega de la información por parte del Sujeto Obligado.  </w:t>
      </w:r>
    </w:p>
    <w:p w:rsidR="006A154E" w:rsidRDefault="006A154E">
      <w:pPr>
        <w:spacing w:after="0" w:line="360" w:lineRule="auto"/>
        <w:jc w:val="both"/>
        <w:rPr>
          <w:rFonts w:ascii="Palatino Linotype" w:eastAsia="Palatino Linotype" w:hAnsi="Palatino Linotype" w:cs="Palatino Linotype"/>
          <w:i/>
          <w:color w:val="000000"/>
        </w:rPr>
      </w:pPr>
    </w:p>
    <w:p w:rsidR="006A154E" w:rsidRDefault="00480BA6">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atención a ello, mediante informe justificado, el Sujeto Obligado remitió los informes financieros anuales de la Mesa </w:t>
      </w:r>
      <w:r>
        <w:rPr>
          <w:rFonts w:ascii="Palatino Linotype" w:eastAsia="Palatino Linotype" w:hAnsi="Palatino Linotype" w:cs="Palatino Linotype"/>
          <w:color w:val="000000"/>
        </w:rPr>
        <w:t>Directiva de la Asociación de Padres de Familia de los ciclos escolares 2016-2017, 2017-2018, 2018-2019, 2020-2021, 2022-2023, 2023-2024. Así como, el documento denominado “Rendición de Cuentas Final”, del programa “La Escuela es Nuestra” de fecha veintisé</w:t>
      </w:r>
      <w:r>
        <w:rPr>
          <w:rFonts w:ascii="Palatino Linotype" w:eastAsia="Palatino Linotype" w:hAnsi="Palatino Linotype" w:cs="Palatino Linotype"/>
          <w:color w:val="000000"/>
        </w:rPr>
        <w:t xml:space="preserve">is de junio de dos mil veinticuatro y cinco fotografías. </w:t>
      </w:r>
    </w:p>
    <w:p w:rsidR="006A154E" w:rsidRDefault="006A154E">
      <w:pPr>
        <w:spacing w:after="0" w:line="360" w:lineRule="auto"/>
        <w:jc w:val="both"/>
        <w:rPr>
          <w:rFonts w:ascii="Palatino Linotype" w:eastAsia="Palatino Linotype" w:hAnsi="Palatino Linotype" w:cs="Palatino Linotype"/>
        </w:rPr>
      </w:pPr>
    </w:p>
    <w:p w:rsidR="006A154E" w:rsidRDefault="00480B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otro lado, la Dirección de Instalaciones Educativas manifestó que derivado de una búsqueda exhaustiva y razonable en los expedientes no se cuenta con ninguna solicitud de requerimiento respecto</w:t>
      </w:r>
      <w:r>
        <w:rPr>
          <w:rFonts w:ascii="Palatino Linotype" w:eastAsia="Palatino Linotype" w:hAnsi="Palatino Linotype" w:cs="Palatino Linotype"/>
        </w:rPr>
        <w:t xml:space="preserve"> a contratos de obras civiles, oficios de autorización para la construcción y ejecución de obras civiles en la institución referida. </w:t>
      </w:r>
    </w:p>
    <w:p w:rsidR="006A154E" w:rsidRDefault="006A154E">
      <w:pPr>
        <w:spacing w:after="0" w:line="360" w:lineRule="auto"/>
        <w:jc w:val="both"/>
        <w:rPr>
          <w:rFonts w:ascii="Palatino Linotype" w:eastAsia="Palatino Linotype" w:hAnsi="Palatino Linotype" w:cs="Palatino Linotype"/>
        </w:rPr>
      </w:pPr>
    </w:p>
    <w:p w:rsidR="006A154E" w:rsidRDefault="00480B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Finalmente, la Dirección de Educación Secundaria y Servicios de Apoyo refirió que la información solicitada por el Recurr</w:t>
      </w:r>
      <w:r>
        <w:rPr>
          <w:rFonts w:ascii="Palatino Linotype" w:eastAsia="Palatino Linotype" w:hAnsi="Palatino Linotype" w:cs="Palatino Linotype"/>
        </w:rPr>
        <w:t xml:space="preserve">ente no es de naturaleza pública expresando que al encontrarse en resguardo de la asociación de padres y madres de familia  no es posible brindarle la información, por consiguiente, no existen contratos de obra suscritos por la autoridad escolar. </w:t>
      </w:r>
    </w:p>
    <w:p w:rsidR="006A154E" w:rsidRDefault="006A154E">
      <w:pPr>
        <w:spacing w:after="0" w:line="360" w:lineRule="auto"/>
        <w:jc w:val="both"/>
        <w:rPr>
          <w:rFonts w:ascii="Palatino Linotype" w:eastAsia="Palatino Linotype" w:hAnsi="Palatino Linotype" w:cs="Palatino Linotype"/>
        </w:rPr>
      </w:pPr>
    </w:p>
    <w:p w:rsidR="006A154E" w:rsidRDefault="00480BA6">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la Ponencia Resolutora consideró que, resultaba procedente ordenar la información requerida y,</w:t>
      </w:r>
      <w:r>
        <w:rPr>
          <w:rFonts w:ascii="Palatino Linotype" w:eastAsia="Palatino Linotype" w:hAnsi="Palatino Linotype" w:cs="Palatino Linotype"/>
          <w:color w:val="000000"/>
        </w:rPr>
        <w:t xml:space="preserve"> es por ello que, </w:t>
      </w:r>
      <w:r>
        <w:rPr>
          <w:rFonts w:ascii="Palatino Linotype" w:eastAsia="Palatino Linotype" w:hAnsi="Palatino Linotype" w:cs="Palatino Linotype"/>
          <w:b/>
          <w:color w:val="000000"/>
        </w:rPr>
        <w:t xml:space="preserve">REVOCÓ </w:t>
      </w:r>
      <w:r>
        <w:rPr>
          <w:rFonts w:ascii="Palatino Linotype" w:eastAsia="Palatino Linotype" w:hAnsi="Palatino Linotype" w:cs="Palatino Linotype"/>
          <w:color w:val="000000"/>
        </w:rPr>
        <w:t xml:space="preserve">y </w:t>
      </w:r>
      <w:r>
        <w:rPr>
          <w:rFonts w:ascii="Palatino Linotype" w:eastAsia="Palatino Linotype" w:hAnsi="Palatino Linotype" w:cs="Palatino Linotype"/>
          <w:b/>
          <w:color w:val="000000"/>
        </w:rPr>
        <w:t xml:space="preserve">ORDENÓ </w:t>
      </w:r>
      <w:r>
        <w:rPr>
          <w:rFonts w:ascii="Palatino Linotype" w:eastAsia="Palatino Linotype" w:hAnsi="Palatino Linotype" w:cs="Palatino Linotype"/>
          <w:color w:val="000000"/>
        </w:rPr>
        <w:t xml:space="preserve">lo siguiente: </w:t>
      </w:r>
    </w:p>
    <w:p w:rsidR="006A154E" w:rsidRDefault="006A154E">
      <w:pPr>
        <w:spacing w:after="0"/>
        <w:rPr>
          <w:rFonts w:ascii="Palatino Linotype" w:eastAsia="Palatino Linotype" w:hAnsi="Palatino Linotype" w:cs="Palatino Linotype"/>
          <w:i/>
        </w:rPr>
      </w:pPr>
    </w:p>
    <w:p w:rsidR="006A154E" w:rsidRDefault="00480BA6">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PRIMERO.</w:t>
      </w:r>
      <w:r>
        <w:rPr>
          <w:rFonts w:ascii="Palatino Linotype" w:eastAsia="Palatino Linotype" w:hAnsi="Palatino Linotype" w:cs="Palatino Linotype"/>
          <w:i/>
        </w:rPr>
        <w:t xml:space="preserve"> Se</w:t>
      </w:r>
      <w:r>
        <w:rPr>
          <w:rFonts w:ascii="Palatino Linotype" w:eastAsia="Palatino Linotype" w:hAnsi="Palatino Linotype" w:cs="Palatino Linotype"/>
          <w:b/>
          <w:i/>
        </w:rPr>
        <w:t xml:space="preserve"> REVOCA </w:t>
      </w:r>
      <w:r>
        <w:rPr>
          <w:rFonts w:ascii="Palatino Linotype" w:eastAsia="Palatino Linotype" w:hAnsi="Palatino Linotype" w:cs="Palatino Linotype"/>
          <w:i/>
        </w:rPr>
        <w:t xml:space="preserve">la respuesta entregada por </w:t>
      </w:r>
      <w:r>
        <w:rPr>
          <w:rFonts w:ascii="Palatino Linotype" w:eastAsia="Palatino Linotype" w:hAnsi="Palatino Linotype" w:cs="Palatino Linotype"/>
          <w:b/>
          <w:i/>
        </w:rPr>
        <w:t>El Sujeto Oblig</w:t>
      </w:r>
      <w:r>
        <w:rPr>
          <w:rFonts w:ascii="Palatino Linotype" w:eastAsia="Palatino Linotype" w:hAnsi="Palatino Linotype" w:cs="Palatino Linotype"/>
          <w:b/>
          <w:i/>
        </w:rPr>
        <w:t xml:space="preserve">ado </w:t>
      </w:r>
      <w:r>
        <w:rPr>
          <w:rFonts w:ascii="Palatino Linotype" w:eastAsia="Palatino Linotype" w:hAnsi="Palatino Linotype" w:cs="Palatino Linotype"/>
          <w:i/>
        </w:rPr>
        <w:t xml:space="preserve">a la solicitud de información número </w:t>
      </w:r>
      <w:r>
        <w:rPr>
          <w:rFonts w:ascii="Palatino Linotype" w:eastAsia="Palatino Linotype" w:hAnsi="Palatino Linotype" w:cs="Palatino Linotype"/>
          <w:b/>
          <w:i/>
        </w:rPr>
        <w:t xml:space="preserve">00652/SEIEM/IP/2024, </w:t>
      </w:r>
      <w:r>
        <w:rPr>
          <w:rFonts w:ascii="Palatino Linotype" w:eastAsia="Palatino Linotype" w:hAnsi="Palatino Linotype" w:cs="Palatino Linotype"/>
          <w:i/>
        </w:rPr>
        <w:t>por resultar fundados los motivos de inconformidad vertidos por el</w:t>
      </w:r>
      <w:r>
        <w:rPr>
          <w:rFonts w:ascii="Palatino Linotype" w:eastAsia="Palatino Linotype" w:hAnsi="Palatino Linotype" w:cs="Palatino Linotype"/>
          <w:b/>
          <w:i/>
        </w:rPr>
        <w:t xml:space="preserve"> Recurrente</w:t>
      </w:r>
      <w:r>
        <w:rPr>
          <w:rFonts w:ascii="Palatino Linotype" w:eastAsia="Palatino Linotype" w:hAnsi="Palatino Linotype" w:cs="Palatino Linotype"/>
          <w:i/>
        </w:rPr>
        <w:t xml:space="preserve">, en términos del Considerando </w:t>
      </w:r>
      <w:r>
        <w:rPr>
          <w:rFonts w:ascii="Palatino Linotype" w:eastAsia="Palatino Linotype" w:hAnsi="Palatino Linotype" w:cs="Palatino Linotype"/>
          <w:b/>
          <w:i/>
        </w:rPr>
        <w:t>CUARTO</w:t>
      </w:r>
      <w:r>
        <w:rPr>
          <w:rFonts w:ascii="Palatino Linotype" w:eastAsia="Palatino Linotype" w:hAnsi="Palatino Linotype" w:cs="Palatino Linotype"/>
          <w:i/>
        </w:rPr>
        <w:t xml:space="preserve"> de esta resolución.</w:t>
      </w:r>
    </w:p>
    <w:p w:rsidR="006A154E" w:rsidRDefault="006A154E">
      <w:pPr>
        <w:spacing w:after="0" w:line="276" w:lineRule="auto"/>
        <w:ind w:left="567" w:right="706"/>
        <w:jc w:val="both"/>
        <w:rPr>
          <w:rFonts w:ascii="Palatino Linotype" w:eastAsia="Palatino Linotype" w:hAnsi="Palatino Linotype" w:cs="Palatino Linotype"/>
          <w:i/>
        </w:rPr>
      </w:pPr>
    </w:p>
    <w:p w:rsidR="006A154E" w:rsidRDefault="00480BA6">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ORDENA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haga entrega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de esta resolución en copias certificadas (con costo), en versión pública de ser procedente, respecto d</w:t>
      </w:r>
      <w:r>
        <w:rPr>
          <w:rFonts w:ascii="Palatino Linotype" w:eastAsia="Palatino Linotype" w:hAnsi="Palatino Linotype" w:cs="Palatino Linotype"/>
          <w:i/>
          <w:color w:val="000000"/>
        </w:rPr>
        <w:t>e la escuela secundaria general número 8 “lic. Isidro Fabela” con clave de centro de trabajo C.C.T 15DES00</w:t>
      </w:r>
      <w:r>
        <w:rPr>
          <w:rFonts w:ascii="Palatino Linotype" w:eastAsia="Palatino Linotype" w:hAnsi="Palatino Linotype" w:cs="Palatino Linotype"/>
          <w:i/>
          <w:color w:val="000000"/>
        </w:rPr>
        <w:t xml:space="preserve">08K, </w:t>
      </w:r>
      <w:r>
        <w:rPr>
          <w:rFonts w:ascii="Palatino Linotype" w:eastAsia="Palatino Linotype" w:hAnsi="Palatino Linotype" w:cs="Palatino Linotype"/>
          <w:i/>
        </w:rPr>
        <w:t>lo siguiente:</w:t>
      </w:r>
    </w:p>
    <w:p w:rsidR="006A154E" w:rsidRDefault="00480BA6">
      <w:pPr>
        <w:numPr>
          <w:ilvl w:val="0"/>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Del 01 octubre del 2017 al 08 de abril del 2024;</w:t>
      </w:r>
    </w:p>
    <w:p w:rsidR="006A154E" w:rsidRDefault="00480BA6">
      <w:pPr>
        <w:numPr>
          <w:ilvl w:val="2"/>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Los contratos de las obras civiles </w:t>
      </w:r>
    </w:p>
    <w:p w:rsidR="006A154E" w:rsidRDefault="00480BA6">
      <w:pPr>
        <w:numPr>
          <w:ilvl w:val="2"/>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contratos de obra civil que se hayan celebrado identificando los recursos (municipales, estatales, federales, o bien donaciones recibidas de particulares y/o instituciones.</w:t>
      </w:r>
    </w:p>
    <w:p w:rsidR="006A154E" w:rsidRDefault="006A154E">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p>
    <w:p w:rsidR="006A154E" w:rsidRDefault="00480BA6">
      <w:pPr>
        <w:numPr>
          <w:ilvl w:val="0"/>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Conforme a expedientes administrativos de contratación de obras civiles;</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Contrato para la reparación del puente afectado por el sismo del 2017 en fechas del 05 de junio 2018.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Contrato para la remodelación de bebederos y colocación de techumbre en fechas del 08 de junio del 2018.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Contrato por la obra en la construcción del dom</w:t>
      </w:r>
      <w:r>
        <w:rPr>
          <w:rFonts w:ascii="Palatino Linotype" w:eastAsia="Palatino Linotype" w:hAnsi="Palatino Linotype" w:cs="Palatino Linotype"/>
          <w:i/>
          <w:color w:val="000000"/>
        </w:rPr>
        <w:t xml:space="preserve">o en la entrada de la escuela en fechas del 01 octubre 2018.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Contrato para la colocación de las rejas de herrería a la entrada de la escuela y construcción de los pisos firme en la entrada de la oficina de jefatura del sector, del pasillo entre la puerta </w:t>
      </w:r>
      <w:r>
        <w:rPr>
          <w:rFonts w:ascii="Palatino Linotype" w:eastAsia="Palatino Linotype" w:hAnsi="Palatino Linotype" w:cs="Palatino Linotype"/>
          <w:i/>
          <w:color w:val="000000"/>
        </w:rPr>
        <w:t xml:space="preserve">de entrada principal y el portón de estacionamiento y en los pasillos entre jardineras centrales en fechas del mes de agosto 2019.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Contrato para la restauración del policarbonato en ventanas en el salón de los espejos en fechas 11 de septiembre 2019.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w:t>
      </w:r>
      <w:r>
        <w:rPr>
          <w:rFonts w:ascii="Palatino Linotype" w:eastAsia="Palatino Linotype" w:hAnsi="Palatino Linotype" w:cs="Palatino Linotype"/>
          <w:i/>
          <w:color w:val="000000"/>
        </w:rPr>
        <w:t>trato para construcción de la cisterna de agua potable junto con la colocación de 6 tinacos de agua Rotoplas y tubería que inicia de la entrada a los dos baños del en fechas del 11 septiembre 2019.</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Contrato de instalación de lavamanos por Isla Urbana y col</w:t>
      </w:r>
      <w:r>
        <w:rPr>
          <w:rFonts w:ascii="Palatino Linotype" w:eastAsia="Palatino Linotype" w:hAnsi="Palatino Linotype" w:cs="Palatino Linotype"/>
          <w:i/>
          <w:color w:val="000000"/>
        </w:rPr>
        <w:t xml:space="preserve">ocación de piso firme en fechas del 18 de agosto 2020.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Contrato para la construcción de las escaleras de emergencia en el edificio donde se ubican los salones de segundo y primer grado y descansan en la jardinera en fechas del 10 de octubre 2023. </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Contrat</w:t>
      </w:r>
      <w:r>
        <w:rPr>
          <w:rFonts w:ascii="Palatino Linotype" w:eastAsia="Palatino Linotype" w:hAnsi="Palatino Linotype" w:cs="Palatino Linotype"/>
          <w:i/>
          <w:color w:val="000000"/>
        </w:rPr>
        <w:t>o para la demolición de los escalones de las escaleras de emergencia iniciada el 14 de diciembre del 2023.</w:t>
      </w:r>
    </w:p>
    <w:p w:rsidR="006A154E" w:rsidRDefault="00480BA6">
      <w:pPr>
        <w:numPr>
          <w:ilvl w:val="0"/>
          <w:numId w:val="3"/>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Contrato para nueva construcción de los escalones de emergencia en fechas 03 de enero 2024. </w:t>
      </w:r>
    </w:p>
    <w:p w:rsidR="006A154E" w:rsidRDefault="006A154E">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p>
    <w:p w:rsidR="006A154E" w:rsidRDefault="00480BA6">
      <w:pPr>
        <w:numPr>
          <w:ilvl w:val="0"/>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Conforme los contratos derivados de los expedientes administrativos de  las obras civiles 01 octubre del 2017 al 08 de abril del 2024;</w:t>
      </w:r>
    </w:p>
    <w:p w:rsidR="006A154E" w:rsidRDefault="00480BA6">
      <w:pPr>
        <w:numPr>
          <w:ilvl w:val="2"/>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Oficio de autorización para la construcción y ejecución para la obra civil en el espacio educativo. </w:t>
      </w:r>
    </w:p>
    <w:p w:rsidR="006A154E" w:rsidRDefault="00480BA6">
      <w:pPr>
        <w:numPr>
          <w:ilvl w:val="2"/>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Dictamen del direct</w:t>
      </w:r>
      <w:r>
        <w:rPr>
          <w:rFonts w:ascii="Palatino Linotype" w:eastAsia="Palatino Linotype" w:hAnsi="Palatino Linotype" w:cs="Palatino Linotype"/>
          <w:i/>
          <w:color w:val="000000"/>
        </w:rPr>
        <w:t xml:space="preserve">or responsable de obra civil y corresponsable en seguridad estructural. </w:t>
      </w:r>
    </w:p>
    <w:p w:rsidR="006A154E" w:rsidRDefault="00480BA6">
      <w:pPr>
        <w:numPr>
          <w:ilvl w:val="2"/>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Certificación de la calidad de aprobación por la autoridad competente.</w:t>
      </w:r>
    </w:p>
    <w:p w:rsidR="006A154E" w:rsidRDefault="00480BA6">
      <w:pPr>
        <w:numPr>
          <w:ilvl w:val="2"/>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Informe justificado identificando de donde provienen los recursos. </w:t>
      </w:r>
    </w:p>
    <w:p w:rsidR="006A154E" w:rsidRDefault="006A154E">
      <w:pPr>
        <w:spacing w:after="0" w:line="276" w:lineRule="auto"/>
        <w:ind w:left="567" w:right="706"/>
        <w:jc w:val="both"/>
        <w:rPr>
          <w:rFonts w:ascii="Palatino Linotype" w:eastAsia="Palatino Linotype" w:hAnsi="Palatino Linotype" w:cs="Palatino Linotype"/>
          <w:i/>
          <w:color w:val="000000"/>
        </w:rPr>
      </w:pPr>
    </w:p>
    <w:p w:rsidR="006A154E" w:rsidRDefault="00480BA6">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Como sustento de la versión pública que se</w:t>
      </w:r>
      <w:r>
        <w:rPr>
          <w:rFonts w:ascii="Palatino Linotype" w:eastAsia="Palatino Linotype" w:hAnsi="Palatino Linotype" w:cs="Palatino Linotype"/>
          <w:i/>
        </w:rPr>
        <w:t xml:space="preserve"> ordena su entrega, se deberá entregar el Acuerdo del Comité de Transparencia correspondiente, en términos del artículo 49, fracción VIII y 132 fracción II, de la Ley de Transparencia y Acceso a la Información Pública del Estado de México y Municipios, en </w:t>
      </w:r>
      <w:r>
        <w:rPr>
          <w:rFonts w:ascii="Palatino Linotype" w:eastAsia="Palatino Linotype" w:hAnsi="Palatino Linotype" w:cs="Palatino Linotype"/>
          <w:i/>
        </w:rPr>
        <w:t xml:space="preserve">el que funde y motive las razones sobre los datos que se supriman o eliminen dentro del soporte documental respectivo y se ponga a disposición de la parte </w:t>
      </w:r>
      <w:r>
        <w:rPr>
          <w:rFonts w:ascii="Palatino Linotype" w:eastAsia="Palatino Linotype" w:hAnsi="Palatino Linotype" w:cs="Palatino Linotype"/>
          <w:b/>
          <w:i/>
        </w:rPr>
        <w:t>Recurrente</w:t>
      </w:r>
      <w:r>
        <w:rPr>
          <w:rFonts w:ascii="Palatino Linotype" w:eastAsia="Palatino Linotype" w:hAnsi="Palatino Linotype" w:cs="Palatino Linotype"/>
          <w:i/>
        </w:rPr>
        <w:t>.</w:t>
      </w:r>
    </w:p>
    <w:p w:rsidR="006A154E" w:rsidRDefault="006A154E">
      <w:pPr>
        <w:spacing w:after="0" w:line="276" w:lineRule="auto"/>
        <w:ind w:left="567" w:right="706"/>
        <w:jc w:val="both"/>
        <w:rPr>
          <w:rFonts w:ascii="Palatino Linotype" w:eastAsia="Palatino Linotype" w:hAnsi="Palatino Linotype" w:cs="Palatino Linotype"/>
          <w:i/>
        </w:rPr>
      </w:pPr>
    </w:p>
    <w:p w:rsidR="006A154E" w:rsidRDefault="00480BA6">
      <w:pPr>
        <w:spacing w:after="0" w:line="276" w:lineRule="auto"/>
        <w:ind w:left="567" w:right="706"/>
        <w:jc w:val="both"/>
      </w:pPr>
      <w:r>
        <w:rPr>
          <w:rFonts w:ascii="Palatino Linotype" w:eastAsia="Palatino Linotype" w:hAnsi="Palatino Linotype" w:cs="Palatino Linotype"/>
          <w:i/>
        </w:rPr>
        <w:t xml:space="preserve">Para la expedición y obtención de la información en copias certificadas con costo, el Sujeto Obligado deberá informar al Recurrente mediante SAIMEX el procedimiento exacto y detallado para realizar el pago y para su posterior obtención (lugar, días, horas </w:t>
      </w:r>
      <w:r>
        <w:rPr>
          <w:rFonts w:ascii="Palatino Linotype" w:eastAsia="Palatino Linotype" w:hAnsi="Palatino Linotype" w:cs="Palatino Linotype"/>
          <w:i/>
        </w:rPr>
        <w:t>hábiles, etc.), debiendo acreditar el Sujeto Obligado la entrega de la información al Recurrente</w:t>
      </w:r>
      <w:r>
        <w:t>.</w:t>
      </w:r>
    </w:p>
    <w:p w:rsidR="006A154E" w:rsidRDefault="006A154E">
      <w:pPr>
        <w:tabs>
          <w:tab w:val="left" w:pos="709"/>
        </w:tabs>
        <w:spacing w:after="0" w:line="276" w:lineRule="auto"/>
        <w:ind w:left="567" w:right="706"/>
        <w:jc w:val="both"/>
        <w:rPr>
          <w:rFonts w:ascii="Palatino Linotype" w:eastAsia="Palatino Linotype" w:hAnsi="Palatino Linotype" w:cs="Palatino Linotype"/>
          <w:b/>
        </w:rPr>
      </w:pPr>
    </w:p>
    <w:p w:rsidR="006A154E" w:rsidRDefault="006A154E">
      <w:pPr>
        <w:tabs>
          <w:tab w:val="left" w:pos="709"/>
        </w:tabs>
        <w:spacing w:after="0" w:line="276" w:lineRule="auto"/>
        <w:ind w:left="567" w:right="706"/>
        <w:jc w:val="both"/>
        <w:rPr>
          <w:rFonts w:ascii="Palatino Linotype" w:eastAsia="Palatino Linotype" w:hAnsi="Palatino Linotype" w:cs="Palatino Linotype"/>
          <w:b/>
        </w:rPr>
      </w:pPr>
    </w:p>
    <w:p w:rsidR="006A154E" w:rsidRDefault="006A154E">
      <w:pPr>
        <w:tabs>
          <w:tab w:val="left" w:pos="709"/>
        </w:tabs>
        <w:spacing w:after="0" w:line="276" w:lineRule="auto"/>
        <w:ind w:left="567" w:right="706"/>
        <w:jc w:val="both"/>
        <w:rPr>
          <w:rFonts w:ascii="Palatino Linotype" w:eastAsia="Palatino Linotype" w:hAnsi="Palatino Linotype" w:cs="Palatino Linotype"/>
          <w:b/>
        </w:rPr>
      </w:pPr>
    </w:p>
    <w:p w:rsidR="006A154E" w:rsidRDefault="006A154E">
      <w:pPr>
        <w:tabs>
          <w:tab w:val="left" w:pos="709"/>
        </w:tabs>
        <w:spacing w:after="0" w:line="276" w:lineRule="auto"/>
        <w:ind w:left="567" w:right="706"/>
        <w:jc w:val="both"/>
        <w:rPr>
          <w:rFonts w:ascii="Palatino Linotype" w:eastAsia="Palatino Linotype" w:hAnsi="Palatino Linotype" w:cs="Palatino Linotype"/>
          <w:b/>
        </w:rPr>
      </w:pPr>
    </w:p>
    <w:p w:rsidR="006A154E" w:rsidRDefault="006A154E">
      <w:pPr>
        <w:tabs>
          <w:tab w:val="left" w:pos="709"/>
        </w:tabs>
        <w:spacing w:after="0" w:line="276" w:lineRule="auto"/>
        <w:ind w:left="567" w:right="706"/>
        <w:jc w:val="both"/>
        <w:rPr>
          <w:rFonts w:ascii="Palatino Linotype" w:eastAsia="Palatino Linotype" w:hAnsi="Palatino Linotype" w:cs="Palatino Linotype"/>
          <w:b/>
        </w:rPr>
      </w:pPr>
    </w:p>
    <w:p w:rsidR="006A154E" w:rsidRDefault="006A154E">
      <w:pPr>
        <w:tabs>
          <w:tab w:val="left" w:pos="709"/>
        </w:tabs>
        <w:spacing w:after="0" w:line="276" w:lineRule="auto"/>
        <w:ind w:left="567" w:right="706"/>
        <w:jc w:val="both"/>
        <w:rPr>
          <w:rFonts w:ascii="Palatino Linotype" w:eastAsia="Palatino Linotype" w:hAnsi="Palatino Linotype" w:cs="Palatino Linotype"/>
          <w:b/>
        </w:rPr>
      </w:pPr>
    </w:p>
    <w:p w:rsidR="006A154E" w:rsidRDefault="00480BA6">
      <w:pPr>
        <w:tabs>
          <w:tab w:val="left" w:pos="709"/>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II. Razones del voto particular. </w:t>
      </w:r>
    </w:p>
    <w:p w:rsidR="006A154E" w:rsidRDefault="006A154E">
      <w:pPr>
        <w:spacing w:after="0"/>
        <w:ind w:right="616"/>
        <w:jc w:val="both"/>
        <w:rPr>
          <w:rFonts w:ascii="Palatino Linotype" w:eastAsia="Palatino Linotype" w:hAnsi="Palatino Linotype" w:cs="Palatino Linotype"/>
          <w:b/>
        </w:rPr>
      </w:pPr>
    </w:p>
    <w:p w:rsidR="006A154E" w:rsidRDefault="00480BA6">
      <w:pPr>
        <w:spacing w:after="0" w:line="360" w:lineRule="auto"/>
        <w:ind w:right="142"/>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Derivado de lo anterior, es preciso señalar que </w:t>
      </w:r>
      <w:r>
        <w:rPr>
          <w:rFonts w:ascii="Palatino Linotype" w:eastAsia="Palatino Linotype" w:hAnsi="Palatino Linotype" w:cs="Palatino Linotype"/>
          <w:color w:val="000000"/>
        </w:rPr>
        <w:t xml:space="preserve">coincido con los términos generales planteados en la Resolución, no obstante, particularmente no coincido con que, la Ponencia Resolutora no haya considerado agregar salvedad simple a la información que determinó ordenar. </w:t>
      </w:r>
    </w:p>
    <w:p w:rsidR="006A154E" w:rsidRDefault="006A154E">
      <w:pPr>
        <w:spacing w:after="0" w:line="360" w:lineRule="auto"/>
        <w:ind w:right="142"/>
        <w:jc w:val="both"/>
        <w:rPr>
          <w:rFonts w:ascii="Palatino Linotype" w:eastAsia="Palatino Linotype" w:hAnsi="Palatino Linotype" w:cs="Palatino Linotype"/>
          <w:color w:val="000000"/>
        </w:rPr>
      </w:pPr>
    </w:p>
    <w:p w:rsidR="006A154E" w:rsidRDefault="00480BA6">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Lo anterior, debido a que, </w:t>
      </w:r>
      <w:r>
        <w:rPr>
          <w:rFonts w:ascii="Palatino Linotype" w:eastAsia="Palatino Linotype" w:hAnsi="Palatino Linotype" w:cs="Palatino Linotype"/>
        </w:rPr>
        <w:t>no se</w:t>
      </w:r>
      <w:r>
        <w:rPr>
          <w:rFonts w:ascii="Palatino Linotype" w:eastAsia="Palatino Linotype" w:hAnsi="Palatino Linotype" w:cs="Palatino Linotype"/>
        </w:rPr>
        <w:t xml:space="preserve"> advierte que, la Ponencia haya referido en su estudio que todos los contratos de las obras que se ordenan, se hayan ejecutado, en otras palabras, no se advierten elementos suficientes dentro del estudio de la resolución para determinar que, en efecto, el </w:t>
      </w:r>
      <w:r>
        <w:rPr>
          <w:rFonts w:ascii="Palatino Linotype" w:eastAsia="Palatino Linotype" w:hAnsi="Palatino Linotype" w:cs="Palatino Linotype"/>
        </w:rPr>
        <w:t xml:space="preserve">Sujeto Obligado debe contar con todos y cada uno de los contratos requeridos. </w:t>
      </w:r>
    </w:p>
    <w:p w:rsidR="006A154E" w:rsidRDefault="006A154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A154E" w:rsidRDefault="00480BA6">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resulta necesario </w:t>
      </w:r>
      <w:r>
        <w:rPr>
          <w:rFonts w:ascii="Palatino Linotype" w:eastAsia="Palatino Linotype" w:hAnsi="Palatino Linotype" w:cs="Palatino Linotype"/>
        </w:rPr>
        <w:t>mencionar que, el artículo 19 de la Ley de Transparencia y Acceso a la Información Pública del Estado de México y Municipios, a la letra señal</w:t>
      </w:r>
      <w:r>
        <w:rPr>
          <w:rFonts w:ascii="Palatino Linotype" w:eastAsia="Palatino Linotype" w:hAnsi="Palatino Linotype" w:cs="Palatino Linotype"/>
        </w:rPr>
        <w:t xml:space="preserve">a lo siguiente: </w:t>
      </w:r>
    </w:p>
    <w:p w:rsidR="006A154E" w:rsidRDefault="006A154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A154E" w:rsidRDefault="00480BA6">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19.</w:t>
      </w:r>
      <w:r>
        <w:rPr>
          <w:rFonts w:ascii="Palatino Linotype" w:eastAsia="Palatino Linotype" w:hAnsi="Palatino Linotype" w:cs="Palatino Linotype"/>
          <w:i/>
        </w:rPr>
        <w:t xml:space="preserve"> Se presume que la información debe de existir si se refiere a las facultades, competencias y funciones que los ordenamientos jurídicos aplicables otorgan a los sujetos obligados. </w:t>
      </w:r>
    </w:p>
    <w:p w:rsidR="006A154E" w:rsidRDefault="006A154E">
      <w:pPr>
        <w:spacing w:after="0" w:line="276" w:lineRule="auto"/>
        <w:ind w:left="567" w:right="900"/>
        <w:jc w:val="both"/>
        <w:rPr>
          <w:rFonts w:ascii="Palatino Linotype" w:eastAsia="Palatino Linotype" w:hAnsi="Palatino Linotype" w:cs="Palatino Linotype"/>
          <w:i/>
        </w:rPr>
      </w:pPr>
    </w:p>
    <w:p w:rsidR="006A154E" w:rsidRDefault="00480BA6">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rsidR="006A154E" w:rsidRDefault="006A154E">
      <w:pPr>
        <w:spacing w:after="0" w:line="276" w:lineRule="auto"/>
        <w:ind w:left="567" w:right="900"/>
        <w:jc w:val="both"/>
        <w:rPr>
          <w:rFonts w:ascii="Palatino Linotype" w:eastAsia="Palatino Linotype" w:hAnsi="Palatino Linotype" w:cs="Palatino Linotype"/>
          <w:i/>
          <w:u w:val="single"/>
        </w:rPr>
      </w:pPr>
    </w:p>
    <w:p w:rsidR="006A154E" w:rsidRDefault="00480BA6">
      <w:pPr>
        <w:spacing w:after="0" w:line="276" w:lineRule="auto"/>
        <w:ind w:left="567" w:right="900"/>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Si el sujeto obligado, en el ejercicio de sus atribuciones, debía generar poseer o</w:t>
      </w:r>
      <w:r>
        <w:rPr>
          <w:rFonts w:ascii="Palatino Linotype" w:eastAsia="Palatino Linotype" w:hAnsi="Palatino Linotype" w:cs="Palatino Linotype"/>
          <w:i/>
          <w:u w:val="single"/>
        </w:rPr>
        <w:t xml:space="preserve"> administrar la información, pero ésta no se encuentra, el Comité de transparencia deberá emitir un acuerdo de inexistencia, debidamente fundado y motivado, en el que detalle las razones del por qué no obra en sus archivos”. </w:t>
      </w:r>
    </w:p>
    <w:p w:rsidR="006A154E" w:rsidRDefault="006A154E">
      <w:pPr>
        <w:spacing w:after="0" w:line="360" w:lineRule="auto"/>
        <w:ind w:left="567" w:right="900"/>
        <w:jc w:val="both"/>
        <w:rPr>
          <w:rFonts w:ascii="Palatino Linotype" w:eastAsia="Palatino Linotype" w:hAnsi="Palatino Linotype" w:cs="Palatino Linotype"/>
          <w:i/>
          <w:sz w:val="24"/>
          <w:szCs w:val="24"/>
          <w:u w:val="single"/>
        </w:rPr>
      </w:pPr>
    </w:p>
    <w:p w:rsidR="006A154E" w:rsidRDefault="00480BA6">
      <w:pPr>
        <w:tabs>
          <w:tab w:val="left" w:pos="7938"/>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del artículo que</w:t>
      </w:r>
      <w:r>
        <w:rPr>
          <w:rFonts w:ascii="Palatino Linotype" w:eastAsia="Palatino Linotype" w:hAnsi="Palatino Linotype" w:cs="Palatino Linotype"/>
        </w:rPr>
        <w:t xml:space="preserve"> antecede, se arriban a las siguientes consideraciones:</w:t>
      </w:r>
    </w:p>
    <w:p w:rsidR="006A154E" w:rsidRDefault="006A154E">
      <w:pPr>
        <w:tabs>
          <w:tab w:val="left" w:pos="7938"/>
        </w:tabs>
        <w:spacing w:after="0" w:line="360" w:lineRule="auto"/>
        <w:jc w:val="both"/>
        <w:rPr>
          <w:rFonts w:ascii="Palatino Linotype" w:eastAsia="Palatino Linotype" w:hAnsi="Palatino Linotype" w:cs="Palatino Linotype"/>
        </w:rPr>
      </w:pPr>
    </w:p>
    <w:p w:rsidR="006A154E" w:rsidRDefault="00480BA6">
      <w:pPr>
        <w:numPr>
          <w:ilvl w:val="0"/>
          <w:numId w:val="4"/>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Existencia y presunción implícita o explícita de la información: </w:t>
      </w:r>
      <w:r>
        <w:rPr>
          <w:rFonts w:ascii="Palatino Linotype" w:eastAsia="Palatino Linotype" w:hAnsi="Palatino Linotype" w:cs="Palatino Linotype"/>
          <w:color w:val="000000"/>
        </w:rPr>
        <w:t xml:space="preserve">Se presumen que la información debe existir, debido a que el Sujeto Obligado tiene la obligación, facultad y/o competencia de generarla. </w:t>
      </w:r>
    </w:p>
    <w:p w:rsidR="006A154E" w:rsidRDefault="00480BA6">
      <w:pPr>
        <w:numPr>
          <w:ilvl w:val="0"/>
          <w:numId w:val="5"/>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Inexistencia de la información, imputable a terceros:</w:t>
      </w:r>
      <w:r>
        <w:rPr>
          <w:rFonts w:ascii="Palatino Linotype" w:eastAsia="Palatino Linotype" w:hAnsi="Palatino Linotype" w:cs="Palatino Linotype"/>
          <w:color w:val="000000"/>
        </w:rPr>
        <w:t xml:space="preserve"> Para el caso de que, la información no obre en los archivos del </w:t>
      </w:r>
      <w:r>
        <w:rPr>
          <w:rFonts w:ascii="Palatino Linotype" w:eastAsia="Palatino Linotype" w:hAnsi="Palatino Linotype" w:cs="Palatino Linotype"/>
          <w:color w:val="000000"/>
        </w:rPr>
        <w:t xml:space="preserve">Sujeto Obligado porque a) cuya realización dependa de un tercero que demande la emisión de un acto de autoridad </w:t>
      </w:r>
      <w:r>
        <w:rPr>
          <w:rFonts w:ascii="Palatino Linotype" w:eastAsia="Palatino Linotype" w:hAnsi="Palatino Linotype" w:cs="Palatino Linotype"/>
          <w:b/>
          <w:color w:val="000000"/>
        </w:rPr>
        <w:t>b) de un acontecimiento de realización probable</w:t>
      </w:r>
      <w:r>
        <w:rPr>
          <w:rFonts w:ascii="Palatino Linotype" w:eastAsia="Palatino Linotype" w:hAnsi="Palatino Linotype" w:cs="Palatino Linotype"/>
          <w:color w:val="000000"/>
        </w:rPr>
        <w:t xml:space="preserve"> o c) una facultad potestativa; los sujetos obligados deberán manifestar de manera precisa y clar</w:t>
      </w:r>
      <w:r>
        <w:rPr>
          <w:rFonts w:ascii="Palatino Linotype" w:eastAsia="Palatino Linotype" w:hAnsi="Palatino Linotype" w:cs="Palatino Linotype"/>
          <w:color w:val="000000"/>
        </w:rPr>
        <w:t xml:space="preserve">a las razones que expliquen las causas por las que no se ha realizado el acto de autoridad y, en consecuencia no se ha documentado decisión alguna. </w:t>
      </w:r>
    </w:p>
    <w:p w:rsidR="006A154E" w:rsidRDefault="00480BA6">
      <w:pPr>
        <w:numPr>
          <w:ilvl w:val="0"/>
          <w:numId w:val="5"/>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Inexistencia de la información, por incumplimiento de una obligación o hechos imprevistos: </w:t>
      </w:r>
      <w:r>
        <w:rPr>
          <w:rFonts w:ascii="Palatino Linotype" w:eastAsia="Palatino Linotype" w:hAnsi="Palatino Linotype" w:cs="Palatino Linotype"/>
          <w:color w:val="000000"/>
        </w:rPr>
        <w:t xml:space="preserve">Para el caso de que, el sujeto obligado no haya ejercido lo que por Ley le correspondía y, en el supuesto de que, este </w:t>
      </w:r>
      <w:r>
        <w:rPr>
          <w:rFonts w:ascii="Palatino Linotype" w:eastAsia="Palatino Linotype" w:hAnsi="Palatino Linotype" w:cs="Palatino Linotype"/>
        </w:rPr>
        <w:t>sí las</w:t>
      </w:r>
      <w:r>
        <w:rPr>
          <w:rFonts w:ascii="Palatino Linotype" w:eastAsia="Palatino Linotype" w:hAnsi="Palatino Linotype" w:cs="Palatino Linotype"/>
          <w:color w:val="000000"/>
        </w:rPr>
        <w:t xml:space="preserve"> haya ejercido pero por causas ajenas a él no cuenta con la información solicitada, deberá fundar y motivar las razones por las cua</w:t>
      </w:r>
      <w:r>
        <w:rPr>
          <w:rFonts w:ascii="Palatino Linotype" w:eastAsia="Palatino Linotype" w:hAnsi="Palatino Linotype" w:cs="Palatino Linotype"/>
          <w:color w:val="000000"/>
        </w:rPr>
        <w:t xml:space="preserve">les no se encuentra la información en su posesión; es decir, deberá emitir una declaratoria de inexistencia. </w:t>
      </w:r>
    </w:p>
    <w:p w:rsidR="006A154E" w:rsidRDefault="006A154E">
      <w:pPr>
        <w:tabs>
          <w:tab w:val="left" w:pos="7938"/>
        </w:tabs>
        <w:spacing w:after="0" w:line="360" w:lineRule="auto"/>
        <w:jc w:val="both"/>
        <w:rPr>
          <w:rFonts w:ascii="Palatino Linotype" w:eastAsia="Palatino Linotype" w:hAnsi="Palatino Linotype" w:cs="Palatino Linotype"/>
        </w:rPr>
      </w:pPr>
    </w:p>
    <w:p w:rsidR="006A154E" w:rsidRDefault="00480B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en el presente caso, no se cuentan con elementos suficientes para precisar que la información obligatoriamente debió haber sido g</w:t>
      </w:r>
      <w:r>
        <w:rPr>
          <w:rFonts w:ascii="Palatino Linotype" w:eastAsia="Palatino Linotype" w:hAnsi="Palatino Linotype" w:cs="Palatino Linotype"/>
        </w:rPr>
        <w:t xml:space="preserve">enerada. De tal forma que, la Ponencia Resolutora debió otorgar la posibilidad al Sujeto Obligado de que, fundara y motivara las razones por las cuales, de ser el caso, la información no obrara en sus archivos. </w:t>
      </w:r>
    </w:p>
    <w:p w:rsidR="00480BA6" w:rsidRDefault="00480BA6">
      <w:pPr>
        <w:spacing w:after="0" w:line="360" w:lineRule="auto"/>
        <w:ind w:right="-93"/>
        <w:jc w:val="both"/>
        <w:rPr>
          <w:rFonts w:ascii="Palatino Linotype" w:eastAsia="Palatino Linotype" w:hAnsi="Palatino Linotype" w:cs="Palatino Linotype"/>
        </w:rPr>
      </w:pPr>
    </w:p>
    <w:p w:rsidR="006A154E" w:rsidRPr="00480BA6" w:rsidRDefault="00480BA6">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Asimismo, es</w:t>
      </w:r>
      <w:r w:rsidRPr="00480BA6">
        <w:rPr>
          <w:rFonts w:ascii="Palatino Linotype" w:eastAsia="Palatino Linotype" w:hAnsi="Palatino Linotype" w:cs="Palatino Linotype"/>
        </w:rPr>
        <w:t xml:space="preserve"> </w:t>
      </w:r>
      <w:r>
        <w:rPr>
          <w:rFonts w:ascii="Palatino Linotype" w:eastAsia="Palatino Linotype" w:hAnsi="Palatino Linotype" w:cs="Palatino Linotype"/>
        </w:rPr>
        <w:t xml:space="preserve">de suma importancia considerar </w:t>
      </w:r>
      <w:r w:rsidRPr="00480BA6">
        <w:rPr>
          <w:rFonts w:ascii="Palatino Linotype" w:eastAsia="Palatino Linotype" w:hAnsi="Palatino Linotype" w:cs="Palatino Linotype"/>
        </w:rPr>
        <w:t xml:space="preserve"> lo disp</w:t>
      </w:r>
      <w:r w:rsidRPr="00480BA6">
        <w:rPr>
          <w:rFonts w:ascii="Palatino Linotype" w:eastAsia="Palatino Linotype" w:hAnsi="Palatino Linotype" w:cs="Palatino Linotype"/>
        </w:rPr>
        <w:t xml:space="preserve">uesto en el dispositivo legal citado, en razón de que, si bien, </w:t>
      </w:r>
      <w:r w:rsidRPr="00480BA6">
        <w:rPr>
          <w:rFonts w:ascii="Palatino Linotype" w:eastAsia="Palatino Linotype" w:hAnsi="Palatino Linotype" w:cs="Palatino Linotype"/>
          <w:b/>
        </w:rPr>
        <w:t>EL SUJETO OBLIGADO</w:t>
      </w:r>
      <w:r w:rsidRPr="00480BA6">
        <w:rPr>
          <w:rFonts w:ascii="Palatino Linotype" w:eastAsia="Palatino Linotype" w:hAnsi="Palatino Linotype" w:cs="Palatino Linotype"/>
        </w:rPr>
        <w:t xml:space="preserve"> tiene atribución de g</w:t>
      </w:r>
      <w:r>
        <w:rPr>
          <w:rFonts w:ascii="Palatino Linotype" w:eastAsia="Palatino Linotype" w:hAnsi="Palatino Linotype" w:cs="Palatino Linotype"/>
        </w:rPr>
        <w:t>enerar, poseer o administrar los contratos de obras que se hayan realizado con dinero público</w:t>
      </w:r>
      <w:r w:rsidRPr="00480BA6">
        <w:rPr>
          <w:rFonts w:ascii="Palatino Linotype" w:eastAsia="Palatino Linotype" w:hAnsi="Palatino Linotype" w:cs="Palatino Linotype"/>
        </w:rPr>
        <w:t>; también lo es que no se tie</w:t>
      </w:r>
      <w:r w:rsidRPr="00480BA6">
        <w:rPr>
          <w:rFonts w:ascii="Palatino Linotype" w:eastAsia="Palatino Linotype" w:hAnsi="Palatino Linotype" w:cs="Palatino Linotype"/>
        </w:rPr>
        <w:t>n</w:t>
      </w:r>
      <w:r>
        <w:rPr>
          <w:rFonts w:ascii="Palatino Linotype" w:eastAsia="Palatino Linotype" w:hAnsi="Palatino Linotype" w:cs="Palatino Linotype"/>
        </w:rPr>
        <w:t xml:space="preserve">e certeza que las obras a las que se refieren los contratos que se están ordenando, se hayan ejecutado. </w:t>
      </w:r>
    </w:p>
    <w:p w:rsidR="006A154E" w:rsidRPr="00480BA6" w:rsidRDefault="006A154E">
      <w:pPr>
        <w:spacing w:after="80" w:line="360" w:lineRule="auto"/>
        <w:ind w:right="-93"/>
        <w:jc w:val="both"/>
        <w:rPr>
          <w:rFonts w:ascii="Palatino Linotype" w:eastAsia="Palatino Linotype" w:hAnsi="Palatino Linotype" w:cs="Palatino Linotype"/>
        </w:rPr>
      </w:pPr>
    </w:p>
    <w:p w:rsidR="006A154E" w:rsidRPr="00480BA6" w:rsidRDefault="00480BA6">
      <w:pPr>
        <w:spacing w:after="0" w:line="360" w:lineRule="auto"/>
        <w:ind w:right="-91"/>
        <w:jc w:val="both"/>
        <w:rPr>
          <w:rFonts w:ascii="Palatino Linotype" w:eastAsia="Palatino Linotype" w:hAnsi="Palatino Linotype" w:cs="Palatino Linotype"/>
        </w:rPr>
      </w:pPr>
      <w:r w:rsidRPr="00480BA6">
        <w:rPr>
          <w:rFonts w:ascii="Palatino Linotype" w:eastAsia="Palatino Linotype" w:hAnsi="Palatino Linotype" w:cs="Palatino Linotype"/>
        </w:rPr>
        <w:t>P</w:t>
      </w:r>
      <w:r>
        <w:rPr>
          <w:rFonts w:ascii="Palatino Linotype" w:eastAsia="Palatino Linotype" w:hAnsi="Palatino Linotype" w:cs="Palatino Linotype"/>
        </w:rPr>
        <w:t xml:space="preserve">or lo anterior,  considero que </w:t>
      </w:r>
      <w:r w:rsidRPr="00480BA6">
        <w:rPr>
          <w:rFonts w:ascii="Palatino Linotype" w:eastAsia="Palatino Linotype" w:hAnsi="Palatino Linotype" w:cs="Palatino Linotype"/>
        </w:rPr>
        <w:t>para la formulación de</w:t>
      </w:r>
      <w:r w:rsidRPr="00480BA6">
        <w:rPr>
          <w:rFonts w:ascii="Palatino Linotype" w:eastAsia="Palatino Linotype" w:hAnsi="Palatino Linotype" w:cs="Palatino Linotype"/>
        </w:rPr>
        <w:t xml:space="preserve"> una resolución que permita el cumplimiento a la misma, es necesario agregar salvedad, para el caso de que la información que solicitó el particular no haya sido generada, poseída o administrada por </w:t>
      </w:r>
      <w:r w:rsidRPr="00480BA6">
        <w:rPr>
          <w:rFonts w:ascii="Palatino Linotype" w:eastAsia="Palatino Linotype" w:hAnsi="Palatino Linotype" w:cs="Palatino Linotype"/>
          <w:b/>
        </w:rPr>
        <w:t>EL SUJETO OBLIGADO</w:t>
      </w:r>
      <w:r w:rsidRPr="00480BA6">
        <w:rPr>
          <w:rFonts w:ascii="Palatino Linotype" w:eastAsia="Palatino Linotype" w:hAnsi="Palatino Linotype" w:cs="Palatino Linotype"/>
        </w:rPr>
        <w:t xml:space="preserve"> y esté en posibilidad de dar cumplimie</w:t>
      </w:r>
      <w:r w:rsidRPr="00480BA6">
        <w:rPr>
          <w:rFonts w:ascii="Palatino Linotype" w:eastAsia="Palatino Linotype" w:hAnsi="Palatino Linotype" w:cs="Palatino Linotype"/>
        </w:rPr>
        <w:t>nto a la resolución, expresando que la atribuc</w:t>
      </w:r>
      <w:r w:rsidRPr="00480BA6">
        <w:rPr>
          <w:rFonts w:ascii="Palatino Linotype" w:eastAsia="Palatino Linotype" w:hAnsi="Palatino Linotype" w:cs="Palatino Linotype"/>
        </w:rPr>
        <w:t>ión no</w:t>
      </w:r>
      <w:r>
        <w:rPr>
          <w:rFonts w:ascii="Palatino Linotype" w:eastAsia="Palatino Linotype" w:hAnsi="Palatino Linotype" w:cs="Palatino Linotype"/>
        </w:rPr>
        <w:t xml:space="preserve"> se ejerció por no haberse realizado dichas obras, </w:t>
      </w:r>
      <w:r w:rsidRPr="00480BA6">
        <w:rPr>
          <w:rFonts w:ascii="Palatino Linotype" w:eastAsia="Palatino Linotype" w:hAnsi="Palatino Linotype" w:cs="Palatino Linotype"/>
        </w:rPr>
        <w:t>por lo tanto</w:t>
      </w:r>
      <w:r>
        <w:rPr>
          <w:rFonts w:ascii="Palatino Linotype" w:eastAsia="Palatino Linotype" w:hAnsi="Palatino Linotype" w:cs="Palatino Linotype"/>
        </w:rPr>
        <w:t>,</w:t>
      </w:r>
      <w:r w:rsidRPr="00480BA6">
        <w:rPr>
          <w:rFonts w:ascii="Palatino Linotype" w:eastAsia="Palatino Linotype" w:hAnsi="Palatino Linotype" w:cs="Palatino Linotype"/>
        </w:rPr>
        <w:t xml:space="preserve"> la información en los términos requeridos no se generó, en apegó a lo que dispone el artículo 19, primer párrafo antes citado.</w:t>
      </w:r>
    </w:p>
    <w:p w:rsidR="006A154E" w:rsidRPr="00480BA6" w:rsidRDefault="006A154E">
      <w:pPr>
        <w:spacing w:after="0" w:line="360" w:lineRule="auto"/>
        <w:ind w:right="-91"/>
        <w:jc w:val="both"/>
        <w:rPr>
          <w:rFonts w:ascii="Palatino Linotype" w:eastAsia="Palatino Linotype" w:hAnsi="Palatino Linotype" w:cs="Palatino Linotype"/>
        </w:rPr>
      </w:pPr>
    </w:p>
    <w:p w:rsidR="006A154E" w:rsidRPr="00480BA6" w:rsidRDefault="00480BA6">
      <w:pPr>
        <w:spacing w:after="0" w:line="360" w:lineRule="auto"/>
        <w:ind w:right="-91"/>
        <w:jc w:val="both"/>
        <w:rPr>
          <w:rFonts w:ascii="Palatino Linotype" w:eastAsia="Palatino Linotype" w:hAnsi="Palatino Linotype" w:cs="Palatino Linotype"/>
        </w:rPr>
      </w:pPr>
      <w:r w:rsidRPr="00480BA6">
        <w:rPr>
          <w:rFonts w:ascii="Palatino Linotype" w:eastAsia="Palatino Linotype" w:hAnsi="Palatino Linotype" w:cs="Palatino Linotype"/>
        </w:rPr>
        <w:t>En conclusión, la salvedad implica, el simple pronunciamiento del Servidor Público Habilitado Responsable de haber buscado y no localizar el documento que dé cuenta de lo requerido, por no haberse generado la informac</w:t>
      </w:r>
      <w:r w:rsidRPr="00480BA6">
        <w:rPr>
          <w:rFonts w:ascii="Palatino Linotype" w:eastAsia="Palatino Linotype" w:hAnsi="Palatino Linotype" w:cs="Palatino Linotype"/>
        </w:rPr>
        <w:t>ión</w:t>
      </w:r>
      <w:r w:rsidRPr="00480BA6">
        <w:rPr>
          <w:rFonts w:ascii="Palatino Linotype" w:eastAsia="Palatino Linotype" w:hAnsi="Palatino Linotype" w:cs="Palatino Linotype"/>
        </w:rPr>
        <w:t>,</w:t>
      </w:r>
      <w:r>
        <w:rPr>
          <w:rFonts w:ascii="Palatino Linotype" w:eastAsia="Palatino Linotype" w:hAnsi="Palatino Linotype" w:cs="Palatino Linotype"/>
        </w:rPr>
        <w:t xml:space="preserve"> por otro lado, al ordenarse información sin la salvedad correspondiente, se entiende que, para el caso de que,</w:t>
      </w:r>
      <w:r w:rsidRPr="00480BA6">
        <w:rPr>
          <w:rFonts w:ascii="Palatino Linotype" w:eastAsia="Palatino Linotype" w:hAnsi="Palatino Linotype" w:cs="Palatino Linotype"/>
        </w:rPr>
        <w:t xml:space="preserve"> el </w:t>
      </w:r>
      <w:r w:rsidRPr="00480BA6">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localice la información, este </w:t>
      </w:r>
      <w:r w:rsidRPr="00480BA6">
        <w:rPr>
          <w:rFonts w:ascii="Palatino Linotype" w:eastAsia="Palatino Linotype" w:hAnsi="Palatino Linotype" w:cs="Palatino Linotype"/>
        </w:rPr>
        <w:t>tendría que emitir el acuerdo de inexistencia que conlleva  la emisión de un acto formal de la máxima autoridad en materia de transparencia, para sustentar, de manera fundada y motivada, que la información solicitada no obra en s</w:t>
      </w:r>
      <w:r w:rsidRPr="00480BA6">
        <w:rPr>
          <w:rFonts w:ascii="Palatino Linotype" w:eastAsia="Palatino Linotype" w:hAnsi="Palatino Linotype" w:cs="Palatino Linotype"/>
        </w:rPr>
        <w:t xml:space="preserve">us archivos, tomando en consideración que dicho acuerdo es procedente solamente en los casos en los que se tiene certeza de la previa existencia de la información </w:t>
      </w:r>
      <w:bookmarkStart w:id="4" w:name="_GoBack"/>
      <w:bookmarkEnd w:id="4"/>
      <w:r w:rsidRPr="00480BA6">
        <w:rPr>
          <w:rFonts w:ascii="Palatino Linotype" w:eastAsia="Palatino Linotype" w:hAnsi="Palatino Linotype" w:cs="Palatino Linotype"/>
        </w:rPr>
        <w:t>con los debidos elementos de convicción; o, bien, por contar con un mandato de ley que establ</w:t>
      </w:r>
      <w:r w:rsidRPr="00480BA6">
        <w:rPr>
          <w:rFonts w:ascii="Palatino Linotype" w:eastAsia="Palatino Linotype" w:hAnsi="Palatino Linotype" w:cs="Palatino Linotype"/>
        </w:rPr>
        <w:t>ezca expresamente la generación, administración o posesión la documentación en el ejercicio de sus funciones, atribuciones y competencias y que, por alguna circunstancia, como pueden ser: baja, extravío, robo, sustracción, entre otras; la información ya no</w:t>
      </w:r>
      <w:r w:rsidRPr="00480BA6">
        <w:rPr>
          <w:rFonts w:ascii="Palatino Linotype" w:eastAsia="Palatino Linotype" w:hAnsi="Palatino Linotype" w:cs="Palatino Linotype"/>
        </w:rPr>
        <w:t xml:space="preserve"> obra en poder del Sujeto Obligado, como lo estipula el artículo 19, tercer párrafo de la Ley de Transparencia y Acceso a la Información Pública del Estado de México y Municipios, antes citado.</w:t>
      </w:r>
    </w:p>
    <w:p w:rsidR="006A154E" w:rsidRPr="00480BA6" w:rsidRDefault="006A154E">
      <w:pPr>
        <w:spacing w:after="0" w:line="360" w:lineRule="auto"/>
        <w:ind w:right="-91"/>
        <w:jc w:val="both"/>
        <w:rPr>
          <w:rFonts w:ascii="Palatino Linotype" w:eastAsia="Palatino Linotype" w:hAnsi="Palatino Linotype" w:cs="Palatino Linotype"/>
        </w:rPr>
      </w:pPr>
    </w:p>
    <w:p w:rsidR="006A154E" w:rsidRPr="00480BA6" w:rsidRDefault="00480BA6">
      <w:pPr>
        <w:spacing w:after="0" w:line="360" w:lineRule="auto"/>
        <w:ind w:right="-91"/>
        <w:jc w:val="both"/>
        <w:rPr>
          <w:rFonts w:ascii="Palatino Linotype" w:eastAsia="Palatino Linotype" w:hAnsi="Palatino Linotype" w:cs="Palatino Linotype"/>
        </w:rPr>
      </w:pPr>
      <w:r w:rsidRPr="00480BA6">
        <w:rPr>
          <w:rFonts w:ascii="Palatino Linotype" w:eastAsia="Palatino Linotype" w:hAnsi="Palatino Linotype" w:cs="Palatino Linotype"/>
        </w:rPr>
        <w:t>En ese orden de ideas, es de señalar que la emisión de un acu</w:t>
      </w:r>
      <w:r w:rsidRPr="00480BA6">
        <w:rPr>
          <w:rFonts w:ascii="Palatino Linotype" w:eastAsia="Palatino Linotype" w:hAnsi="Palatino Linotype" w:cs="Palatino Linotype"/>
        </w:rPr>
        <w:t xml:space="preserve">erdo de inexistencia, únicamente es procedente cuando se determina que la información es inexistente, debido a que, el Sujeto Obligado </w:t>
      </w:r>
      <w:r w:rsidRPr="00480BA6">
        <w:rPr>
          <w:rFonts w:ascii="Palatino Linotype" w:eastAsia="Palatino Linotype" w:hAnsi="Palatino Linotype" w:cs="Palatino Linotype"/>
          <w:b/>
        </w:rPr>
        <w:t xml:space="preserve">debió haber generado y poseído la información </w:t>
      </w:r>
      <w:r w:rsidRPr="00480BA6">
        <w:rPr>
          <w:rFonts w:ascii="Palatino Linotype" w:eastAsia="Palatino Linotype" w:hAnsi="Palatino Linotype" w:cs="Palatino Linotype"/>
        </w:rPr>
        <w:t xml:space="preserve">requerida, para ello en principio se deberán observar ciertas formalidades </w:t>
      </w:r>
      <w:r w:rsidRPr="00480BA6">
        <w:rPr>
          <w:rFonts w:ascii="Palatino Linotype" w:eastAsia="Palatino Linotype" w:hAnsi="Palatino Linotype" w:cs="Palatino Linotype"/>
        </w:rPr>
        <w:t>exigidas por la Ley de Transparencia y Acceso a la Información Pública del Estado de México y Municipios</w:t>
      </w:r>
      <w:r w:rsidRPr="00480BA6">
        <w:rPr>
          <w:rFonts w:ascii="Palatino Linotype" w:eastAsia="Palatino Linotype" w:hAnsi="Palatino Linotype" w:cs="Palatino Linotype"/>
          <w:i/>
        </w:rPr>
        <w:t xml:space="preserve"> </w:t>
      </w:r>
      <w:r w:rsidRPr="00480BA6">
        <w:rPr>
          <w:rFonts w:ascii="Palatino Linotype" w:eastAsia="Palatino Linotype" w:hAnsi="Palatino Linotype" w:cs="Palatino Linotype"/>
        </w:rPr>
        <w:t xml:space="preserve">entre las cuales se encuentra notificar al órgano interno de control o equivalente del sujeto obligado quien, en su caso, </w:t>
      </w:r>
      <w:r w:rsidRPr="00480BA6">
        <w:rPr>
          <w:rFonts w:ascii="Palatino Linotype" w:eastAsia="Palatino Linotype" w:hAnsi="Palatino Linotype" w:cs="Palatino Linotype"/>
          <w:b/>
          <w:u w:val="single"/>
        </w:rPr>
        <w:t>deberá iniciar el procedimien</w:t>
      </w:r>
      <w:r w:rsidRPr="00480BA6">
        <w:rPr>
          <w:rFonts w:ascii="Palatino Linotype" w:eastAsia="Palatino Linotype" w:hAnsi="Palatino Linotype" w:cs="Palatino Linotype"/>
          <w:b/>
          <w:u w:val="single"/>
        </w:rPr>
        <w:t>to de responsabilidad administrativa que corresponda</w:t>
      </w:r>
      <w:r w:rsidRPr="00480BA6">
        <w:rPr>
          <w:rFonts w:ascii="Palatino Linotype" w:eastAsia="Palatino Linotype" w:hAnsi="Palatino Linotype" w:cs="Palatino Linotype"/>
        </w:rPr>
        <w:t>.</w:t>
      </w:r>
    </w:p>
    <w:p w:rsidR="006A154E" w:rsidRPr="00480BA6" w:rsidRDefault="006A154E">
      <w:pPr>
        <w:spacing w:after="0" w:line="360" w:lineRule="auto"/>
        <w:ind w:right="-91"/>
        <w:jc w:val="both"/>
        <w:rPr>
          <w:rFonts w:ascii="Palatino Linotype" w:eastAsia="Palatino Linotype" w:hAnsi="Palatino Linotype" w:cs="Palatino Linotype"/>
        </w:rPr>
      </w:pPr>
    </w:p>
    <w:p w:rsidR="006A154E" w:rsidRPr="00480BA6" w:rsidRDefault="00480BA6">
      <w:pPr>
        <w:spacing w:after="0" w:line="360" w:lineRule="auto"/>
        <w:ind w:right="-91"/>
        <w:jc w:val="both"/>
        <w:rPr>
          <w:rFonts w:ascii="Palatino Linotype" w:eastAsia="Palatino Linotype" w:hAnsi="Palatino Linotype" w:cs="Palatino Linotype"/>
        </w:rPr>
      </w:pPr>
      <w:r w:rsidRPr="00480BA6">
        <w:rPr>
          <w:rFonts w:ascii="Palatino Linotype" w:eastAsia="Palatino Linotype" w:hAnsi="Palatino Linotype" w:cs="Palatino Linotype"/>
        </w:rPr>
        <w:t>De lo anterior, se colige que, la emisión del acuerdo de inexistencia da pauta a que, se inicie un procedimiento de responsabilidad administrativa por no obrar información obligatoria de generar, admin</w:t>
      </w:r>
      <w:r w:rsidRPr="00480BA6">
        <w:rPr>
          <w:rFonts w:ascii="Palatino Linotype" w:eastAsia="Palatino Linotype" w:hAnsi="Palatino Linotype" w:cs="Palatino Linotype"/>
        </w:rPr>
        <w:t xml:space="preserve">istrar y poseer, en los archivos del Sujeto Obligado, no obstante, no hay que perder de vista que, en el presente asunto no se tiene certeza </w:t>
      </w:r>
      <w:r>
        <w:rPr>
          <w:rFonts w:ascii="Palatino Linotype" w:eastAsia="Palatino Linotype" w:hAnsi="Palatino Linotype" w:cs="Palatino Linotype"/>
        </w:rPr>
        <w:t>respecto de que la</w:t>
      </w:r>
      <w:r w:rsidRPr="00480BA6">
        <w:rPr>
          <w:rFonts w:ascii="Palatino Linotype" w:eastAsia="Palatino Linotype" w:hAnsi="Palatino Linotype" w:cs="Palatino Linotype"/>
        </w:rPr>
        <w:t xml:space="preserve"> información se generó o no y, por parte el estudio no establece elementos que permitan dete</w:t>
      </w:r>
      <w:r w:rsidRPr="00480BA6">
        <w:rPr>
          <w:rFonts w:ascii="Palatino Linotype" w:eastAsia="Palatino Linotype" w:hAnsi="Palatino Linotype" w:cs="Palatino Linotype"/>
        </w:rPr>
        <w:t xml:space="preserve">rminar si debía ser generada. </w:t>
      </w:r>
    </w:p>
    <w:p w:rsidR="006A154E" w:rsidRPr="00480BA6" w:rsidRDefault="006A154E">
      <w:pPr>
        <w:spacing w:after="0" w:line="360" w:lineRule="auto"/>
        <w:ind w:right="-91"/>
        <w:jc w:val="both"/>
        <w:rPr>
          <w:rFonts w:ascii="Palatino Linotype" w:eastAsia="Palatino Linotype" w:hAnsi="Palatino Linotype" w:cs="Palatino Linotype"/>
        </w:rPr>
      </w:pPr>
    </w:p>
    <w:p w:rsidR="006A154E" w:rsidRPr="00480BA6" w:rsidRDefault="00480BA6">
      <w:pPr>
        <w:spacing w:after="0" w:line="360" w:lineRule="auto"/>
        <w:ind w:right="-91"/>
        <w:jc w:val="both"/>
        <w:rPr>
          <w:rFonts w:ascii="Palatino Linotype" w:eastAsia="Palatino Linotype" w:hAnsi="Palatino Linotype" w:cs="Palatino Linotype"/>
        </w:rPr>
      </w:pPr>
      <w:r w:rsidRPr="00480BA6">
        <w:rPr>
          <w:rFonts w:ascii="Palatino Linotype" w:eastAsia="Palatino Linotype" w:hAnsi="Palatino Linotype" w:cs="Palatino Linotype"/>
        </w:rPr>
        <w:t>Tal y como se puede apreciar, este segundo supuesto no es aplicable al caso que se revuelve, ya que no hay elementos que permitan tener la certeza sobre la existencia o inexistencia de la información, pues como se ha dicho, la atribución de generar los doc</w:t>
      </w:r>
      <w:r w:rsidRPr="00480BA6">
        <w:rPr>
          <w:rFonts w:ascii="Palatino Linotype" w:eastAsia="Palatino Linotype" w:hAnsi="Palatino Linotype" w:cs="Palatino Linotype"/>
        </w:rPr>
        <w:t xml:space="preserve">umentos existe; no obstante, se desconoce si </w:t>
      </w:r>
      <w:r w:rsidRPr="00480BA6">
        <w:rPr>
          <w:rFonts w:ascii="Palatino Linotype" w:eastAsia="Palatino Linotype" w:hAnsi="Palatino Linotype" w:cs="Palatino Linotype"/>
          <w:b/>
        </w:rPr>
        <w:t>EL SUJETO OBLIGADO</w:t>
      </w:r>
      <w:r w:rsidRPr="00480BA6">
        <w:rPr>
          <w:rFonts w:ascii="Palatino Linotype" w:eastAsia="Palatino Linotype" w:hAnsi="Palatino Linotype" w:cs="Palatino Linotype"/>
        </w:rPr>
        <w:t xml:space="preserve"> ejerció la atribución en los términos que requiere el particular, por lo tanto, se comparte que se ordene una nueva búsqueda exhaustiva y razonable, pero se considera indispensable agregar la </w:t>
      </w:r>
      <w:r w:rsidRPr="00480BA6">
        <w:rPr>
          <w:rFonts w:ascii="Palatino Linotype" w:eastAsia="Palatino Linotype" w:hAnsi="Palatino Linotype" w:cs="Palatino Linotype"/>
        </w:rPr>
        <w:t xml:space="preserve">salvedad que permita dar cumplimiento a la resolución indicando que no se cuenta con la información por no haberse generado. </w:t>
      </w:r>
    </w:p>
    <w:p w:rsidR="006A154E" w:rsidRPr="00480BA6" w:rsidRDefault="006A154E">
      <w:pPr>
        <w:spacing w:after="0" w:line="360" w:lineRule="auto"/>
        <w:ind w:right="139"/>
        <w:jc w:val="both"/>
        <w:rPr>
          <w:rFonts w:ascii="Palatino Linotype" w:eastAsia="Palatino Linotype" w:hAnsi="Palatino Linotype" w:cs="Palatino Linotype"/>
        </w:rPr>
      </w:pPr>
    </w:p>
    <w:p w:rsidR="006A154E" w:rsidRPr="00480BA6" w:rsidRDefault="00480BA6">
      <w:pPr>
        <w:spacing w:after="0" w:line="360" w:lineRule="auto"/>
        <w:ind w:right="139"/>
        <w:jc w:val="both"/>
        <w:rPr>
          <w:rFonts w:ascii="Palatino Linotype" w:eastAsia="Palatino Linotype" w:hAnsi="Palatino Linotype" w:cs="Palatino Linotype"/>
        </w:rPr>
        <w:sectPr w:rsidR="006A154E" w:rsidRPr="00480BA6">
          <w:headerReference w:type="even" r:id="rId8"/>
          <w:headerReference w:type="default" r:id="rId9"/>
          <w:footerReference w:type="default" r:id="rId10"/>
          <w:pgSz w:w="12240" w:h="15840"/>
          <w:pgMar w:top="1985" w:right="1701" w:bottom="2438" w:left="1701" w:header="709" w:footer="584" w:gutter="0"/>
          <w:pgNumType w:start="1"/>
          <w:cols w:space="720"/>
        </w:sectPr>
      </w:pPr>
      <w:r w:rsidRPr="00480BA6">
        <w:rPr>
          <w:rFonts w:ascii="Palatino Linotype" w:eastAsia="Palatino Linotype" w:hAnsi="Palatino Linotype" w:cs="Palatino Linotype"/>
        </w:rPr>
        <w:t xml:space="preserve"> Por todo lo anterior, se emite el presente Voto Particular.</w:t>
      </w: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tabs>
          <w:tab w:val="left" w:pos="851"/>
        </w:tabs>
        <w:spacing w:after="0" w:line="360" w:lineRule="auto"/>
        <w:ind w:right="902"/>
        <w:jc w:val="both"/>
        <w:rPr>
          <w:rFonts w:ascii="Palatino Linotype" w:eastAsia="Palatino Linotype" w:hAnsi="Palatino Linotype" w:cs="Palatino Linotype"/>
          <w:i/>
        </w:rPr>
      </w:pPr>
    </w:p>
    <w:p w:rsidR="006A154E" w:rsidRDefault="006A154E">
      <w:pPr>
        <w:spacing w:after="0" w:line="360" w:lineRule="auto"/>
        <w:ind w:right="423"/>
        <w:jc w:val="both"/>
        <w:rPr>
          <w:rFonts w:ascii="Palatino Linotype" w:eastAsia="Palatino Linotype" w:hAnsi="Palatino Linotype" w:cs="Palatino Linotype"/>
        </w:rPr>
      </w:pPr>
    </w:p>
    <w:sectPr w:rsidR="006A154E">
      <w:headerReference w:type="default" r:id="rId11"/>
      <w:footerReference w:type="default" r:id="rId12"/>
      <w:pgSz w:w="12240" w:h="15840"/>
      <w:pgMar w:top="1871" w:right="146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0BA6">
      <w:pPr>
        <w:spacing w:after="0" w:line="240" w:lineRule="auto"/>
      </w:pPr>
      <w:r>
        <w:separator/>
      </w:r>
    </w:p>
  </w:endnote>
  <w:endnote w:type="continuationSeparator" w:id="0">
    <w:p w:rsidR="00000000" w:rsidRDefault="0048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4E" w:rsidRDefault="00480B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6A154E" w:rsidRDefault="006A154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4E" w:rsidRDefault="00480B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6A154E" w:rsidRDefault="006A154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0BA6">
      <w:pPr>
        <w:spacing w:after="0" w:line="240" w:lineRule="auto"/>
      </w:pPr>
      <w:r>
        <w:separator/>
      </w:r>
    </w:p>
  </w:footnote>
  <w:footnote w:type="continuationSeparator" w:id="0">
    <w:p w:rsidR="00000000" w:rsidRDefault="0048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4E" w:rsidRDefault="00480BA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70670292" cy="170670292"/>
              <wp:effectExtent l="0" t="0" r="0" b="0"/>
              <wp:wrapNone/>
              <wp:docPr id="14"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6A154E" w:rsidRDefault="00480BA6">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70670292" cy="170670292"/>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0670292" cy="17067029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4E" w:rsidRDefault="00480B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-684530</wp:posOffset>
          </wp:positionH>
          <wp:positionV relativeFrom="paragraph">
            <wp:posOffset>-174625</wp:posOffset>
          </wp:positionV>
          <wp:extent cx="7510628"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A154E" w:rsidRDefault="006A154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A154E" w:rsidRDefault="00480BA6">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A154E" w:rsidRDefault="00480BA6">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00085/INFOEM/IP/RR/2025</w:t>
    </w:r>
  </w:p>
  <w:p w:rsidR="006A154E" w:rsidRDefault="00480BA6">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Servicios Educativos Integrados al Estado de México</w:t>
    </w:r>
  </w:p>
  <w:p w:rsidR="006A154E" w:rsidRDefault="00480BA6">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José Martínez Vilchis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4E" w:rsidRDefault="00480B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60288" behindDoc="1" locked="0" layoutInCell="1" hidden="0" allowOverlap="1">
          <wp:simplePos x="0" y="0"/>
          <wp:positionH relativeFrom="column">
            <wp:posOffset>-656589</wp:posOffset>
          </wp:positionH>
          <wp:positionV relativeFrom="paragraph">
            <wp:posOffset>-47624</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A154E" w:rsidRDefault="00480BA6">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A154E" w:rsidRDefault="00480BA6">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00085/INFOEM/IP/RR/2025</w:t>
    </w:r>
  </w:p>
  <w:p w:rsidR="006A154E" w:rsidRDefault="00480BA6">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Servicios Educativos Integrados al Estado de México</w:t>
    </w:r>
  </w:p>
  <w:p w:rsidR="006A154E" w:rsidRDefault="00480BA6">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José Martínez Vilchis </w:t>
    </w:r>
    <w:r>
      <w:rPr>
        <w:rFonts w:ascii="Palatino Linotype" w:eastAsia="Palatino Linotype" w:hAnsi="Palatino Linotype" w:cs="Palatino Linotype"/>
        <w:b/>
        <w:color w:val="000000"/>
        <w:sz w:val="20"/>
        <w:szCs w:val="20"/>
      </w:rPr>
      <w:br/>
    </w:r>
  </w:p>
  <w:p w:rsidR="006A154E" w:rsidRDefault="006A154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336"/>
    <w:multiLevelType w:val="multilevel"/>
    <w:tmpl w:val="55E0CC90"/>
    <w:lvl w:ilvl="0">
      <w:start w:val="1"/>
      <w:numFmt w:val="lowerLetter"/>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0ACA1282"/>
    <w:multiLevelType w:val="multilevel"/>
    <w:tmpl w:val="6EAE80DC"/>
    <w:lvl w:ilvl="0">
      <w:start w:val="1"/>
      <w:numFmt w:val="decimal"/>
      <w:lvlText w:val="%1."/>
      <w:lvlJc w:val="left"/>
      <w:pPr>
        <w:ind w:left="1440" w:hanging="360"/>
      </w:pPr>
    </w:lvl>
    <w:lvl w:ilvl="1">
      <w:start w:val="1"/>
      <w:numFmt w:val="upp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C7A7BE6"/>
    <w:multiLevelType w:val="multilevel"/>
    <w:tmpl w:val="16261E92"/>
    <w:lvl w:ilvl="0">
      <w:start w:val="2"/>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4D3B57"/>
    <w:multiLevelType w:val="multilevel"/>
    <w:tmpl w:val="731C8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05665A"/>
    <w:multiLevelType w:val="multilevel"/>
    <w:tmpl w:val="B6F20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4E"/>
    <w:rsid w:val="00480BA6"/>
    <w:rsid w:val="006A1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04CBA-CC15-471E-BB3C-C0F603D4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character" w:customStyle="1" w:styleId="normaltextrun">
    <w:name w:val="normaltextrun"/>
    <w:basedOn w:val="Fuentedeprrafopredeter"/>
    <w:rsid w:val="0012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4o2cd0fWpOplf34rWsuz6/kZg==">CgMxLjAyCGguZ2pkZ3hzMgloLjFmb2I5dGUyCWguMmV0OTJwMDIJaC4zMGowemxsOAByITFXVkhtMTdRTXNrQjZ5T1Z5MThUSmFrTmJRaG5QVXBlNg==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2599</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2025-02-10T15:50:00Z</dcterms:created>
  <dcterms:modified xsi:type="dcterms:W3CDTF">2025-02-10T15:50:00Z</dcterms:modified>
</cp:coreProperties>
</file>