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B689B" w14:textId="2EF3622B" w:rsidR="00CB1FD9" w:rsidRDefault="0089705E">
      <w:pPr>
        <w:spacing w:before="240" w:after="240" w:line="360" w:lineRule="auto"/>
        <w:ind w:right="139"/>
        <w:jc w:val="both"/>
        <w:rPr>
          <w:rFonts w:ascii="Palatino Linotype" w:eastAsia="Palatino Linotype" w:hAnsi="Palatino Linotype" w:cs="Palatino Linotype"/>
          <w:b/>
        </w:rPr>
      </w:pPr>
      <w:bookmarkStart w:id="0" w:name="_heading=h.gjdgxs" w:colFirst="0" w:colLast="0"/>
      <w:bookmarkStart w:id="1" w:name="_GoBack"/>
      <w:bookmarkEnd w:id="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FA5AA6">
        <w:rPr>
          <w:rFonts w:ascii="Palatino Linotype" w:eastAsia="Palatino Linotype" w:hAnsi="Palatino Linotype" w:cs="Palatino Linotype"/>
          <w:b/>
        </w:rPr>
        <w:t>NOVENA</w:t>
      </w:r>
      <w:r w:rsidR="009D5AF9">
        <w:rPr>
          <w:rFonts w:ascii="Palatino Linotype" w:eastAsia="Palatino Linotype" w:hAnsi="Palatino Linotype" w:cs="Palatino Linotype"/>
          <w:b/>
        </w:rPr>
        <w:t xml:space="preserve"> </w:t>
      </w:r>
      <w:r>
        <w:rPr>
          <w:rFonts w:ascii="Palatino Linotype" w:eastAsia="Palatino Linotype" w:hAnsi="Palatino Linotype" w:cs="Palatino Linotype"/>
          <w:b/>
        </w:rPr>
        <w:t>SE</w:t>
      </w:r>
      <w:r w:rsidR="009D5AF9">
        <w:rPr>
          <w:rFonts w:ascii="Palatino Linotype" w:eastAsia="Palatino Linotype" w:hAnsi="Palatino Linotype" w:cs="Palatino Linotype"/>
          <w:b/>
        </w:rPr>
        <w:t xml:space="preserve">SIÓN ORDINARIA CELEBRADA EL </w:t>
      </w:r>
      <w:r w:rsidR="00FA5AA6">
        <w:rPr>
          <w:rFonts w:ascii="Palatino Linotype" w:eastAsia="Palatino Linotype" w:hAnsi="Palatino Linotype" w:cs="Palatino Linotype"/>
          <w:b/>
        </w:rPr>
        <w:t>DOCE</w:t>
      </w:r>
      <w:r w:rsidR="009D5AF9">
        <w:rPr>
          <w:rFonts w:ascii="Palatino Linotype" w:eastAsia="Palatino Linotype" w:hAnsi="Palatino Linotype" w:cs="Palatino Linotype"/>
          <w:b/>
        </w:rPr>
        <w:t xml:space="preserve"> DE </w:t>
      </w:r>
      <w:r w:rsidR="00FA5AA6">
        <w:rPr>
          <w:rFonts w:ascii="Palatino Linotype" w:eastAsia="Palatino Linotype" w:hAnsi="Palatino Linotype" w:cs="Palatino Linotype"/>
          <w:b/>
        </w:rPr>
        <w:t>MARZO</w:t>
      </w:r>
      <w:r w:rsidR="009D5AF9">
        <w:rPr>
          <w:rFonts w:ascii="Palatino Linotype" w:eastAsia="Palatino Linotype" w:hAnsi="Palatino Linotype" w:cs="Palatino Linotype"/>
          <w:b/>
        </w:rPr>
        <w:t xml:space="preserve"> DE DOS MIL VEINTICINC</w:t>
      </w:r>
      <w:r>
        <w:rPr>
          <w:rFonts w:ascii="Palatino Linotype" w:eastAsia="Palatino Linotype" w:hAnsi="Palatino Linotype" w:cs="Palatino Linotype"/>
          <w:b/>
        </w:rPr>
        <w:t xml:space="preserve">O, EN EL RECURSO DE REVISIÓN </w:t>
      </w:r>
      <w:r w:rsidR="009D5AF9" w:rsidRPr="009D5AF9">
        <w:rPr>
          <w:rFonts w:ascii="Palatino Linotype" w:eastAsia="Palatino Linotype" w:hAnsi="Palatino Linotype" w:cs="Palatino Linotype"/>
          <w:b/>
        </w:rPr>
        <w:t>0</w:t>
      </w:r>
      <w:r w:rsidR="008541CC">
        <w:rPr>
          <w:rFonts w:ascii="Palatino Linotype" w:eastAsia="Palatino Linotype" w:hAnsi="Palatino Linotype" w:cs="Palatino Linotype"/>
          <w:b/>
        </w:rPr>
        <w:t>1140</w:t>
      </w:r>
      <w:r w:rsidR="00DE645D">
        <w:rPr>
          <w:rFonts w:ascii="Palatino Linotype" w:eastAsia="Palatino Linotype" w:hAnsi="Palatino Linotype" w:cs="Palatino Linotype"/>
          <w:b/>
        </w:rPr>
        <w:t>/INFOEM/IP/RR/2025</w:t>
      </w:r>
      <w:r w:rsidR="00FA5AA6">
        <w:rPr>
          <w:rFonts w:ascii="Palatino Linotype" w:eastAsia="Palatino Linotype" w:hAnsi="Palatino Linotype" w:cs="Palatino Linotype"/>
          <w:b/>
        </w:rPr>
        <w:t xml:space="preserve">. </w:t>
      </w:r>
    </w:p>
    <w:p w14:paraId="52A8C884" w14:textId="0A3B84B8" w:rsidR="00CB1FD9" w:rsidRDefault="0089705E">
      <w:pPr>
        <w:spacing w:before="240" w:after="240" w:line="360" w:lineRule="auto"/>
        <w:ind w:right="139"/>
        <w:jc w:val="both"/>
        <w:rPr>
          <w:rFonts w:ascii="Palatino Linotype" w:eastAsia="Palatino Linotype" w:hAnsi="Palatino Linotype" w:cs="Palatino Linotype"/>
          <w:b/>
        </w:rPr>
      </w:pPr>
      <w:r>
        <w:rPr>
          <w:rFonts w:ascii="Palatino Linotype" w:eastAsia="Palatino Linotype" w:hAnsi="Palatino Linotype" w:cs="Palatino Linotype"/>
        </w:rPr>
        <w:t>Con fundamento en lo dispuesto por el artículo 14, fracciones X y XI, del Reglamento del Instituto de Transparencia, Acceso a la Información Pública y Protección de Datos Personales del Estado de México y Municipios, la que suscribe</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respe</w:t>
      </w:r>
      <w:r w:rsidR="00A01C7B">
        <w:rPr>
          <w:rFonts w:ascii="Palatino Linotype" w:eastAsia="Palatino Linotype" w:hAnsi="Palatino Linotype" w:cs="Palatino Linotype"/>
        </w:rPr>
        <w:t xml:space="preserve">cto a la resolución dictada en </w:t>
      </w:r>
      <w:r w:rsidR="00A01C7B" w:rsidRPr="00A01C7B">
        <w:rPr>
          <w:rFonts w:ascii="Palatino Linotype" w:eastAsia="Palatino Linotype" w:hAnsi="Palatino Linotype" w:cs="Palatino Linotype"/>
        </w:rPr>
        <w:t>el recurso</w:t>
      </w:r>
      <w:r w:rsidRPr="00A01C7B">
        <w:rPr>
          <w:rFonts w:ascii="Palatino Linotype" w:eastAsia="Palatino Linotype" w:hAnsi="Palatino Linotype" w:cs="Palatino Linotype"/>
        </w:rPr>
        <w:t xml:space="preserve"> de</w:t>
      </w:r>
      <w:r>
        <w:rPr>
          <w:rFonts w:ascii="Palatino Linotype" w:eastAsia="Palatino Linotype" w:hAnsi="Palatino Linotype" w:cs="Palatino Linotype"/>
        </w:rPr>
        <w:t xml:space="preserve"> revisión </w:t>
      </w:r>
      <w:r w:rsidR="009D5AF9" w:rsidRPr="009D5AF9">
        <w:rPr>
          <w:rFonts w:ascii="Palatino Linotype" w:eastAsia="Palatino Linotype" w:hAnsi="Palatino Linotype" w:cs="Palatino Linotype"/>
          <w:b/>
        </w:rPr>
        <w:t>0</w:t>
      </w:r>
      <w:r w:rsidR="008541CC">
        <w:rPr>
          <w:rFonts w:ascii="Palatino Linotype" w:eastAsia="Palatino Linotype" w:hAnsi="Palatino Linotype" w:cs="Palatino Linotype"/>
          <w:b/>
        </w:rPr>
        <w:t>1140</w:t>
      </w:r>
      <w:r w:rsidR="00DE645D">
        <w:rPr>
          <w:rFonts w:ascii="Palatino Linotype" w:eastAsia="Palatino Linotype" w:hAnsi="Palatino Linotype" w:cs="Palatino Linotype"/>
          <w:b/>
        </w:rPr>
        <w:t>/INFOEM/IP/RR/2025</w:t>
      </w:r>
      <w:r w:rsidR="00FA5AA6">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pronunciada por </w:t>
      </w:r>
      <w:r w:rsidR="00FA5AA6">
        <w:rPr>
          <w:rFonts w:ascii="Palatino Linotype" w:eastAsia="Palatino Linotype" w:hAnsi="Palatino Linotype" w:cs="Palatino Linotype"/>
        </w:rPr>
        <w:t>el</w:t>
      </w:r>
      <w:r>
        <w:rPr>
          <w:rFonts w:ascii="Palatino Linotype" w:eastAsia="Palatino Linotype" w:hAnsi="Palatino Linotype" w:cs="Palatino Linotype"/>
        </w:rPr>
        <w:t xml:space="preserve"> </w:t>
      </w:r>
      <w:r>
        <w:rPr>
          <w:rFonts w:ascii="Palatino Linotype" w:eastAsia="Palatino Linotype" w:hAnsi="Palatino Linotype" w:cs="Palatino Linotype"/>
          <w:b/>
        </w:rPr>
        <w:t>Comisionad</w:t>
      </w:r>
      <w:r w:rsidR="00FA5AA6">
        <w:rPr>
          <w:rFonts w:ascii="Palatino Linotype" w:eastAsia="Palatino Linotype" w:hAnsi="Palatino Linotype" w:cs="Palatino Linotype"/>
          <w:b/>
        </w:rPr>
        <w:t>o</w:t>
      </w:r>
      <w:r>
        <w:rPr>
          <w:rFonts w:ascii="Palatino Linotype" w:eastAsia="Palatino Linotype" w:hAnsi="Palatino Linotype" w:cs="Palatino Linotype"/>
          <w:b/>
        </w:rPr>
        <w:t xml:space="preserve"> </w:t>
      </w:r>
      <w:r w:rsidR="00FA5AA6">
        <w:rPr>
          <w:rFonts w:ascii="Palatino Linotype" w:eastAsia="Palatino Linotype" w:hAnsi="Palatino Linotype" w:cs="Palatino Linotype"/>
          <w:b/>
        </w:rPr>
        <w:t>José Martínez Vilchis</w:t>
      </w:r>
      <w:r>
        <w:rPr>
          <w:rFonts w:ascii="Palatino Linotype" w:eastAsia="Palatino Linotype" w:hAnsi="Palatino Linotype" w:cs="Palatino Linotype"/>
        </w:rPr>
        <w:t xml:space="preserve">, que es del tenor siguiente: </w:t>
      </w:r>
    </w:p>
    <w:p w14:paraId="3021515C" w14:textId="77777777" w:rsidR="00CB1FD9" w:rsidRDefault="0089705E">
      <w:pPr>
        <w:numPr>
          <w:ilvl w:val="0"/>
          <w:numId w:val="1"/>
        </w:numPr>
        <w:spacing w:after="0" w:line="360" w:lineRule="auto"/>
        <w:ind w:left="567" w:right="139" w:hanging="283"/>
        <w:jc w:val="both"/>
        <w:rPr>
          <w:rFonts w:ascii="Palatino Linotype" w:eastAsia="Palatino Linotype" w:hAnsi="Palatino Linotype" w:cs="Palatino Linotype"/>
        </w:rPr>
      </w:pPr>
      <w:r>
        <w:rPr>
          <w:rFonts w:ascii="Palatino Linotype" w:eastAsia="Palatino Linotype" w:hAnsi="Palatino Linotype" w:cs="Palatino Linotype"/>
          <w:b/>
        </w:rPr>
        <w:t>Antecedentes.</w:t>
      </w:r>
    </w:p>
    <w:p w14:paraId="093B155C" w14:textId="026C11F7" w:rsidR="00CF61CF" w:rsidRDefault="0089705E">
      <w:pPr>
        <w:spacing w:before="240" w:after="240" w:line="360" w:lineRule="auto"/>
        <w:jc w:val="both"/>
        <w:rPr>
          <w:rFonts w:ascii="Palatino Linotype" w:eastAsia="Palatino Linotype" w:hAnsi="Palatino Linotype" w:cs="Palatino Linotype"/>
          <w:bCs/>
        </w:rPr>
      </w:pPr>
      <w:r>
        <w:rPr>
          <w:rFonts w:ascii="Palatino Linotype" w:eastAsia="Palatino Linotype" w:hAnsi="Palatino Linotype" w:cs="Palatino Linotype"/>
        </w:rPr>
        <w:t xml:space="preserve">A través de la solicitud de acceso a la información que nos ocupa, la persona solicitante requirió al </w:t>
      </w:r>
      <w:r w:rsidR="00CF61CF">
        <w:rPr>
          <w:rFonts w:ascii="Palatino Linotype" w:eastAsia="Palatino Linotype" w:hAnsi="Palatino Linotype" w:cs="Palatino Linotype"/>
          <w:b/>
        </w:rPr>
        <w:t>Sujeto Obligado</w:t>
      </w:r>
      <w:r w:rsidR="00FA5AA6">
        <w:rPr>
          <w:rFonts w:ascii="Palatino Linotype" w:eastAsia="Palatino Linotype" w:hAnsi="Palatino Linotype" w:cs="Palatino Linotype"/>
          <w:b/>
        </w:rPr>
        <w:t xml:space="preserve"> </w:t>
      </w:r>
      <w:r w:rsidR="00FA5AA6">
        <w:rPr>
          <w:rFonts w:ascii="Palatino Linotype" w:eastAsia="Palatino Linotype" w:hAnsi="Palatino Linotype" w:cs="Palatino Linotype"/>
          <w:bCs/>
        </w:rPr>
        <w:t xml:space="preserve">la siguiente información: </w:t>
      </w:r>
    </w:p>
    <w:p w14:paraId="4EAFD3C7" w14:textId="5E3C73FE" w:rsidR="00FA5AA6" w:rsidRPr="008541CC" w:rsidRDefault="008541CC" w:rsidP="008541CC">
      <w:pPr>
        <w:spacing w:before="240" w:after="240" w:line="360" w:lineRule="auto"/>
        <w:ind w:left="567" w:right="616"/>
        <w:jc w:val="both"/>
        <w:rPr>
          <w:rFonts w:ascii="Palatino Linotype" w:eastAsia="Palatino Linotype" w:hAnsi="Palatino Linotype" w:cs="Palatino Linotype"/>
          <w:sz w:val="21"/>
          <w:szCs w:val="21"/>
        </w:rPr>
      </w:pPr>
      <w:r w:rsidRPr="008541CC">
        <w:rPr>
          <w:rFonts w:ascii="Palatino Linotype" w:hAnsi="Palatino Linotype"/>
          <w:i/>
          <w:color w:val="000000"/>
        </w:rPr>
        <w:t xml:space="preserve">Artículo 32.- de la Ley Organica Municipal del Estado de México, Para ocupar los cargos de Secretario; Tesorero; Director de Obras Públicas, de Desarrollo Económico, Director de Turismo, Coordinador General Municipal de Mejora Regulatoria, Ecología, Desarrollo Urbano, de Desarrollo Social, de las Mujeres, del Campo o equivalentes, titulares de las unidades administrativas, de Protección Civil y de los organismos auxiliares se deberán satisfacer los siguientes requisitos: I. Ser persona ciudadana del </w:t>
      </w:r>
      <w:r w:rsidRPr="008541CC">
        <w:rPr>
          <w:rFonts w:ascii="Palatino Linotype" w:hAnsi="Palatino Linotype"/>
          <w:i/>
          <w:color w:val="000000"/>
        </w:rPr>
        <w:lastRenderedPageBreak/>
        <w:t>Estado, en pleno uso de sus derechos; II. No estar inhabilitada o inhabilitado para desempeñar cargo, empleo, o comisión pública; III. Contar con título profesional o acreditar experiencia mínima de un año en la materia, ante la o el Presidente o el Ayuntamiento, cuando sea el caso, para el desempeño de los cargos que así lo requieran; IV. Contar con certificación de competencia laboral en la materia del cargo que se desempeñará, expedida por institución con reconocimiento de validez oficial. Este requisito deberá acreditarse dentro de los seis meses siguientes a la fecha en que inicien sus funciones; V. No estar condenada o condenado por sentencia ejecutoriada por el delito de violencia política contra las mujeres en razón de género; VI. No estar inscrito en el Registro de Deudores Alimentarios Morosos en el Estado, ni en otra entidad federativa, y VII. No estar condenada o condenado por sentencia ejecutoriada por delitos de violencia familiar, contra la libertad sexual o de violencia de género. Vencido el plazo a que se refiere la fracción IV, la o el Presidente Municipal informará al Cabildo sobre el cumplimiento de dicha certificación laboral para que, en su caso, el Ayuntamiento tome las medidas correspondientes respecto de aquellos servidores públicos que no hubiesen cumplido. solicito se me remita la documentacion de cada uno de ellos</w:t>
      </w:r>
    </w:p>
    <w:p w14:paraId="3AAF2338" w14:textId="224CF487" w:rsidR="00CB1FD9" w:rsidRPr="00DE645D" w:rsidRDefault="0089705E">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Sujeto Obligado</w:t>
      </w:r>
      <w:r w:rsidR="00FA5AA6">
        <w:rPr>
          <w:rFonts w:ascii="Palatino Linotype" w:eastAsia="Palatino Linotype" w:hAnsi="Palatino Linotype" w:cs="Palatino Linotype"/>
        </w:rPr>
        <w:t xml:space="preserve"> remitió </w:t>
      </w:r>
      <w:r w:rsidR="008541CC">
        <w:rPr>
          <w:rFonts w:ascii="Palatino Linotype" w:eastAsia="Palatino Linotype" w:hAnsi="Palatino Linotype" w:cs="Palatino Linotype"/>
        </w:rPr>
        <w:t xml:space="preserve">diversos documentos que contienen el currículum vitae de servidores públicos. Asimismo, señaló que </w:t>
      </w:r>
      <w:r w:rsidR="00551C41">
        <w:rPr>
          <w:rFonts w:ascii="Palatino Linotype" w:eastAsia="Palatino Linotype" w:hAnsi="Palatino Linotype" w:cs="Palatino Linotype"/>
        </w:rPr>
        <w:t>respecto a la certificación, se cuenta con un plazo de seis meses para presentarla. Por su parte, el Recurrente se inconformó por la negativa de la información.</w:t>
      </w:r>
      <w:r w:rsidR="00521A58">
        <w:rPr>
          <w:rFonts w:ascii="Palatino Linotype" w:eastAsia="Palatino Linotype" w:hAnsi="Palatino Linotype" w:cs="Palatino Linotype"/>
          <w:color w:val="000000"/>
        </w:rPr>
        <w:t xml:space="preserve"> </w:t>
      </w:r>
      <w:r w:rsidR="00CF61CF">
        <w:rPr>
          <w:rFonts w:ascii="Palatino Linotype" w:eastAsia="Palatino Linotype" w:hAnsi="Palatino Linotype" w:cs="Palatino Linotype"/>
          <w:color w:val="000000"/>
        </w:rPr>
        <w:t xml:space="preserve"> </w:t>
      </w:r>
    </w:p>
    <w:p w14:paraId="16D73398" w14:textId="58E305D0" w:rsidR="00521A58" w:rsidRDefault="0089705E" w:rsidP="00521A5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Durante la etapa de manifestaciones, el </w:t>
      </w:r>
      <w:r>
        <w:rPr>
          <w:rFonts w:ascii="Palatino Linotype" w:eastAsia="Palatino Linotype" w:hAnsi="Palatino Linotype" w:cs="Palatino Linotype"/>
          <w:b/>
        </w:rPr>
        <w:t>Sujeto Obligado</w:t>
      </w:r>
      <w:r w:rsidR="00CF61CF">
        <w:rPr>
          <w:rFonts w:ascii="Palatino Linotype" w:eastAsia="Palatino Linotype" w:hAnsi="Palatino Linotype" w:cs="Palatino Linotype"/>
          <w:b/>
        </w:rPr>
        <w:t xml:space="preserve"> </w:t>
      </w:r>
      <w:bookmarkStart w:id="2" w:name="_heading=h.3znysh7" w:colFirst="0" w:colLast="0"/>
      <w:bookmarkEnd w:id="2"/>
      <w:r w:rsidR="00521A58" w:rsidRPr="00552EAB">
        <w:rPr>
          <w:rFonts w:ascii="Palatino Linotype" w:hAnsi="Palatino Linotype" w:cs="Arial"/>
          <w:sz w:val="24"/>
          <w:szCs w:val="24"/>
        </w:rPr>
        <w:t xml:space="preserve">fue omiso en rendir su informe justificado; </w:t>
      </w:r>
      <w:r w:rsidR="00521A58">
        <w:rPr>
          <w:rFonts w:ascii="Palatino Linotype" w:hAnsi="Palatino Linotype" w:cs="Arial"/>
          <w:sz w:val="24"/>
          <w:szCs w:val="24"/>
        </w:rPr>
        <w:t>p</w:t>
      </w:r>
      <w:r w:rsidR="00521A58" w:rsidRPr="00552EAB">
        <w:rPr>
          <w:rFonts w:ascii="Palatino Linotype" w:hAnsi="Palatino Linotype" w:cs="Arial"/>
          <w:sz w:val="24"/>
          <w:szCs w:val="24"/>
        </w:rPr>
        <w:t xml:space="preserve">or su parte, </w:t>
      </w:r>
      <w:r w:rsidR="00521A58">
        <w:rPr>
          <w:rFonts w:ascii="Palatino Linotype" w:hAnsi="Palatino Linotype" w:cs="Arial"/>
          <w:sz w:val="24"/>
          <w:szCs w:val="24"/>
        </w:rPr>
        <w:t>la persona</w:t>
      </w:r>
      <w:r w:rsidR="00521A58" w:rsidRPr="00552EAB">
        <w:rPr>
          <w:rFonts w:ascii="Palatino Linotype" w:hAnsi="Palatino Linotype" w:cs="Arial"/>
          <w:b/>
          <w:bCs/>
          <w:sz w:val="24"/>
          <w:szCs w:val="24"/>
        </w:rPr>
        <w:t xml:space="preserve"> Recurrente</w:t>
      </w:r>
      <w:r w:rsidR="00521A58" w:rsidRPr="00552EAB">
        <w:rPr>
          <w:rFonts w:ascii="Palatino Linotype" w:hAnsi="Palatino Linotype" w:cs="Arial"/>
          <w:sz w:val="24"/>
          <w:szCs w:val="24"/>
        </w:rPr>
        <w:t xml:space="preserve"> no realizó alegatos ni presentó pruebas que a su derecho convinieran dentro del término previsto</w:t>
      </w:r>
      <w:r w:rsidR="00521A58">
        <w:rPr>
          <w:rFonts w:ascii="Palatino Linotype" w:hAnsi="Palatino Linotype" w:cs="Arial"/>
          <w:sz w:val="24"/>
          <w:szCs w:val="24"/>
        </w:rPr>
        <w:t>.</w:t>
      </w:r>
      <w:r w:rsidR="00521A58">
        <w:rPr>
          <w:rFonts w:ascii="Palatino Linotype" w:eastAsia="Palatino Linotype" w:hAnsi="Palatino Linotype" w:cs="Palatino Linotype"/>
        </w:rPr>
        <w:t xml:space="preserve"> </w:t>
      </w:r>
    </w:p>
    <w:p w14:paraId="148732B3" w14:textId="3F146453" w:rsidR="008B324B" w:rsidRDefault="0089705E" w:rsidP="00521A5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las cosas, el Instituto consideró que las razones o motivos de inconformidad hechos valer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resultan fundados, y determinó </w:t>
      </w:r>
      <w:r w:rsidR="00521A58">
        <w:rPr>
          <w:rFonts w:ascii="Palatino Linotype" w:eastAsia="Palatino Linotype" w:hAnsi="Palatino Linotype" w:cs="Palatino Linotype"/>
          <w:b/>
        </w:rPr>
        <w:t>modific</w:t>
      </w:r>
      <w:r w:rsidR="00823F1C">
        <w:rPr>
          <w:rFonts w:ascii="Palatino Linotype" w:eastAsia="Palatino Linotype" w:hAnsi="Palatino Linotype" w:cs="Palatino Linotype"/>
          <w:b/>
        </w:rPr>
        <w:t>ar</w:t>
      </w:r>
      <w:r>
        <w:rPr>
          <w:rFonts w:ascii="Palatino Linotype" w:eastAsia="Palatino Linotype" w:hAnsi="Palatino Linotype" w:cs="Palatino Linotype"/>
        </w:rPr>
        <w:t xml:space="preserve">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para ordenar la entrega de</w:t>
      </w:r>
      <w:r w:rsidR="008B324B">
        <w:rPr>
          <w:rFonts w:ascii="Palatino Linotype" w:eastAsia="Palatino Linotype" w:hAnsi="Palatino Linotype" w:cs="Palatino Linotype"/>
        </w:rPr>
        <w:t xml:space="preserve"> la siguiente información:</w:t>
      </w:r>
    </w:p>
    <w:p w14:paraId="16B6FFC7" w14:textId="77777777" w:rsidR="00551C41" w:rsidRPr="00551C41" w:rsidRDefault="008B324B" w:rsidP="00551C41">
      <w:pPr>
        <w:spacing w:before="240" w:line="360" w:lineRule="auto"/>
        <w:ind w:left="567" w:right="616"/>
        <w:jc w:val="both"/>
        <w:rPr>
          <w:rFonts w:ascii="Palatino Linotype" w:hAnsi="Palatino Linotype" w:cs="Arial"/>
          <w:sz w:val="20"/>
          <w:szCs w:val="20"/>
        </w:rPr>
      </w:pPr>
      <w:r w:rsidRPr="00551C41">
        <w:rPr>
          <w:rFonts w:ascii="Palatino Linotype" w:eastAsia="Palatino Linotype" w:hAnsi="Palatino Linotype" w:cs="Palatino Linotype"/>
          <w:b/>
          <w:i/>
          <w:sz w:val="20"/>
          <w:szCs w:val="20"/>
          <w:lang w:val="it-IT"/>
        </w:rPr>
        <w:t>“</w:t>
      </w:r>
      <w:r w:rsidR="00551C41" w:rsidRPr="00551C41">
        <w:rPr>
          <w:rFonts w:ascii="Palatino Linotype" w:hAnsi="Palatino Linotype" w:cs="Arial"/>
          <w:b/>
          <w:sz w:val="20"/>
          <w:szCs w:val="20"/>
          <w:lang w:val="es-ES_tradnl"/>
        </w:rPr>
        <w:t>PRIMERO.</w:t>
      </w:r>
      <w:r w:rsidR="00551C41" w:rsidRPr="00551C41">
        <w:rPr>
          <w:rFonts w:ascii="Palatino Linotype" w:hAnsi="Palatino Linotype" w:cs="Arial"/>
          <w:sz w:val="20"/>
          <w:szCs w:val="20"/>
          <w:lang w:val="es-ES_tradnl"/>
        </w:rPr>
        <w:t xml:space="preserve"> </w:t>
      </w:r>
      <w:r w:rsidR="00551C41" w:rsidRPr="00551C41">
        <w:rPr>
          <w:rFonts w:ascii="Palatino Linotype" w:hAnsi="Palatino Linotype" w:cs="Arial"/>
          <w:sz w:val="20"/>
          <w:szCs w:val="20"/>
        </w:rPr>
        <w:t xml:space="preserve">Se </w:t>
      </w:r>
      <w:r w:rsidR="00551C41" w:rsidRPr="00551C41">
        <w:rPr>
          <w:rFonts w:ascii="Palatino Linotype" w:hAnsi="Palatino Linotype" w:cs="Arial"/>
          <w:b/>
          <w:sz w:val="20"/>
          <w:szCs w:val="20"/>
        </w:rPr>
        <w:t xml:space="preserve">REVOCA </w:t>
      </w:r>
      <w:r w:rsidR="00551C41" w:rsidRPr="00551C41">
        <w:rPr>
          <w:rFonts w:ascii="Palatino Linotype" w:hAnsi="Palatino Linotype" w:cs="Arial"/>
          <w:sz w:val="20"/>
          <w:szCs w:val="20"/>
        </w:rPr>
        <w:t xml:space="preserve">la respuesta entregada por </w:t>
      </w:r>
      <w:r w:rsidR="00551C41" w:rsidRPr="00551C41">
        <w:rPr>
          <w:rFonts w:ascii="Palatino Linotype" w:hAnsi="Palatino Linotype" w:cs="Arial"/>
          <w:b/>
          <w:sz w:val="20"/>
          <w:szCs w:val="20"/>
        </w:rPr>
        <w:t xml:space="preserve">EL SUJETO OBLIGADO, </w:t>
      </w:r>
      <w:r w:rsidR="00551C41" w:rsidRPr="00551C41">
        <w:rPr>
          <w:rFonts w:ascii="Palatino Linotype" w:hAnsi="Palatino Linotype" w:cs="Arial"/>
          <w:sz w:val="20"/>
          <w:szCs w:val="20"/>
        </w:rPr>
        <w:t xml:space="preserve">a la solicitud de información con número </w:t>
      </w:r>
      <w:r w:rsidR="00551C41" w:rsidRPr="00551C41">
        <w:rPr>
          <w:rFonts w:ascii="Palatino Linotype" w:hAnsi="Palatino Linotype"/>
          <w:b/>
          <w:bCs/>
          <w:sz w:val="20"/>
          <w:szCs w:val="20"/>
        </w:rPr>
        <w:t xml:space="preserve">00021/CAPULHUA/IP/2025 </w:t>
      </w:r>
      <w:r w:rsidR="00551C41" w:rsidRPr="00551C41">
        <w:rPr>
          <w:rFonts w:ascii="Palatino Linotype" w:hAnsi="Palatino Linotype" w:cs="Arial"/>
          <w:sz w:val="20"/>
          <w:szCs w:val="20"/>
        </w:rPr>
        <w:t xml:space="preserve">por resultar fundados los motivos de inconformidad que arguye </w:t>
      </w:r>
      <w:r w:rsidR="00551C41" w:rsidRPr="00551C41">
        <w:rPr>
          <w:rFonts w:ascii="Palatino Linotype" w:hAnsi="Palatino Linotype" w:cs="Arial"/>
          <w:b/>
          <w:sz w:val="20"/>
          <w:szCs w:val="20"/>
        </w:rPr>
        <w:t xml:space="preserve">EL RECURRENTE, </w:t>
      </w:r>
      <w:r w:rsidR="00551C41" w:rsidRPr="00551C41">
        <w:rPr>
          <w:rFonts w:ascii="Palatino Linotype" w:hAnsi="Palatino Linotype" w:cs="Arial"/>
          <w:sz w:val="20"/>
          <w:szCs w:val="20"/>
        </w:rPr>
        <w:t xml:space="preserve">en términos del </w:t>
      </w:r>
      <w:r w:rsidR="00551C41" w:rsidRPr="00551C41">
        <w:rPr>
          <w:rFonts w:ascii="Palatino Linotype" w:hAnsi="Palatino Linotype" w:cs="Arial"/>
          <w:b/>
          <w:sz w:val="20"/>
          <w:szCs w:val="20"/>
        </w:rPr>
        <w:t xml:space="preserve">Considerando QUINTO </w:t>
      </w:r>
      <w:r w:rsidR="00551C41" w:rsidRPr="00551C41">
        <w:rPr>
          <w:rFonts w:ascii="Palatino Linotype" w:hAnsi="Palatino Linotype" w:cs="Arial"/>
          <w:sz w:val="20"/>
          <w:szCs w:val="20"/>
        </w:rPr>
        <w:t xml:space="preserve">de la presente resolución. </w:t>
      </w:r>
    </w:p>
    <w:p w14:paraId="057F2986" w14:textId="77777777" w:rsidR="00551C41" w:rsidRPr="00551C41" w:rsidRDefault="00551C41" w:rsidP="00551C41">
      <w:pPr>
        <w:spacing w:before="240" w:line="360" w:lineRule="auto"/>
        <w:ind w:left="567" w:right="616"/>
        <w:jc w:val="both"/>
        <w:rPr>
          <w:rFonts w:ascii="Palatino Linotype" w:hAnsi="Palatino Linotype" w:cs="Arial"/>
          <w:sz w:val="20"/>
          <w:szCs w:val="20"/>
        </w:rPr>
      </w:pPr>
    </w:p>
    <w:p w14:paraId="7A689DF1" w14:textId="77777777" w:rsidR="00551C41" w:rsidRPr="00551C41" w:rsidRDefault="00551C41" w:rsidP="00551C41">
      <w:pPr>
        <w:spacing w:line="360" w:lineRule="auto"/>
        <w:ind w:left="567" w:right="616"/>
        <w:jc w:val="both"/>
        <w:rPr>
          <w:rFonts w:ascii="Palatino Linotype" w:hAnsi="Palatino Linotype" w:cs="Arial"/>
          <w:sz w:val="20"/>
          <w:szCs w:val="20"/>
        </w:rPr>
      </w:pPr>
      <w:r w:rsidRPr="00551C41">
        <w:rPr>
          <w:rFonts w:ascii="Palatino Linotype" w:hAnsi="Palatino Linotype" w:cs="Arial"/>
          <w:b/>
          <w:sz w:val="20"/>
          <w:szCs w:val="20"/>
          <w:lang w:val="es-ES_tradnl"/>
        </w:rPr>
        <w:t>SEGUNDO.</w:t>
      </w:r>
      <w:r w:rsidRPr="00551C41">
        <w:rPr>
          <w:rFonts w:ascii="Palatino Linotype" w:hAnsi="Palatino Linotype" w:cs="Arial"/>
          <w:sz w:val="20"/>
          <w:szCs w:val="20"/>
        </w:rPr>
        <w:t xml:space="preserve"> Se </w:t>
      </w:r>
      <w:r w:rsidRPr="00551C41">
        <w:rPr>
          <w:rFonts w:ascii="Palatino Linotype" w:hAnsi="Palatino Linotype" w:cs="Arial"/>
          <w:b/>
          <w:sz w:val="20"/>
          <w:szCs w:val="20"/>
        </w:rPr>
        <w:t>ORDENA</w:t>
      </w:r>
      <w:r w:rsidRPr="00551C41">
        <w:rPr>
          <w:rFonts w:ascii="Palatino Linotype" w:hAnsi="Palatino Linotype" w:cs="Arial"/>
          <w:sz w:val="20"/>
          <w:szCs w:val="20"/>
        </w:rPr>
        <w:t xml:space="preserve"> al </w:t>
      </w:r>
      <w:r w:rsidRPr="00551C41">
        <w:rPr>
          <w:rFonts w:ascii="Palatino Linotype" w:hAnsi="Palatino Linotype" w:cs="Arial"/>
          <w:b/>
          <w:sz w:val="20"/>
          <w:szCs w:val="20"/>
        </w:rPr>
        <w:t>SUJETO OBLIGADO</w:t>
      </w:r>
      <w:r w:rsidRPr="00551C41">
        <w:rPr>
          <w:rFonts w:ascii="Palatino Linotype" w:hAnsi="Palatino Linotype" w:cs="Arial"/>
          <w:sz w:val="20"/>
          <w:szCs w:val="20"/>
        </w:rPr>
        <w:t xml:space="preserve"> haga entrega al</w:t>
      </w:r>
      <w:r w:rsidRPr="00551C41">
        <w:rPr>
          <w:rFonts w:ascii="Palatino Linotype" w:hAnsi="Palatino Linotype" w:cs="Arial"/>
          <w:b/>
          <w:sz w:val="20"/>
          <w:szCs w:val="20"/>
        </w:rPr>
        <w:t xml:space="preserve"> RECURRENTE </w:t>
      </w:r>
      <w:r w:rsidRPr="00551C41">
        <w:rPr>
          <w:rFonts w:ascii="Palatino Linotype" w:hAnsi="Palatino Linotype" w:cs="Arial"/>
          <w:sz w:val="20"/>
          <w:szCs w:val="20"/>
        </w:rPr>
        <w:t xml:space="preserve">en términos del Considerando </w:t>
      </w:r>
      <w:r w:rsidRPr="00551C41">
        <w:rPr>
          <w:rFonts w:ascii="Palatino Linotype" w:hAnsi="Palatino Linotype" w:cs="Arial"/>
          <w:b/>
          <w:sz w:val="20"/>
          <w:szCs w:val="20"/>
        </w:rPr>
        <w:t xml:space="preserve">QUINTO </w:t>
      </w:r>
      <w:r w:rsidRPr="00551C41">
        <w:rPr>
          <w:rFonts w:ascii="Palatino Linotype" w:hAnsi="Palatino Linotype" w:cs="Arial"/>
          <w:sz w:val="20"/>
          <w:szCs w:val="20"/>
        </w:rPr>
        <w:t>de esta resolución</w:t>
      </w:r>
      <w:r w:rsidRPr="00551C41">
        <w:rPr>
          <w:rFonts w:ascii="Palatino Linotype" w:hAnsi="Palatino Linotype" w:cs="Arial"/>
          <w:b/>
          <w:sz w:val="20"/>
          <w:szCs w:val="20"/>
        </w:rPr>
        <w:t xml:space="preserve">, </w:t>
      </w:r>
      <w:r w:rsidRPr="00551C41">
        <w:rPr>
          <w:rFonts w:ascii="Palatino Linotype" w:hAnsi="Palatino Linotype" w:cs="Arial"/>
          <w:sz w:val="20"/>
          <w:szCs w:val="20"/>
        </w:rPr>
        <w:t xml:space="preserve">a través del Sistema de Acceso a la Información Mexiquense </w:t>
      </w:r>
      <w:r w:rsidRPr="00551C41">
        <w:rPr>
          <w:rFonts w:ascii="Palatino Linotype" w:hAnsi="Palatino Linotype" w:cs="Arial"/>
          <w:b/>
          <w:sz w:val="20"/>
          <w:szCs w:val="20"/>
        </w:rPr>
        <w:t xml:space="preserve">(SAIMEX), </w:t>
      </w:r>
      <w:r w:rsidRPr="00551C41">
        <w:rPr>
          <w:rFonts w:ascii="Palatino Linotype" w:hAnsi="Palatino Linotype"/>
          <w:color w:val="000000"/>
          <w:sz w:val="20"/>
          <w:szCs w:val="20"/>
        </w:rPr>
        <w:t xml:space="preserve">de los titulares </w:t>
      </w:r>
      <w:r w:rsidRPr="00551C41">
        <w:rPr>
          <w:rFonts w:ascii="Palatino Linotype" w:eastAsia="Palatino Linotype" w:hAnsi="Palatino Linotype" w:cs="Palatino Linotype"/>
          <w:sz w:val="20"/>
          <w:szCs w:val="20"/>
        </w:rPr>
        <w:t xml:space="preserve">de la </w:t>
      </w:r>
      <w:r w:rsidRPr="00551C41">
        <w:rPr>
          <w:rFonts w:ascii="Palatino Linotype" w:hAnsi="Palatino Linotype"/>
          <w:sz w:val="20"/>
          <w:szCs w:val="20"/>
        </w:rPr>
        <w:t>Secretaria del Ayuntamiento, la Contraloría, la  Tesorería Municipal, la  Dirección de Obras Públicas, la  Dirección de Administración, la  Dirección de Turismo, la  Dirección de Desarrollo Económico, la  Dirección de Ecología, la  Coordinación del Instituto Municipal de la Mujer,  la  Unidad de Transparencia, la  Defensoría de Derechos Humanos y el  Organismo Público Descentralizado en materia de Cultura Física y Deporte</w:t>
      </w:r>
      <w:r w:rsidRPr="00551C41">
        <w:rPr>
          <w:rFonts w:ascii="Palatino Linotype" w:hAnsi="Palatino Linotype"/>
          <w:color w:val="000000"/>
          <w:sz w:val="20"/>
          <w:szCs w:val="20"/>
        </w:rPr>
        <w:t xml:space="preserve"> al trece de enero de dos mil veinticinco de ser procedente en versión pública  </w:t>
      </w:r>
      <w:r w:rsidRPr="00551C41">
        <w:rPr>
          <w:rFonts w:ascii="Palatino Linotype" w:hAnsi="Palatino Linotype" w:cs="Arial"/>
          <w:sz w:val="20"/>
          <w:szCs w:val="20"/>
        </w:rPr>
        <w:t xml:space="preserve">lo siguiente: </w:t>
      </w:r>
    </w:p>
    <w:p w14:paraId="1A802375" w14:textId="77777777" w:rsidR="00551C41" w:rsidRPr="00551C41" w:rsidRDefault="00551C41" w:rsidP="00551C41">
      <w:pPr>
        <w:pStyle w:val="Prrafodelista"/>
        <w:numPr>
          <w:ilvl w:val="0"/>
          <w:numId w:val="8"/>
        </w:numPr>
        <w:autoSpaceDE w:val="0"/>
        <w:autoSpaceDN w:val="0"/>
        <w:adjustRightInd w:val="0"/>
        <w:spacing w:line="360" w:lineRule="auto"/>
        <w:ind w:left="993" w:right="616" w:hanging="426"/>
        <w:contextualSpacing w:val="0"/>
        <w:jc w:val="both"/>
        <w:rPr>
          <w:rFonts w:ascii="Palatino Linotype" w:hAnsi="Palatino Linotype"/>
          <w:i/>
          <w:sz w:val="20"/>
          <w:szCs w:val="20"/>
        </w:rPr>
      </w:pPr>
      <w:r w:rsidRPr="00551C41">
        <w:rPr>
          <w:rFonts w:ascii="Palatino Linotype" w:hAnsi="Palatino Linotype"/>
          <w:i/>
          <w:sz w:val="20"/>
          <w:szCs w:val="20"/>
        </w:rPr>
        <w:t>Constancia de no inhabilitación.</w:t>
      </w:r>
    </w:p>
    <w:p w14:paraId="40DD118D" w14:textId="77777777" w:rsidR="00551C41" w:rsidRPr="00551C41" w:rsidRDefault="00551C41" w:rsidP="00551C41">
      <w:pPr>
        <w:pStyle w:val="Prrafodelista"/>
        <w:numPr>
          <w:ilvl w:val="0"/>
          <w:numId w:val="8"/>
        </w:numPr>
        <w:autoSpaceDE w:val="0"/>
        <w:autoSpaceDN w:val="0"/>
        <w:adjustRightInd w:val="0"/>
        <w:spacing w:line="360" w:lineRule="auto"/>
        <w:ind w:left="993" w:right="616" w:hanging="426"/>
        <w:contextualSpacing w:val="0"/>
        <w:jc w:val="both"/>
        <w:rPr>
          <w:rFonts w:ascii="Palatino Linotype" w:hAnsi="Palatino Linotype"/>
          <w:i/>
          <w:sz w:val="20"/>
          <w:szCs w:val="20"/>
        </w:rPr>
      </w:pPr>
      <w:r w:rsidRPr="00551C41">
        <w:rPr>
          <w:rFonts w:ascii="Palatino Linotype" w:hAnsi="Palatino Linotype"/>
          <w:i/>
          <w:sz w:val="20"/>
          <w:szCs w:val="20"/>
        </w:rPr>
        <w:t>Título Profesional y/o el documento en el conste la experiencia mínima de un año en la materia</w:t>
      </w:r>
    </w:p>
    <w:p w14:paraId="7BF72416" w14:textId="77777777" w:rsidR="00551C41" w:rsidRPr="00551C41" w:rsidRDefault="00551C41" w:rsidP="00551C41">
      <w:pPr>
        <w:pStyle w:val="Prrafodelista"/>
        <w:numPr>
          <w:ilvl w:val="0"/>
          <w:numId w:val="8"/>
        </w:numPr>
        <w:autoSpaceDE w:val="0"/>
        <w:autoSpaceDN w:val="0"/>
        <w:adjustRightInd w:val="0"/>
        <w:spacing w:line="360" w:lineRule="auto"/>
        <w:ind w:left="993" w:right="616" w:hanging="426"/>
        <w:contextualSpacing w:val="0"/>
        <w:jc w:val="both"/>
        <w:rPr>
          <w:rFonts w:ascii="Palatino Linotype" w:hAnsi="Palatino Linotype"/>
          <w:b/>
          <w:bCs/>
          <w:i/>
          <w:sz w:val="20"/>
          <w:szCs w:val="20"/>
        </w:rPr>
      </w:pPr>
      <w:r w:rsidRPr="00551C41">
        <w:rPr>
          <w:rFonts w:ascii="Palatino Linotype" w:hAnsi="Palatino Linotype"/>
          <w:b/>
          <w:bCs/>
          <w:i/>
          <w:sz w:val="20"/>
          <w:szCs w:val="20"/>
        </w:rPr>
        <w:lastRenderedPageBreak/>
        <w:t>Certificado de No Deudor Alimentario Moroso</w:t>
      </w:r>
    </w:p>
    <w:p w14:paraId="53306656" w14:textId="77777777" w:rsidR="00551C41" w:rsidRPr="00551C41" w:rsidRDefault="00551C41" w:rsidP="00551C41">
      <w:pPr>
        <w:pStyle w:val="Prrafodelista"/>
        <w:numPr>
          <w:ilvl w:val="0"/>
          <w:numId w:val="8"/>
        </w:numPr>
        <w:autoSpaceDE w:val="0"/>
        <w:autoSpaceDN w:val="0"/>
        <w:adjustRightInd w:val="0"/>
        <w:spacing w:line="360" w:lineRule="auto"/>
        <w:ind w:left="993" w:right="616" w:hanging="426"/>
        <w:contextualSpacing w:val="0"/>
        <w:jc w:val="both"/>
        <w:rPr>
          <w:rFonts w:ascii="Palatino Linotype" w:hAnsi="Palatino Linotype"/>
          <w:i/>
          <w:sz w:val="20"/>
          <w:szCs w:val="20"/>
        </w:rPr>
      </w:pPr>
      <w:r w:rsidRPr="00551C41">
        <w:rPr>
          <w:rFonts w:ascii="Palatino Linotype" w:hAnsi="Palatino Linotype"/>
          <w:i/>
          <w:sz w:val="20"/>
          <w:szCs w:val="20"/>
        </w:rPr>
        <w:t>Certificado de No antecedentes Penales</w:t>
      </w:r>
    </w:p>
    <w:p w14:paraId="02D2E54F" w14:textId="77777777" w:rsidR="00551C41" w:rsidRPr="00551C41" w:rsidRDefault="00551C41" w:rsidP="00551C41">
      <w:pPr>
        <w:autoSpaceDE w:val="0"/>
        <w:autoSpaceDN w:val="0"/>
        <w:adjustRightInd w:val="0"/>
        <w:ind w:left="567" w:right="616"/>
        <w:rPr>
          <w:rFonts w:ascii="Palatino Linotype" w:hAnsi="Palatino Linotype"/>
          <w:i/>
          <w:iCs/>
          <w:sz w:val="20"/>
          <w:szCs w:val="20"/>
        </w:rPr>
      </w:pPr>
    </w:p>
    <w:p w14:paraId="5F344718" w14:textId="45225CB2" w:rsidR="00551C41" w:rsidRPr="00551C41" w:rsidRDefault="00551C41" w:rsidP="00551C41">
      <w:pPr>
        <w:autoSpaceDE w:val="0"/>
        <w:autoSpaceDN w:val="0"/>
        <w:adjustRightInd w:val="0"/>
        <w:spacing w:line="360" w:lineRule="auto"/>
        <w:ind w:left="567" w:right="616"/>
        <w:jc w:val="both"/>
        <w:rPr>
          <w:rFonts w:ascii="Palatino Linotype" w:hAnsi="Palatino Linotype"/>
          <w:i/>
          <w:sz w:val="20"/>
          <w:szCs w:val="20"/>
        </w:rPr>
      </w:pPr>
      <w:r w:rsidRPr="00551C41">
        <w:rPr>
          <w:rFonts w:ascii="Palatino Linotype" w:hAnsi="Palatino Linotype"/>
          <w:i/>
          <w:sz w:val="20"/>
          <w:szCs w:val="20"/>
        </w:rPr>
        <w:t>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así como los documentos clasificados en su totalidad, dentro del soporte documental respectivo e se ponga a disposición de la parte Recurrente</w:t>
      </w:r>
    </w:p>
    <w:p w14:paraId="1CE16074" w14:textId="42F23989" w:rsidR="008B324B" w:rsidRPr="00551C41" w:rsidRDefault="00551C41" w:rsidP="00551C41">
      <w:pPr>
        <w:autoSpaceDE w:val="0"/>
        <w:autoSpaceDN w:val="0"/>
        <w:adjustRightInd w:val="0"/>
        <w:spacing w:line="360" w:lineRule="auto"/>
        <w:ind w:left="567" w:right="616"/>
        <w:jc w:val="both"/>
        <w:rPr>
          <w:rFonts w:ascii="Palatino Linotype" w:hAnsi="Palatino Linotype"/>
          <w:i/>
          <w:highlight w:val="yellow"/>
        </w:rPr>
      </w:pPr>
      <w:r w:rsidRPr="00551C41">
        <w:rPr>
          <w:rFonts w:ascii="Palatino Linotype" w:eastAsia="Palatino Linotype" w:hAnsi="Palatino Linotype" w:cs="Palatino Linotype"/>
          <w:i/>
          <w:sz w:val="20"/>
          <w:szCs w:val="20"/>
        </w:rPr>
        <w:t xml:space="preserve">De  ser el caso que al trece de enero de dos mil veinticinco </w:t>
      </w:r>
      <w:r w:rsidRPr="00551C41">
        <w:rPr>
          <w:rFonts w:ascii="Palatino Linotype" w:eastAsia="Palatino Linotype" w:hAnsi="Palatino Linotype" w:cs="Palatino Linotype"/>
          <w:b/>
          <w:i/>
          <w:sz w:val="20"/>
          <w:szCs w:val="20"/>
        </w:rPr>
        <w:t>no se cuente con el Título</w:t>
      </w:r>
      <w:r w:rsidRPr="00551C41">
        <w:rPr>
          <w:rFonts w:ascii="Palatino Linotype" w:hAnsi="Palatino Linotype"/>
          <w:b/>
          <w:i/>
          <w:sz w:val="20"/>
          <w:szCs w:val="20"/>
        </w:rPr>
        <w:t xml:space="preserve"> Profesional y/o el documento en el conste la experiencia mínima de un año en la materia</w:t>
      </w:r>
      <w:r w:rsidRPr="00551C41">
        <w:rPr>
          <w:rFonts w:ascii="Palatino Linotype" w:hAnsi="Palatino Linotype"/>
          <w:i/>
          <w:sz w:val="20"/>
          <w:szCs w:val="20"/>
        </w:rPr>
        <w:t xml:space="preserve"> de los servidores públicos que se ordena la información en el numeral 2 </w:t>
      </w:r>
      <w:r w:rsidRPr="00551C41">
        <w:rPr>
          <w:rFonts w:ascii="Palatino Linotype" w:eastAsia="Palatino Linotype" w:hAnsi="Palatino Linotype" w:cs="Palatino Linotype"/>
          <w:i/>
          <w:sz w:val="20"/>
          <w:szCs w:val="20"/>
        </w:rPr>
        <w:t xml:space="preserve">el Sujeto Obligado este deberá declarar formalmente la inexistencia a través de su Comité de Transparencia </w:t>
      </w:r>
      <w:r w:rsidRPr="00551C41">
        <w:rPr>
          <w:rFonts w:ascii="Palatino Linotype" w:eastAsia="Palatino Linotype" w:hAnsi="Palatino Linotype" w:cs="Palatino Linotype"/>
          <w:i/>
          <w:color w:val="000000"/>
          <w:sz w:val="20"/>
          <w:szCs w:val="20"/>
        </w:rPr>
        <w:t xml:space="preserve">en términos de los artículos </w:t>
      </w:r>
      <w:r w:rsidRPr="00551C41">
        <w:rPr>
          <w:rFonts w:ascii="Palatino Linotype" w:eastAsia="Palatino Linotype" w:hAnsi="Palatino Linotype" w:cs="Palatino Linotype"/>
          <w:i/>
          <w:sz w:val="20"/>
          <w:szCs w:val="20"/>
        </w:rPr>
        <w:t xml:space="preserve">19, 49, fracciones II y XIII, 169 y 170 de la Ley de Transparencia y Acceso a la Información Pública del Estado de México y Municipios. </w:t>
      </w:r>
      <w:r w:rsidR="008B324B" w:rsidRPr="00521A58">
        <w:rPr>
          <w:rFonts w:ascii="Palatino Linotype" w:eastAsia="Palatino Linotype" w:hAnsi="Palatino Linotype" w:cs="Palatino Linotype"/>
          <w:i/>
        </w:rPr>
        <w:t>”</w:t>
      </w:r>
    </w:p>
    <w:p w14:paraId="0D3DF253" w14:textId="26D578A4" w:rsidR="0079531D" w:rsidRDefault="00823F1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Resolutivos de los cuales se desprende</w:t>
      </w:r>
      <w:r w:rsidR="0079531D">
        <w:rPr>
          <w:rFonts w:ascii="Palatino Linotype" w:eastAsia="Palatino Linotype" w:hAnsi="Palatino Linotype" w:cs="Palatino Linotype"/>
        </w:rPr>
        <w:t xml:space="preserve"> que, el </w:t>
      </w:r>
      <w:r w:rsidR="0079531D">
        <w:rPr>
          <w:rFonts w:ascii="Palatino Linotype" w:eastAsia="Palatino Linotype" w:hAnsi="Palatino Linotype" w:cs="Palatino Linotype"/>
          <w:b/>
        </w:rPr>
        <w:t>Sujeto Obligado</w:t>
      </w:r>
      <w:r w:rsidR="008B324B">
        <w:rPr>
          <w:rFonts w:ascii="Palatino Linotype" w:eastAsia="Palatino Linotype" w:hAnsi="Palatino Linotype" w:cs="Palatino Linotype"/>
        </w:rPr>
        <w:t xml:space="preserve"> deberá entregarse</w:t>
      </w:r>
      <w:r w:rsidR="0089705E">
        <w:rPr>
          <w:rFonts w:ascii="Palatino Linotype" w:eastAsia="Palatino Linotype" w:hAnsi="Palatino Linotype" w:cs="Palatino Linotype"/>
        </w:rPr>
        <w:t xml:space="preserve"> el Certifica</w:t>
      </w:r>
      <w:r w:rsidR="0079531D">
        <w:rPr>
          <w:rFonts w:ascii="Palatino Linotype" w:eastAsia="Palatino Linotype" w:hAnsi="Palatino Linotype" w:cs="Palatino Linotype"/>
        </w:rPr>
        <w:t xml:space="preserve">do de Deudor Alimentario Moroso. </w:t>
      </w:r>
    </w:p>
    <w:p w14:paraId="5C97D8BD" w14:textId="77777777" w:rsidR="00CB1FD9" w:rsidRPr="009D5AF9" w:rsidRDefault="0089705E" w:rsidP="009D5AF9">
      <w:pPr>
        <w:numPr>
          <w:ilvl w:val="0"/>
          <w:numId w:val="1"/>
        </w:numPr>
        <w:pBdr>
          <w:top w:val="nil"/>
          <w:left w:val="nil"/>
          <w:bottom w:val="nil"/>
          <w:right w:val="nil"/>
          <w:between w:val="nil"/>
        </w:pBdr>
        <w:spacing w:before="240" w:after="240" w:line="360" w:lineRule="auto"/>
        <w:ind w:left="567" w:right="139" w:hanging="425"/>
        <w:jc w:val="both"/>
        <w:rPr>
          <w:rFonts w:ascii="Palatino Linotype" w:eastAsia="Palatino Linotype" w:hAnsi="Palatino Linotype" w:cs="Palatino Linotype"/>
          <w:szCs w:val="24"/>
        </w:rPr>
      </w:pPr>
      <w:r w:rsidRPr="009D5AF9">
        <w:rPr>
          <w:rFonts w:ascii="Palatino Linotype" w:eastAsia="Palatino Linotype" w:hAnsi="Palatino Linotype" w:cs="Palatino Linotype"/>
          <w:b/>
          <w:szCs w:val="24"/>
        </w:rPr>
        <w:t xml:space="preserve">Razones del Voto Particular. </w:t>
      </w:r>
    </w:p>
    <w:p w14:paraId="4862AEC4" w14:textId="77777777" w:rsidR="00CB1FD9" w:rsidRDefault="0089705E">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Derivado de lo anterior, la emisión del voto se centrará en que, si bien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w:t>
      </w:r>
      <w:r>
        <w:rPr>
          <w:rFonts w:ascii="Palatino Linotype" w:eastAsia="Palatino Linotype" w:hAnsi="Palatino Linotype" w:cs="Palatino Linotype"/>
        </w:rPr>
        <w:lastRenderedPageBreak/>
        <w:t>indudablemente la rendición de cuentas, no se coincide con los argumentos señalados en la misma particularmente respecto a lo siguiente:</w:t>
      </w:r>
    </w:p>
    <w:p w14:paraId="0CD76275" w14:textId="77777777" w:rsidR="0079531D" w:rsidRPr="0079531D" w:rsidRDefault="0079531D" w:rsidP="0079531D">
      <w:pPr>
        <w:pStyle w:val="Prrafodelista"/>
        <w:numPr>
          <w:ilvl w:val="0"/>
          <w:numId w:val="5"/>
        </w:numPr>
        <w:spacing w:before="240" w:after="240" w:line="360" w:lineRule="auto"/>
        <w:ind w:right="142"/>
        <w:jc w:val="both"/>
        <w:rPr>
          <w:rFonts w:ascii="Palatino Linotype" w:eastAsia="Palatino Linotype" w:hAnsi="Palatino Linotype" w:cs="Palatino Linotype"/>
          <w:b/>
        </w:rPr>
      </w:pPr>
      <w:r>
        <w:rPr>
          <w:rFonts w:ascii="Palatino Linotype" w:eastAsia="Palatino Linotype" w:hAnsi="Palatino Linotype" w:cs="Palatino Linotype"/>
          <w:b/>
        </w:rPr>
        <w:t>Certificado de no deudor alimentario moroso</w:t>
      </w:r>
    </w:p>
    <w:p w14:paraId="3DE8E065" w14:textId="77777777" w:rsidR="00CB1FD9" w:rsidRDefault="0089705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Por lo que hace los certificados de no deudor alimentario moroso la suscrita considera que deben ser protegidos mediante su clasificación como confidencial en su totalidad, ello derivado a que el estar inscrito en dicho registro tiene un impacto en la imagen de un servidor público y se trata de un tema estrictamente de carácter personal e incluso de tipo familiar.</w:t>
      </w:r>
    </w:p>
    <w:p w14:paraId="29F55DE1" w14:textId="77777777" w:rsidR="00CB1FD9" w:rsidRDefault="0089705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Se considera que la información que se ordena, en efecto, da certeza que determinado servidor público cumplió con los requisitos señalados en el artículo 32 de la Ley Orgánica Municipal del Estado de México, pero también lo es que dar a conocer esta información podría vulnerar la vida privada de los servidores públicos. </w:t>
      </w:r>
    </w:p>
    <w:p w14:paraId="451F5CC0" w14:textId="77777777" w:rsidR="00CB1FD9" w:rsidRDefault="0089705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Más aún cuando en el  Proyecto de Decreto por el que se Reforman y Adicionan Diversas Disposiciones para crear el Registro de Deudores Alimentarios del Estado de México, disponible en la dirección electrónica </w:t>
      </w:r>
      <w:hyperlink r:id="rId8" w:anchor=":~:text=La%20inscripci%C3%B3n%20con%20el%20car%C3%A1cter,del%20Estado%20de%20M%C3%A9xico%20e">
        <w:r>
          <w:rPr>
            <w:rFonts w:ascii="Palatino Linotype" w:eastAsia="Palatino Linotype" w:hAnsi="Palatino Linotype" w:cs="Palatino Linotype"/>
            <w:color w:val="0000FF"/>
            <w:u w:val="single"/>
          </w:rPr>
          <w:t>https://www.ipomex.org.mx/recursos/ipo/files_ipo/2014/8/11/630bc7787b59af912a96a9e1bca1c770.pdf#:~:text=La%20inscripci%C3%B3n%20con%20el%20car%C3%A1cter,del%20Estado%20de%20M%C3%A9xico%20e</w:t>
        </w:r>
      </w:hyperlink>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 pueden advertirse los objetivos de crear dicho registro: </w:t>
      </w:r>
    </w:p>
    <w:p w14:paraId="5F360DAF" w14:textId="77777777" w:rsidR="00CB1FD9" w:rsidRDefault="0089705E">
      <w:pPr>
        <w:spacing w:before="120" w:after="120" w:line="240" w:lineRule="auto"/>
        <w:ind w:left="851" w:right="992"/>
        <w:jc w:val="both"/>
        <w:rPr>
          <w:rFonts w:ascii="Times New Roman" w:eastAsia="Times New Roman" w:hAnsi="Times New Roman" w:cs="Times New Roman"/>
          <w:sz w:val="24"/>
          <w:szCs w:val="24"/>
        </w:rPr>
      </w:pPr>
      <w:r>
        <w:rPr>
          <w:rFonts w:ascii="Palatino Linotype" w:eastAsia="Palatino Linotype" w:hAnsi="Palatino Linotype" w:cs="Palatino Linotype"/>
          <w:i/>
          <w:color w:val="000000"/>
        </w:rPr>
        <w:t>“El interés superior del menor debe prevalecer en cualquier controversia de derecho familiar, situación que obliga a las autoridades a establecer las medidas necesarias para asegurar el cumplimiento del pago de la pensión alimenticia decretada a su favor.</w:t>
      </w:r>
    </w:p>
    <w:p w14:paraId="37B7EDE8" w14:textId="77777777" w:rsidR="00CB1FD9" w:rsidRDefault="0089705E">
      <w:pPr>
        <w:spacing w:before="120" w:after="120" w:line="240" w:lineRule="auto"/>
        <w:ind w:left="851" w:right="992"/>
        <w:jc w:val="both"/>
        <w:rPr>
          <w:rFonts w:ascii="Times New Roman" w:eastAsia="Times New Roman" w:hAnsi="Times New Roman" w:cs="Times New Roman"/>
          <w:sz w:val="24"/>
          <w:szCs w:val="24"/>
        </w:rPr>
      </w:pPr>
      <w:r>
        <w:rPr>
          <w:rFonts w:ascii="Palatino Linotype" w:eastAsia="Palatino Linotype" w:hAnsi="Palatino Linotype" w:cs="Palatino Linotype"/>
          <w:i/>
          <w:color w:val="000000"/>
        </w:rPr>
        <w:lastRenderedPageBreak/>
        <w:t>De acuerdo a nuestra legislación, el derecho a los alimentos no sólo se comprende el acceso a los productos para la nutrición y alimentación sino también lo relativo a la educación, vivienda, vestido, asistencia médica, recreación, entre otros; aspectos todos que permiten o posibilitan el desarrollo integral de las personas.</w:t>
      </w:r>
    </w:p>
    <w:p w14:paraId="262EB65F" w14:textId="77777777" w:rsidR="00CB1FD9" w:rsidRDefault="0089705E">
      <w:pPr>
        <w:spacing w:before="120" w:after="120" w:line="240" w:lineRule="auto"/>
        <w:ind w:left="851" w:right="992"/>
        <w:jc w:val="both"/>
        <w:rPr>
          <w:rFonts w:ascii="Times New Roman" w:eastAsia="Times New Roman" w:hAnsi="Times New Roman" w:cs="Times New Roman"/>
          <w:sz w:val="24"/>
          <w:szCs w:val="24"/>
        </w:rPr>
      </w:pPr>
      <w:r>
        <w:rPr>
          <w:rFonts w:ascii="Palatino Linotype" w:eastAsia="Palatino Linotype" w:hAnsi="Palatino Linotype" w:cs="Palatino Linotype"/>
          <w:i/>
          <w:color w:val="000000"/>
        </w:rPr>
        <w:t>En nuestra Entidad, las demandas de alimentos son presentadas en su gran mayoría por mujeres madres de familia que demandan, por su propio derecho y/o en representación de sus menores hijos, de su cónyuge, concubino o ex pareja el cumplimiento de esta obligación. Esto debido a que en ocasiones los obligados a proporcionar alimentos eluden su responsabilidad, con la errónea idea de que será en perjuicio de su pareja o ex pareja, sin entender que son los menores hijos los que resultan más afectados. Así que, al acudir al sistema de justicia se pretende que la pensión alimenticia correspondiente quede fijada definitivamente y se garantice el cumplimiento de la obligación alimentaria.</w:t>
      </w:r>
    </w:p>
    <w:p w14:paraId="6917333A" w14:textId="77777777" w:rsidR="00CB1FD9" w:rsidRDefault="0089705E">
      <w:pPr>
        <w:spacing w:before="120" w:after="120" w:line="240" w:lineRule="auto"/>
        <w:ind w:left="851" w:right="992"/>
        <w:jc w:val="both"/>
        <w:rPr>
          <w:rFonts w:ascii="Times New Roman" w:eastAsia="Times New Roman" w:hAnsi="Times New Roman" w:cs="Times New Roman"/>
          <w:sz w:val="24"/>
          <w:szCs w:val="24"/>
        </w:rPr>
      </w:pPr>
      <w:r>
        <w:rPr>
          <w:rFonts w:ascii="Palatino Linotype" w:eastAsia="Palatino Linotype" w:hAnsi="Palatino Linotype" w:cs="Palatino Linotype"/>
          <w:i/>
          <w:color w:val="000000"/>
        </w:rPr>
        <w:t>Los alimentos tienen carácter preferente a favor de los hijos, sin que pueda eximirse el deudor alimentario de su cumplimiento cuando esté en posibilidades de hacerlo. En el Estado de México,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diversos son los instrumentos legales que se tienen para obligar al deudor al pago de alimentos, cuando éstos no se enteran de manera voluntaria, como debe ser el ideal, entre los que destacan: el embargo de bienes, incluyendo, la del salario, así como la pérdida de la patria potestad, contempladas en la legislación civil, sustantiva y adjetiva. También podemos citar, la imposición de la pena de prisión hasta por siete años, por el delito de incumplimiento de obligaciones, previsto en las fracciones II y III, del artículo 217, del Código Penal del Estado de México. Pese a los alcances de estas medidas legales, éstas no han sido suficientes para hacer cumplir a los deudores con sus obligaciones alimentarias.</w:t>
      </w:r>
    </w:p>
    <w:p w14:paraId="3A15144F" w14:textId="77777777" w:rsidR="00CB1FD9" w:rsidRDefault="0089705E">
      <w:pPr>
        <w:spacing w:before="120" w:after="120" w:line="240" w:lineRule="auto"/>
        <w:ind w:left="851" w:right="992"/>
        <w:jc w:val="both"/>
        <w:rPr>
          <w:rFonts w:ascii="Times New Roman" w:eastAsia="Times New Roman" w:hAnsi="Times New Roman" w:cs="Times New Roman"/>
          <w:sz w:val="24"/>
          <w:szCs w:val="24"/>
        </w:rPr>
      </w:pPr>
      <w:r>
        <w:rPr>
          <w:rFonts w:ascii="Palatino Linotype" w:eastAsia="Palatino Linotype" w:hAnsi="Palatino Linotype" w:cs="Palatino Linotype"/>
          <w:i/>
          <w:color w:val="000000"/>
        </w:rPr>
        <w:t xml:space="preserve">Por ello, creemos necesario establecer nuevos y diferentes mecanismos que aseguren el pago de los alimentos, para que sean satisfechas las necesidades más básicas, principalmente de los menores, que no pueden allegarse por sí mismos los recursos económicos para la subsistencia. Lo anterior, porque cuando una persona ha logrado satisfacer sus necesidades básicas, entonces está en mejores condiciones para crecer y superarse. En ese sentido, el presente Proyecto de Decreto propone la creación del Registro de Deudores Alimentarios del Estado de México (REDAEM), </w:t>
      </w:r>
      <w:r>
        <w:rPr>
          <w:rFonts w:ascii="Palatino Linotype" w:eastAsia="Palatino Linotype" w:hAnsi="Palatino Linotype" w:cs="Palatino Linotype"/>
          <w:b/>
          <w:i/>
          <w:color w:val="000000"/>
          <w:u w:val="single"/>
        </w:rPr>
        <w:t xml:space="preserve">con la finalidad de asegurar el cumplimiento de </w:t>
      </w:r>
      <w:r>
        <w:rPr>
          <w:rFonts w:ascii="Palatino Linotype" w:eastAsia="Palatino Linotype" w:hAnsi="Palatino Linotype" w:cs="Palatino Linotype"/>
          <w:b/>
          <w:i/>
          <w:color w:val="000000"/>
          <w:u w:val="single"/>
        </w:rPr>
        <w:lastRenderedPageBreak/>
        <w:t xml:space="preserve">las obligaciones alimentarias que tienen los padres para con sus menores hijos.” </w:t>
      </w:r>
    </w:p>
    <w:p w14:paraId="55B8E52D" w14:textId="77777777" w:rsidR="00CB1FD9" w:rsidRDefault="0089705E">
      <w:pPr>
        <w:spacing w:before="240" w:after="240" w:line="360" w:lineRule="auto"/>
        <w:jc w:val="both"/>
        <w:rPr>
          <w:rFonts w:ascii="Times New Roman" w:eastAsia="Times New Roman" w:hAnsi="Times New Roman" w:cs="Times New Roman"/>
          <w:sz w:val="24"/>
          <w:szCs w:val="24"/>
        </w:rPr>
      </w:pPr>
      <w:r>
        <w:rPr>
          <w:rFonts w:ascii="Palatino Linotype" w:eastAsia="Palatino Linotype" w:hAnsi="Palatino Linotype" w:cs="Palatino Linotype"/>
          <w:color w:val="000000"/>
        </w:rPr>
        <w:t xml:space="preserve">De lo anterior se desprende que el registro de deudores alimentarios morosos no tiene por objeto su publicidad, sino por el contrario que sea un mecanismo para garantizar que los padres cumplan con su obligación de dar alimentos a los hijos en razón de su protección (interés superior del menor), en este sentido si bien dicho registro no es público, para el caso de proporcionar los que no están inscritos como deudores morosos y se clasifiquen los que sí se encuentran inscritos se puede arribar a la conclusión de quiénes sí se encuentran como deudores alimentarios morosos, por lo tanto, no es procedente entrega esta información ni de quienes están ni de quienes no están, por lo que resulta procedente clasificar la información solicitada de manera general como </w:t>
      </w:r>
      <w:r>
        <w:rPr>
          <w:rFonts w:ascii="Palatino Linotype" w:eastAsia="Palatino Linotype" w:hAnsi="Palatino Linotype" w:cs="Palatino Linotype"/>
          <w:b/>
          <w:color w:val="000000"/>
        </w:rPr>
        <w:t>información confidencial en su totalidad</w:t>
      </w:r>
      <w:r>
        <w:rPr>
          <w:rFonts w:ascii="Palatino Linotype" w:eastAsia="Palatino Linotype" w:hAnsi="Palatino Linotype" w:cs="Palatino Linotype"/>
          <w:color w:val="000000"/>
        </w:rPr>
        <w:t xml:space="preserve"> en términos del artículo 143, fracción I, de la Ley de Transparencia y Acceso a la Información Pública del Estado de México y Municipios. </w:t>
      </w:r>
    </w:p>
    <w:p w14:paraId="313CDE51" w14:textId="77777777" w:rsidR="00CB1FD9" w:rsidRDefault="0089705E">
      <w:pPr>
        <w:spacing w:before="240" w:after="240" w:line="360" w:lineRule="auto"/>
        <w:jc w:val="both"/>
        <w:rPr>
          <w:rFonts w:ascii="Times New Roman" w:eastAsia="Times New Roman" w:hAnsi="Times New Roman" w:cs="Times New Roman"/>
          <w:sz w:val="24"/>
          <w:szCs w:val="24"/>
        </w:rPr>
      </w:pPr>
      <w:r>
        <w:rPr>
          <w:rFonts w:ascii="Palatino Linotype" w:eastAsia="Palatino Linotype" w:hAnsi="Palatino Linotype" w:cs="Palatino Linotype"/>
          <w:color w:val="000000"/>
        </w:rPr>
        <w:t>Por otro lado, clasificar en su totalidad esa información de igual forma, da certeza del cumplimiento del requisito, toda vez que la clasificación y la inexistencia no pueden coexistir. A efecto de robustecer lo anterior, sirve de sustento el criterio orientador 29/10 emitido por el Instituto Nacional de Transparencia, Acceso a la Información y Protección de Datos Personales, INAI, el cual refiere lo siguiente: </w:t>
      </w:r>
    </w:p>
    <w:p w14:paraId="0729A3A5" w14:textId="77777777" w:rsidR="00CB1FD9" w:rsidRDefault="0089705E">
      <w:pPr>
        <w:spacing w:before="120" w:after="120" w:line="240" w:lineRule="auto"/>
        <w:ind w:left="851" w:right="902"/>
        <w:jc w:val="both"/>
        <w:rPr>
          <w:rFonts w:ascii="Times New Roman" w:eastAsia="Times New Roman" w:hAnsi="Times New Roman" w:cs="Times New Roman"/>
          <w:sz w:val="24"/>
          <w:szCs w:val="24"/>
        </w:rPr>
      </w:pPr>
      <w:r>
        <w:rPr>
          <w:rFonts w:ascii="Palatino Linotype" w:eastAsia="Palatino Linotype" w:hAnsi="Palatino Linotype" w:cs="Palatino Linotype"/>
          <w:i/>
          <w:color w:val="000000"/>
        </w:rPr>
        <w:t> “</w:t>
      </w:r>
      <w:r>
        <w:rPr>
          <w:rFonts w:ascii="Palatino Linotype" w:eastAsia="Palatino Linotype" w:hAnsi="Palatino Linotype" w:cs="Palatino Linotype"/>
          <w:b/>
          <w:i/>
          <w:color w:val="000000"/>
        </w:rPr>
        <w:t>La clasificación y la inexistencia de información son conceptos que no pueden coexistir</w:t>
      </w:r>
      <w:r>
        <w:rPr>
          <w:rFonts w:ascii="Palatino Linotype" w:eastAsia="Palatino Linotype" w:hAnsi="Palatino Linotype" w:cs="Palatino Linotype"/>
          <w:i/>
          <w:color w:val="000000"/>
        </w:rPr>
        <w:t xml:space="preserve">. 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w:t>
      </w:r>
      <w:r>
        <w:rPr>
          <w:rFonts w:ascii="Palatino Linotype" w:eastAsia="Palatino Linotype" w:hAnsi="Palatino Linotype" w:cs="Palatino Linotype"/>
          <w:i/>
          <w:color w:val="000000"/>
        </w:rPr>
        <w:lastRenderedPageBreak/>
        <w:t>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 </w:t>
      </w:r>
    </w:p>
    <w:p w14:paraId="637798BA" w14:textId="77777777" w:rsidR="00CB1FD9" w:rsidRDefault="0089705E">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color w:val="000000"/>
        </w:rPr>
        <w:t xml:space="preserve">Es por las razones antes expuestas que no comparto, que se ordene el </w:t>
      </w:r>
      <w:r>
        <w:rPr>
          <w:rFonts w:ascii="Palatino Linotype" w:eastAsia="Palatino Linotype" w:hAnsi="Palatino Linotype" w:cs="Palatino Linotype"/>
          <w:b/>
          <w:color w:val="000000"/>
          <w:u w:val="single"/>
        </w:rPr>
        <w:t>certificado de no deudor alimentario</w:t>
      </w:r>
      <w:r>
        <w:rPr>
          <w:rFonts w:ascii="Palatino Linotype" w:eastAsia="Palatino Linotype" w:hAnsi="Palatino Linotype" w:cs="Palatino Linotype"/>
          <w:color w:val="000000"/>
        </w:rPr>
        <w:t xml:space="preserve">, pues se estima que se actualiza la causal de clasificación establecida en el artículo 143, fracción I, de la Ley de la Ley de Transparencia y Acceso a la Información Pública del Estado de México y Municipios, y, por ende se emite el presente </w:t>
      </w:r>
      <w:r>
        <w:rPr>
          <w:rFonts w:ascii="Palatino Linotype" w:eastAsia="Palatino Linotype" w:hAnsi="Palatino Linotype" w:cs="Palatino Linotype"/>
          <w:b/>
        </w:rPr>
        <w:t>Voto Particular.</w:t>
      </w:r>
    </w:p>
    <w:p w14:paraId="7E2B02B7" w14:textId="77777777" w:rsidR="0079531D" w:rsidRDefault="0079531D" w:rsidP="0079531D">
      <w:pPr>
        <w:pStyle w:val="Prrafodelista"/>
        <w:numPr>
          <w:ilvl w:val="0"/>
          <w:numId w:val="5"/>
        </w:num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Publicidad de la fotografía de los servidores públicos </w:t>
      </w:r>
    </w:p>
    <w:p w14:paraId="53141CF1" w14:textId="77777777" w:rsidR="0079531D" w:rsidRPr="0079531D" w:rsidRDefault="0079531D" w:rsidP="0079531D">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rPr>
        <w:t>E</w:t>
      </w:r>
      <w:r w:rsidRPr="0079531D">
        <w:rPr>
          <w:rFonts w:ascii="Palatino Linotype" w:eastAsia="Palatino Linotype" w:hAnsi="Palatino Linotype" w:cs="Palatino Linotype"/>
        </w:rPr>
        <w:t>s preciso mencionar que, el presente voto se formula en relación con la fotografía de los servidores públicos sin importar el nivel o cargo y en cualquier documento que se encuentre vinculado con el cumplimiento de disposiciones legales debe ser pública, siendo que en la resolución se consideró lo siguiente</w:t>
      </w:r>
      <w:r w:rsidRPr="0079531D">
        <w:rPr>
          <w:rFonts w:ascii="Palatino Linotype" w:eastAsia="Palatino Linotype" w:hAnsi="Palatino Linotype" w:cs="Palatino Linotype"/>
          <w:i/>
        </w:rPr>
        <w:t>:</w:t>
      </w:r>
    </w:p>
    <w:p w14:paraId="675104EF" w14:textId="77777777" w:rsidR="00551C41" w:rsidRPr="00551C41" w:rsidRDefault="00AF22C0" w:rsidP="00551C41">
      <w:pPr>
        <w:spacing w:after="0" w:line="276" w:lineRule="auto"/>
        <w:ind w:left="720" w:right="616"/>
        <w:jc w:val="both"/>
        <w:rPr>
          <w:rFonts w:ascii="Palatino Linotype" w:hAnsi="Palatino Linotype"/>
          <w:i/>
          <w:szCs w:val="21"/>
          <w:lang w:val="es-ES"/>
        </w:rPr>
      </w:pPr>
      <w:bookmarkStart w:id="3" w:name="_heading=h.seznk0v3kwdp" w:colFirst="0" w:colLast="0"/>
      <w:bookmarkEnd w:id="3"/>
      <w:r w:rsidRPr="00551C41">
        <w:rPr>
          <w:rFonts w:ascii="Palatino Linotype" w:hAnsi="Palatino Linotype"/>
          <w:b/>
          <w:i/>
        </w:rPr>
        <w:t>“</w:t>
      </w:r>
      <w:r w:rsidR="00551C41" w:rsidRPr="00551C41">
        <w:rPr>
          <w:rFonts w:ascii="Palatino Linotype" w:hAnsi="Palatino Linotype"/>
          <w:b/>
          <w:bCs/>
          <w:i/>
          <w:szCs w:val="21"/>
          <w:lang w:val="es-ES"/>
        </w:rPr>
        <w:t>Fotografía:</w:t>
      </w:r>
      <w:r w:rsidR="00551C41" w:rsidRPr="00551C41">
        <w:rPr>
          <w:rFonts w:ascii="Palatino Linotype" w:hAnsi="Palatino Linotype"/>
          <w:i/>
          <w:szCs w:val="21"/>
          <w:lang w:val="es-ES"/>
        </w:rPr>
        <w:t xml:space="preserve"> Tratándose de servidores públicos se cuenta con un espectro menor de protección a sus datos personales en comparación con cualquier otra persona física, en razón del interés público que revisten sus funciones, por lo que, aquellos con la calidad de mando medio y/o superior, por mayoría de razón,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 ya que sus atribuciones van enfocadas a las actividades de dirección en el sector </w:t>
      </w:r>
      <w:r w:rsidR="00551C41" w:rsidRPr="00551C41">
        <w:rPr>
          <w:rFonts w:ascii="Palatino Linotype" w:hAnsi="Palatino Linotype"/>
          <w:i/>
          <w:szCs w:val="21"/>
          <w:lang w:val="es-ES"/>
        </w:rPr>
        <w:lastRenderedPageBreak/>
        <w:t>gubernamental, toma de decisiones y emisión de actos que pudieren generar molestia e incluso en algunos casos, al contacto directo con la ciudadanía.</w:t>
      </w:r>
    </w:p>
    <w:p w14:paraId="2A372D93" w14:textId="77777777" w:rsidR="00551C41" w:rsidRPr="00551C41" w:rsidRDefault="00551C41" w:rsidP="00551C41">
      <w:pPr>
        <w:spacing w:after="0" w:line="276" w:lineRule="auto"/>
        <w:ind w:left="851" w:right="616"/>
        <w:jc w:val="both"/>
        <w:rPr>
          <w:rFonts w:ascii="Palatino Linotype" w:eastAsia="Times New Roman" w:hAnsi="Palatino Linotype" w:cs="Times New Roman"/>
          <w:i/>
          <w:lang w:eastAsia="es-ES"/>
        </w:rPr>
      </w:pPr>
    </w:p>
    <w:p w14:paraId="21DC37B2" w14:textId="77777777" w:rsidR="00551C41" w:rsidRPr="00551C41" w:rsidRDefault="00551C41" w:rsidP="00551C41">
      <w:pPr>
        <w:spacing w:after="0" w:line="276" w:lineRule="auto"/>
        <w:ind w:left="851" w:right="616"/>
        <w:jc w:val="both"/>
        <w:rPr>
          <w:rFonts w:ascii="Palatino Linotype" w:eastAsia="Times New Roman" w:hAnsi="Palatino Linotype" w:cs="Times New Roman"/>
          <w:i/>
          <w:lang w:val="es-ES" w:eastAsia="es-ES"/>
        </w:rPr>
      </w:pPr>
      <w:r w:rsidRPr="00551C41">
        <w:rPr>
          <w:rFonts w:ascii="Palatino Linotype" w:eastAsia="Times New Roman" w:hAnsi="Palatino Linotype" w:cs="Times New Roman"/>
          <w:i/>
          <w:lang w:val="es-ES" w:eastAsia="es-ES"/>
        </w:rPr>
        <w:t>En este sentido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18517298" w14:textId="77777777" w:rsidR="00551C41" w:rsidRPr="00551C41" w:rsidRDefault="00551C41" w:rsidP="00551C41">
      <w:pPr>
        <w:spacing w:after="0" w:line="276" w:lineRule="auto"/>
        <w:ind w:left="851" w:right="616"/>
        <w:jc w:val="both"/>
        <w:rPr>
          <w:rFonts w:ascii="Palatino Linotype" w:eastAsia="Times New Roman" w:hAnsi="Palatino Linotype" w:cs="Times New Roman"/>
          <w:i/>
          <w:lang w:val="es-ES" w:eastAsia="es-ES"/>
        </w:rPr>
      </w:pPr>
    </w:p>
    <w:p w14:paraId="07A5FD46" w14:textId="77777777" w:rsidR="00551C41" w:rsidRPr="00551C41" w:rsidRDefault="00551C41" w:rsidP="00551C41">
      <w:pPr>
        <w:spacing w:after="0" w:line="276" w:lineRule="auto"/>
        <w:ind w:left="851" w:right="616"/>
        <w:jc w:val="both"/>
        <w:rPr>
          <w:rFonts w:ascii="Palatino Linotype" w:eastAsia="Times New Roman" w:hAnsi="Palatino Linotype" w:cs="Times New Roman"/>
          <w:i/>
          <w:lang w:val="es-ES" w:eastAsia="es-ES"/>
        </w:rPr>
      </w:pPr>
      <w:r w:rsidRPr="00551C41">
        <w:rPr>
          <w:rFonts w:ascii="Palatino Linotype" w:eastAsia="Times New Roman" w:hAnsi="Palatino Linotype" w:cs="Times New Roman"/>
          <w:i/>
          <w:lang w:val="es-ES" w:eastAsia="es-ES"/>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05F227EC" w14:textId="77777777" w:rsidR="00551C41" w:rsidRPr="00551C41" w:rsidRDefault="00551C41" w:rsidP="00551C41">
      <w:pPr>
        <w:spacing w:after="0" w:line="276" w:lineRule="auto"/>
        <w:ind w:left="851" w:right="616"/>
        <w:jc w:val="both"/>
        <w:rPr>
          <w:rFonts w:ascii="Palatino Linotype" w:eastAsia="Times New Roman" w:hAnsi="Palatino Linotype" w:cs="Times New Roman"/>
          <w:i/>
          <w:lang w:val="es-ES" w:eastAsia="es-ES"/>
        </w:rPr>
      </w:pPr>
    </w:p>
    <w:p w14:paraId="35F232C5" w14:textId="77777777" w:rsidR="00551C41" w:rsidRPr="00551C41" w:rsidRDefault="00551C41" w:rsidP="00551C41">
      <w:pPr>
        <w:spacing w:after="0" w:line="276" w:lineRule="auto"/>
        <w:ind w:left="851" w:right="616"/>
        <w:jc w:val="both"/>
        <w:rPr>
          <w:rFonts w:ascii="Palatino Linotype" w:eastAsia="Times New Roman" w:hAnsi="Palatino Linotype" w:cs="Times New Roman"/>
          <w:i/>
          <w:lang w:val="es-ES" w:eastAsia="es-ES"/>
        </w:rPr>
      </w:pPr>
      <w:r w:rsidRPr="00551C41">
        <w:rPr>
          <w:rFonts w:ascii="Palatino Linotype" w:eastAsia="Times New Roman" w:hAnsi="Palatino Linotype" w:cs="Times New Roman"/>
          <w:i/>
          <w:lang w:val="es-ES" w:eastAsia="es-ES"/>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27928596" w14:textId="77777777" w:rsidR="00551C41" w:rsidRPr="00551C41" w:rsidRDefault="00551C41" w:rsidP="00551C41">
      <w:pPr>
        <w:spacing w:after="0" w:line="276" w:lineRule="auto"/>
        <w:ind w:left="851" w:right="616"/>
        <w:jc w:val="both"/>
        <w:rPr>
          <w:rFonts w:ascii="Palatino Linotype" w:eastAsia="Times New Roman" w:hAnsi="Palatino Linotype" w:cs="Times New Roman"/>
          <w:i/>
          <w:lang w:val="es-ES" w:eastAsia="es-ES"/>
        </w:rPr>
      </w:pPr>
    </w:p>
    <w:p w14:paraId="3B1B930D" w14:textId="77777777" w:rsidR="00551C41" w:rsidRPr="00551C41" w:rsidRDefault="00551C41" w:rsidP="00551C41">
      <w:pPr>
        <w:spacing w:after="0" w:line="276" w:lineRule="auto"/>
        <w:ind w:left="851" w:right="616"/>
        <w:jc w:val="both"/>
        <w:rPr>
          <w:rFonts w:ascii="Palatino Linotype" w:eastAsia="Times New Roman" w:hAnsi="Palatino Linotype" w:cs="Times New Roman"/>
          <w:i/>
          <w:lang w:val="es-ES" w:eastAsia="es-ES"/>
        </w:rPr>
      </w:pPr>
      <w:r w:rsidRPr="00551C41">
        <w:rPr>
          <w:rFonts w:ascii="Palatino Linotype" w:eastAsia="Times New Roman" w:hAnsi="Palatino Linotype" w:cs="Times New Roman"/>
          <w:i/>
          <w:lang w:val="es-ES" w:eastAsia="es-ES"/>
        </w:rPr>
        <w:t xml:space="preserve">En este sentido, resultan aplicables por analogía, los Criterios 15/17 y 1/13 del Instituto Nacional de Transparencia y Acceso a la Información Pública y Protección </w:t>
      </w:r>
      <w:r w:rsidRPr="00551C41">
        <w:rPr>
          <w:rFonts w:ascii="Palatino Linotype" w:eastAsia="Times New Roman" w:hAnsi="Palatino Linotype" w:cs="Times New Roman"/>
          <w:i/>
          <w:lang w:val="es-ES" w:eastAsia="es-ES"/>
        </w:rPr>
        <w:lastRenderedPageBreak/>
        <w:t>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2BE51F1C" w14:textId="77777777" w:rsidR="00551C41" w:rsidRPr="00551C41" w:rsidRDefault="00551C41" w:rsidP="00551C41">
      <w:pPr>
        <w:spacing w:after="0" w:line="276" w:lineRule="auto"/>
        <w:ind w:left="851" w:right="616"/>
        <w:jc w:val="both"/>
        <w:rPr>
          <w:rFonts w:ascii="Palatino Linotype" w:eastAsia="Times New Roman" w:hAnsi="Palatino Linotype" w:cs="Times New Roman"/>
          <w:i/>
          <w:lang w:val="es-ES" w:eastAsia="es-ES"/>
        </w:rPr>
      </w:pPr>
    </w:p>
    <w:p w14:paraId="0FE7304B" w14:textId="77777777" w:rsidR="00551C41" w:rsidRPr="00551C41" w:rsidRDefault="00551C41" w:rsidP="00551C41">
      <w:pPr>
        <w:spacing w:after="0" w:line="276" w:lineRule="auto"/>
        <w:ind w:left="851" w:right="616"/>
        <w:jc w:val="both"/>
        <w:rPr>
          <w:rFonts w:ascii="Palatino Linotype" w:eastAsia="Times New Roman" w:hAnsi="Palatino Linotype" w:cs="Times New Roman"/>
          <w:i/>
          <w:lang w:val="es-ES" w:eastAsia="es-ES"/>
        </w:rPr>
      </w:pPr>
      <w:r w:rsidRPr="00551C41">
        <w:rPr>
          <w:rFonts w:ascii="Palatino Linotype" w:eastAsia="Times New Roman" w:hAnsi="Palatino Linotype" w:cs="Times New Roman"/>
          <w:i/>
          <w:lang w:val="es-ES" w:eastAsia="es-ES"/>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33346CC9" w14:textId="77777777" w:rsidR="00551C41" w:rsidRPr="00551C41" w:rsidRDefault="00551C41" w:rsidP="00551C41">
      <w:pPr>
        <w:spacing w:after="0" w:line="276" w:lineRule="auto"/>
        <w:ind w:left="851" w:right="616"/>
        <w:jc w:val="both"/>
        <w:rPr>
          <w:rFonts w:ascii="Palatino Linotype" w:eastAsia="Times New Roman" w:hAnsi="Palatino Linotype" w:cs="Times New Roman"/>
          <w:i/>
          <w:lang w:val="es-ES" w:eastAsia="es-ES"/>
        </w:rPr>
      </w:pPr>
    </w:p>
    <w:p w14:paraId="7D3E360E" w14:textId="77777777" w:rsidR="00551C41" w:rsidRPr="00551C41" w:rsidRDefault="00551C41" w:rsidP="00551C41">
      <w:pPr>
        <w:spacing w:after="0" w:line="276" w:lineRule="auto"/>
        <w:ind w:left="851" w:right="616"/>
        <w:jc w:val="both"/>
        <w:rPr>
          <w:rFonts w:ascii="Palatino Linotype" w:eastAsia="Times New Roman" w:hAnsi="Palatino Linotype" w:cs="Times New Roman"/>
          <w:i/>
          <w:lang w:val="es-ES" w:eastAsia="es-ES"/>
        </w:rPr>
      </w:pPr>
      <w:r w:rsidRPr="00551C41">
        <w:rPr>
          <w:rFonts w:ascii="Palatino Linotype" w:eastAsia="Times New Roman" w:hAnsi="Palatino Linotype" w:cs="Times New Roman"/>
          <w:i/>
          <w:lang w:val="es-ES" w:eastAsia="es-ES"/>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56ACAB86" w14:textId="77777777" w:rsidR="00551C41" w:rsidRPr="00551C41" w:rsidRDefault="00551C41" w:rsidP="00551C41">
      <w:pPr>
        <w:spacing w:after="0" w:line="276" w:lineRule="auto"/>
        <w:ind w:left="851" w:right="616"/>
        <w:jc w:val="both"/>
        <w:rPr>
          <w:rFonts w:ascii="Palatino Linotype" w:eastAsia="Times New Roman" w:hAnsi="Palatino Linotype" w:cs="Times New Roman"/>
          <w:i/>
          <w:lang w:val="es-ES" w:eastAsia="es-ES"/>
        </w:rPr>
      </w:pPr>
    </w:p>
    <w:p w14:paraId="393D17DC" w14:textId="77777777" w:rsidR="00551C41" w:rsidRPr="00551C41" w:rsidRDefault="00551C41" w:rsidP="00551C41">
      <w:pPr>
        <w:spacing w:after="0" w:line="276" w:lineRule="auto"/>
        <w:ind w:left="851" w:right="616"/>
        <w:jc w:val="both"/>
        <w:rPr>
          <w:rFonts w:ascii="Palatino Linotype" w:eastAsia="Times New Roman" w:hAnsi="Palatino Linotype" w:cs="Times New Roman"/>
          <w:i/>
          <w:lang w:val="es-ES" w:eastAsia="es-ES"/>
        </w:rPr>
      </w:pPr>
      <w:r w:rsidRPr="00551C41">
        <w:rPr>
          <w:rFonts w:ascii="Palatino Linotype" w:eastAsia="Times New Roman" w:hAnsi="Palatino Linotype" w:cs="Times New Roman"/>
          <w:i/>
          <w:lang w:val="es-ES" w:eastAsia="es-ES"/>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77C92723" w14:textId="77777777" w:rsidR="00551C41" w:rsidRPr="00551C41" w:rsidRDefault="00551C41" w:rsidP="00551C41">
      <w:pPr>
        <w:spacing w:after="0" w:line="276" w:lineRule="auto"/>
        <w:ind w:left="851" w:right="616"/>
        <w:jc w:val="both"/>
        <w:rPr>
          <w:rFonts w:ascii="Palatino Linotype" w:eastAsia="Times New Roman" w:hAnsi="Palatino Linotype" w:cs="Times New Roman"/>
          <w:i/>
          <w:lang w:val="es-ES" w:eastAsia="es-ES"/>
        </w:rPr>
      </w:pPr>
    </w:p>
    <w:p w14:paraId="4B96492E" w14:textId="3A95495E" w:rsidR="0079531D" w:rsidRPr="00551C41" w:rsidRDefault="00551C41" w:rsidP="00551C41">
      <w:pPr>
        <w:spacing w:after="0" w:line="276" w:lineRule="auto"/>
        <w:ind w:left="851" w:right="616"/>
        <w:jc w:val="both"/>
        <w:rPr>
          <w:rFonts w:ascii="Palatino Linotype" w:eastAsia="Times New Roman" w:hAnsi="Palatino Linotype" w:cs="Times New Roman"/>
          <w:i/>
          <w:sz w:val="24"/>
          <w:szCs w:val="24"/>
          <w:lang w:val="es-ES" w:eastAsia="es-ES"/>
        </w:rPr>
      </w:pPr>
      <w:r w:rsidRPr="00551C41">
        <w:rPr>
          <w:rFonts w:ascii="Palatino Linotype" w:eastAsia="Times New Roman" w:hAnsi="Palatino Linotype" w:cs="Times New Roman"/>
          <w:i/>
          <w:lang w:val="es-ES" w:eastAsia="es-ES"/>
        </w:rPr>
        <w:lastRenderedPageBreak/>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
    <w:p w14:paraId="261B0ABB" w14:textId="77777777" w:rsidR="0079531D" w:rsidRDefault="0079531D" w:rsidP="0079531D">
      <w:pPr>
        <w:spacing w:after="0" w:line="360" w:lineRule="auto"/>
        <w:jc w:val="both"/>
        <w:rPr>
          <w:rFonts w:ascii="Palatino Linotype" w:eastAsia="Palatino Linotype" w:hAnsi="Palatino Linotype" w:cs="Palatino Linotype"/>
        </w:rPr>
      </w:pPr>
    </w:p>
    <w:p w14:paraId="3065EFD1" w14:textId="4EB5A23B" w:rsidR="0079531D" w:rsidRDefault="0079531D" w:rsidP="0079531D">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Como se puede advertir, en el criterio de la mayoría no se distingue el nivel o cargo que ostente el servidor público</w:t>
      </w:r>
      <w:r w:rsidR="00521A58">
        <w:rPr>
          <w:rFonts w:ascii="Palatino Linotype" w:eastAsia="Palatino Linotype" w:hAnsi="Palatino Linotype" w:cs="Palatino Linotype"/>
        </w:rPr>
        <w:t>; s</w:t>
      </w:r>
      <w:r>
        <w:rPr>
          <w:rFonts w:ascii="Palatino Linotype" w:eastAsia="Palatino Linotype" w:hAnsi="Palatino Linotype" w:cs="Palatino Linotype"/>
        </w:rPr>
        <w:t>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51ADE6DD" w14:textId="77777777" w:rsidR="0079531D" w:rsidRDefault="0079531D" w:rsidP="0079531D">
      <w:pPr>
        <w:spacing w:after="0" w:line="360" w:lineRule="auto"/>
        <w:jc w:val="both"/>
        <w:rPr>
          <w:rFonts w:ascii="Palatino Linotype" w:eastAsia="Palatino Linotype" w:hAnsi="Palatino Linotype" w:cs="Palatino Linotype"/>
        </w:rPr>
      </w:pPr>
    </w:p>
    <w:p w14:paraId="177E8022" w14:textId="77777777" w:rsidR="0079531D" w:rsidRDefault="0079531D" w:rsidP="0079531D">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14:paraId="6B0655A4" w14:textId="77777777" w:rsidR="0079531D" w:rsidRDefault="0079531D" w:rsidP="0079531D">
      <w:pPr>
        <w:spacing w:after="0" w:line="360" w:lineRule="auto"/>
        <w:jc w:val="both"/>
        <w:rPr>
          <w:rFonts w:ascii="Palatino Linotype" w:eastAsia="Palatino Linotype" w:hAnsi="Palatino Linotype" w:cs="Palatino Linotype"/>
        </w:rPr>
      </w:pPr>
    </w:p>
    <w:p w14:paraId="6D1064BE" w14:textId="77777777" w:rsidR="0079531D" w:rsidRDefault="0079531D" w:rsidP="0079531D">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lastRenderedPageBreak/>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14:paraId="28F5CA15" w14:textId="77777777" w:rsidR="0079531D" w:rsidRDefault="0079531D" w:rsidP="0079531D">
      <w:pPr>
        <w:spacing w:after="0" w:line="360" w:lineRule="auto"/>
        <w:ind w:right="140"/>
        <w:jc w:val="both"/>
        <w:rPr>
          <w:rFonts w:ascii="Palatino Linotype" w:eastAsia="Palatino Linotype" w:hAnsi="Palatino Linotype" w:cs="Palatino Linotype"/>
        </w:rPr>
      </w:pPr>
    </w:p>
    <w:p w14:paraId="7856413F" w14:textId="77777777" w:rsidR="0079531D" w:rsidRDefault="0079531D" w:rsidP="0079531D">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14:paraId="201201E1" w14:textId="77777777" w:rsidR="0079531D" w:rsidRDefault="0079531D" w:rsidP="0079531D">
      <w:pPr>
        <w:tabs>
          <w:tab w:val="left" w:pos="4962"/>
        </w:tabs>
        <w:spacing w:after="0" w:line="360" w:lineRule="auto"/>
        <w:jc w:val="both"/>
        <w:rPr>
          <w:rFonts w:ascii="Palatino Linotype" w:eastAsia="Palatino Linotype" w:hAnsi="Palatino Linotype" w:cs="Palatino Linotype"/>
        </w:rPr>
      </w:pPr>
    </w:p>
    <w:p w14:paraId="6DDECF1B" w14:textId="77777777" w:rsidR="0079531D" w:rsidRDefault="0079531D" w:rsidP="0079531D">
      <w:pPr>
        <w:spacing w:after="0" w:line="360" w:lineRule="auto"/>
        <w:jc w:val="both"/>
        <w:rPr>
          <w:rFonts w:ascii="Palatino Linotype" w:eastAsia="Palatino Linotype" w:hAnsi="Palatino Linotype" w:cs="Palatino Linotype"/>
        </w:rPr>
      </w:pPr>
      <w:bookmarkStart w:id="4" w:name="_heading=h.xezr0okd57tn" w:colFirst="0" w:colLast="0"/>
      <w:bookmarkEnd w:id="4"/>
      <w:r>
        <w:rPr>
          <w:rFonts w:ascii="Palatino Linotype" w:eastAsia="Palatino Linotype" w:hAnsi="Palatino Linotype" w:cs="Palatino Linotype"/>
        </w:rPr>
        <w:t xml:space="preserve">Dado que el acceso a los documentos que contengan el dato materia de análisis, aun clasificándolo, sí daría cuenta de lo que en realidad se pretende transparentar, como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w:t>
      </w:r>
      <w:r>
        <w:rPr>
          <w:rFonts w:ascii="Palatino Linotype" w:eastAsia="Palatino Linotype" w:hAnsi="Palatino Linotype" w:cs="Palatino Linotype"/>
        </w:rPr>
        <w:lastRenderedPageBreak/>
        <w:t>otros aspectos, pues el hecho de clasificar la fotografía no le resta validez a los documentos para los fines señalados.</w:t>
      </w:r>
    </w:p>
    <w:p w14:paraId="17BC2BC2" w14:textId="77777777" w:rsidR="0079531D" w:rsidRDefault="0079531D" w:rsidP="0079531D">
      <w:pPr>
        <w:spacing w:after="0" w:line="360" w:lineRule="auto"/>
        <w:jc w:val="both"/>
        <w:rPr>
          <w:rFonts w:ascii="Palatino Linotype" w:eastAsia="Palatino Linotype" w:hAnsi="Palatino Linotype" w:cs="Palatino Linotype"/>
        </w:rPr>
      </w:pPr>
    </w:p>
    <w:p w14:paraId="28E76926" w14:textId="77777777" w:rsidR="0079531D" w:rsidRDefault="0079531D" w:rsidP="0079531D">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14:paraId="50B9AF12" w14:textId="77777777" w:rsidR="0079531D" w:rsidRDefault="0079531D" w:rsidP="0079531D">
      <w:pPr>
        <w:spacing w:after="0" w:line="360" w:lineRule="auto"/>
        <w:jc w:val="both"/>
        <w:rPr>
          <w:rFonts w:ascii="Palatino Linotype" w:eastAsia="Palatino Linotype" w:hAnsi="Palatino Linotype" w:cs="Palatino Linotype"/>
        </w:rPr>
      </w:pPr>
    </w:p>
    <w:p w14:paraId="7E7E1E53" w14:textId="77777777" w:rsidR="0079531D" w:rsidRDefault="0079531D" w:rsidP="0079531D">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14:paraId="475E5FB8" w14:textId="77777777" w:rsidR="0079531D" w:rsidRPr="0079531D" w:rsidRDefault="0079531D" w:rsidP="0079531D">
      <w:pPr>
        <w:spacing w:before="240" w:after="240" w:line="360" w:lineRule="auto"/>
        <w:jc w:val="both"/>
        <w:rPr>
          <w:rFonts w:ascii="Palatino Linotype" w:eastAsia="Palatino Linotype" w:hAnsi="Palatino Linotype" w:cs="Palatino Linotype"/>
          <w:b/>
        </w:rPr>
      </w:pPr>
    </w:p>
    <w:p w14:paraId="0A8B0291" w14:textId="77777777" w:rsidR="0079531D" w:rsidRDefault="0079531D">
      <w:pPr>
        <w:spacing w:before="240" w:after="240" w:line="360" w:lineRule="auto"/>
        <w:jc w:val="both"/>
        <w:rPr>
          <w:rFonts w:ascii="Palatino Linotype" w:eastAsia="Palatino Linotype" w:hAnsi="Palatino Linotype" w:cs="Palatino Linotype"/>
          <w:b/>
        </w:rPr>
      </w:pPr>
    </w:p>
    <w:p w14:paraId="11EE3DA9" w14:textId="77777777" w:rsidR="0079531D" w:rsidRPr="0079531D" w:rsidRDefault="0079531D" w:rsidP="0079531D">
      <w:pPr>
        <w:pStyle w:val="Prrafodelista"/>
        <w:numPr>
          <w:ilvl w:val="0"/>
          <w:numId w:val="5"/>
        </w:numPr>
        <w:spacing w:before="240" w:after="240" w:line="360" w:lineRule="auto"/>
        <w:jc w:val="both"/>
        <w:rPr>
          <w:rFonts w:ascii="Palatino Linotype" w:eastAsia="Palatino Linotype" w:hAnsi="Palatino Linotype" w:cs="Palatino Linotype"/>
        </w:rPr>
        <w:sectPr w:rsidR="0079531D" w:rsidRPr="0079531D">
          <w:headerReference w:type="default" r:id="rId9"/>
          <w:footerReference w:type="default" r:id="rId10"/>
          <w:pgSz w:w="12240" w:h="15840"/>
          <w:pgMar w:top="2438" w:right="1701" w:bottom="2778" w:left="1701" w:header="1134" w:footer="1134" w:gutter="0"/>
          <w:pgNumType w:start="1"/>
          <w:cols w:space="720"/>
        </w:sectPr>
      </w:pPr>
    </w:p>
    <w:p w14:paraId="7BC02CB8" w14:textId="77777777" w:rsidR="00CB1FD9" w:rsidRDefault="00CB1FD9">
      <w:pPr>
        <w:spacing w:before="240" w:after="240" w:line="360" w:lineRule="auto"/>
        <w:ind w:right="139"/>
        <w:jc w:val="both"/>
        <w:rPr>
          <w:rFonts w:ascii="Palatino Linotype" w:eastAsia="Palatino Linotype" w:hAnsi="Palatino Linotype" w:cs="Palatino Linotype"/>
          <w:sz w:val="24"/>
          <w:szCs w:val="24"/>
        </w:rPr>
      </w:pPr>
      <w:bookmarkStart w:id="5" w:name="_heading=h.1fob9te" w:colFirst="0" w:colLast="0"/>
      <w:bookmarkEnd w:id="5"/>
    </w:p>
    <w:p w14:paraId="1680951E" w14:textId="77777777" w:rsidR="00CB1FD9" w:rsidRDefault="00CB1FD9">
      <w:pPr>
        <w:spacing w:before="240" w:after="240" w:line="360" w:lineRule="auto"/>
        <w:ind w:right="139"/>
        <w:jc w:val="both"/>
        <w:rPr>
          <w:rFonts w:ascii="Palatino Linotype" w:eastAsia="Palatino Linotype" w:hAnsi="Palatino Linotype" w:cs="Palatino Linotype"/>
          <w:sz w:val="24"/>
          <w:szCs w:val="24"/>
        </w:rPr>
      </w:pPr>
    </w:p>
    <w:p w14:paraId="5DE5668E" w14:textId="77777777" w:rsidR="00CB1FD9" w:rsidRDefault="00CB1FD9">
      <w:pPr>
        <w:spacing w:before="240" w:after="240" w:line="360" w:lineRule="auto"/>
        <w:ind w:right="139"/>
        <w:jc w:val="both"/>
        <w:rPr>
          <w:rFonts w:ascii="Palatino Linotype" w:eastAsia="Palatino Linotype" w:hAnsi="Palatino Linotype" w:cs="Palatino Linotype"/>
          <w:sz w:val="24"/>
          <w:szCs w:val="24"/>
        </w:rPr>
      </w:pPr>
    </w:p>
    <w:p w14:paraId="449C3A71" w14:textId="77777777" w:rsidR="00CB1FD9" w:rsidRDefault="00CB1FD9">
      <w:pPr>
        <w:spacing w:before="240" w:after="240" w:line="360" w:lineRule="auto"/>
        <w:ind w:right="139"/>
        <w:jc w:val="both"/>
        <w:rPr>
          <w:rFonts w:ascii="Palatino Linotype" w:eastAsia="Palatino Linotype" w:hAnsi="Palatino Linotype" w:cs="Palatino Linotype"/>
          <w:sz w:val="24"/>
          <w:szCs w:val="24"/>
        </w:rPr>
      </w:pPr>
    </w:p>
    <w:p w14:paraId="387AC742" w14:textId="77777777" w:rsidR="00CB1FD9" w:rsidRDefault="00CB1FD9">
      <w:pPr>
        <w:spacing w:before="240" w:after="240" w:line="360" w:lineRule="auto"/>
        <w:ind w:right="139"/>
        <w:jc w:val="both"/>
        <w:rPr>
          <w:rFonts w:ascii="Palatino Linotype" w:eastAsia="Palatino Linotype" w:hAnsi="Palatino Linotype" w:cs="Palatino Linotype"/>
          <w:sz w:val="24"/>
          <w:szCs w:val="24"/>
        </w:rPr>
      </w:pPr>
    </w:p>
    <w:p w14:paraId="593B1062" w14:textId="77777777" w:rsidR="00CB1FD9" w:rsidRDefault="00CB1FD9">
      <w:pPr>
        <w:spacing w:before="240" w:after="240" w:line="360" w:lineRule="auto"/>
        <w:ind w:right="139"/>
        <w:jc w:val="both"/>
        <w:rPr>
          <w:rFonts w:ascii="Palatino Linotype" w:eastAsia="Palatino Linotype" w:hAnsi="Palatino Linotype" w:cs="Palatino Linotype"/>
          <w:sz w:val="24"/>
          <w:szCs w:val="24"/>
        </w:rPr>
      </w:pPr>
    </w:p>
    <w:p w14:paraId="49F05E89" w14:textId="77777777" w:rsidR="00CB1FD9" w:rsidRDefault="00CB1FD9">
      <w:pPr>
        <w:spacing w:before="240" w:after="240" w:line="360" w:lineRule="auto"/>
        <w:ind w:right="139"/>
        <w:jc w:val="both"/>
        <w:rPr>
          <w:rFonts w:ascii="Palatino Linotype" w:eastAsia="Palatino Linotype" w:hAnsi="Palatino Linotype" w:cs="Palatino Linotype"/>
          <w:sz w:val="24"/>
          <w:szCs w:val="24"/>
        </w:rPr>
      </w:pPr>
    </w:p>
    <w:sectPr w:rsidR="00CB1FD9">
      <w:headerReference w:type="default" r:id="rId11"/>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5069B" w14:textId="77777777" w:rsidR="00AD1C34" w:rsidRDefault="00AD1C34">
      <w:pPr>
        <w:spacing w:after="0" w:line="240" w:lineRule="auto"/>
      </w:pPr>
      <w:r>
        <w:separator/>
      </w:r>
    </w:p>
  </w:endnote>
  <w:endnote w:type="continuationSeparator" w:id="0">
    <w:p w14:paraId="402810BB" w14:textId="77777777" w:rsidR="00AD1C34" w:rsidRDefault="00AD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E028B" w14:textId="77777777" w:rsidR="00CB1FD9" w:rsidRDefault="0089705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73852">
      <w:rPr>
        <w:rFonts w:ascii="Palatino Linotype" w:eastAsia="Palatino Linotype" w:hAnsi="Palatino Linotype" w:cs="Palatino Linotype"/>
        <w:b/>
        <w:noProof/>
        <w:color w:val="000000"/>
        <w:sz w:val="20"/>
        <w:szCs w:val="20"/>
      </w:rPr>
      <w:t>14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73852">
      <w:rPr>
        <w:rFonts w:ascii="Palatino Linotype" w:eastAsia="Palatino Linotype" w:hAnsi="Palatino Linotype" w:cs="Palatino Linotype"/>
        <w:b/>
        <w:noProof/>
        <w:color w:val="000000"/>
        <w:sz w:val="20"/>
        <w:szCs w:val="20"/>
      </w:rPr>
      <w:t>14</w:t>
    </w:r>
    <w:r>
      <w:rPr>
        <w:rFonts w:ascii="Palatino Linotype" w:eastAsia="Palatino Linotype" w:hAnsi="Palatino Linotype" w:cs="Palatino Linotype"/>
        <w:b/>
        <w:color w:val="000000"/>
        <w:sz w:val="20"/>
        <w:szCs w:val="20"/>
      </w:rPr>
      <w:fldChar w:fldCharType="end"/>
    </w:r>
  </w:p>
  <w:p w14:paraId="79547645" w14:textId="77777777" w:rsidR="00CB1FD9" w:rsidRDefault="00CB1FD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F60A7" w14:textId="77777777" w:rsidR="00AD1C34" w:rsidRDefault="00AD1C34">
      <w:pPr>
        <w:spacing w:after="0" w:line="240" w:lineRule="auto"/>
      </w:pPr>
      <w:r>
        <w:separator/>
      </w:r>
    </w:p>
  </w:footnote>
  <w:footnote w:type="continuationSeparator" w:id="0">
    <w:p w14:paraId="58DB8515" w14:textId="77777777" w:rsidR="00AD1C34" w:rsidRDefault="00AD1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F90C1" w14:textId="77777777" w:rsidR="00CB1FD9" w:rsidRDefault="0089705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r>
      <w:rPr>
        <w:noProof/>
      </w:rPr>
      <w:drawing>
        <wp:anchor distT="0" distB="0" distL="0" distR="0" simplePos="0" relativeHeight="251658240" behindDoc="1" locked="0" layoutInCell="1" hidden="0" allowOverlap="1" wp14:anchorId="11CD78CC" wp14:editId="129FDB27">
          <wp:simplePos x="0" y="0"/>
          <wp:positionH relativeFrom="column">
            <wp:posOffset>-1080132</wp:posOffset>
          </wp:positionH>
          <wp:positionV relativeFrom="paragraph">
            <wp:posOffset>-631822</wp:posOffset>
          </wp:positionV>
          <wp:extent cx="7510628" cy="9883775"/>
          <wp:effectExtent l="0" t="0" r="0" b="0"/>
          <wp:wrapNone/>
          <wp:docPr id="2716407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11CCC061" w14:textId="77777777" w:rsidR="008541CC" w:rsidRDefault="00BB43F7" w:rsidP="008541C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w:t>
    </w:r>
    <w:r w:rsidR="0089705E">
      <w:rPr>
        <w:rFonts w:ascii="Palatino Linotype" w:eastAsia="Palatino Linotype" w:hAnsi="Palatino Linotype" w:cs="Palatino Linotype"/>
        <w:b/>
        <w:color w:val="000000"/>
        <w:sz w:val="20"/>
        <w:szCs w:val="20"/>
      </w:rPr>
      <w:t xml:space="preserve"> DE REVISIÓN: </w:t>
    </w:r>
    <w:r w:rsidR="009D5AF9" w:rsidRPr="009D5AF9">
      <w:rPr>
        <w:rFonts w:ascii="Palatino Linotype" w:eastAsia="Palatino Linotype" w:hAnsi="Palatino Linotype" w:cs="Palatino Linotype"/>
        <w:b/>
        <w:color w:val="000000"/>
        <w:sz w:val="20"/>
        <w:szCs w:val="20"/>
      </w:rPr>
      <w:t>0</w:t>
    </w:r>
    <w:r w:rsidR="008541CC">
      <w:rPr>
        <w:rFonts w:ascii="Palatino Linotype" w:eastAsia="Palatino Linotype" w:hAnsi="Palatino Linotype" w:cs="Palatino Linotype"/>
        <w:b/>
        <w:color w:val="000000"/>
        <w:sz w:val="20"/>
        <w:szCs w:val="20"/>
      </w:rPr>
      <w:t>1140</w:t>
    </w:r>
    <w:r w:rsidR="009D5AF9" w:rsidRPr="009D5AF9">
      <w:rPr>
        <w:rFonts w:ascii="Palatino Linotype" w:eastAsia="Palatino Linotype" w:hAnsi="Palatino Linotype" w:cs="Palatino Linotype"/>
        <w:b/>
        <w:color w:val="000000"/>
        <w:sz w:val="20"/>
        <w:szCs w:val="20"/>
      </w:rPr>
      <w:t>/INFOEM/IP/RR/202</w:t>
    </w:r>
    <w:r w:rsidR="00DE645D">
      <w:rPr>
        <w:rFonts w:ascii="Palatino Linotype" w:eastAsia="Palatino Linotype" w:hAnsi="Palatino Linotype" w:cs="Palatino Linotype"/>
        <w:b/>
        <w:color w:val="000000"/>
        <w:sz w:val="20"/>
        <w:szCs w:val="20"/>
      </w:rPr>
      <w:t>5</w:t>
    </w:r>
  </w:p>
  <w:p w14:paraId="451711AC" w14:textId="72D9F08E" w:rsidR="00FA5AA6" w:rsidRPr="008541CC" w:rsidRDefault="008541CC" w:rsidP="008541C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Comisionado Ponente: José Martínez Vilchis</w:t>
    </w:r>
    <w:r w:rsidR="00FA5AA6">
      <w:rPr>
        <w:rFonts w:ascii="Palatino Linotype" w:eastAsia="Palatino Linotype" w:hAnsi="Palatino Linotype" w:cs="Palatino Linotype"/>
        <w:b/>
        <w:color w:val="000000"/>
        <w:sz w:val="20"/>
        <w:szCs w:val="20"/>
      </w:rPr>
      <w:t xml:space="preserve"> </w:t>
    </w:r>
  </w:p>
  <w:p w14:paraId="252BB052" w14:textId="77777777" w:rsidR="00CB1FD9" w:rsidRDefault="00CB1FD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7C602" w14:textId="77777777" w:rsidR="00CB1FD9" w:rsidRDefault="00CB1FD9">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5FD4"/>
    <w:multiLevelType w:val="multilevel"/>
    <w:tmpl w:val="399A34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353" w:hanging="359"/>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BD16A5"/>
    <w:multiLevelType w:val="hybridMultilevel"/>
    <w:tmpl w:val="C5CCDD28"/>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15:restartNumberingAfterBreak="0">
    <w:nsid w:val="0A7130F5"/>
    <w:multiLevelType w:val="hybridMultilevel"/>
    <w:tmpl w:val="E9121A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51471B"/>
    <w:multiLevelType w:val="hybridMultilevel"/>
    <w:tmpl w:val="430ECC9A"/>
    <w:lvl w:ilvl="0" w:tplc="1B50234A">
      <w:start w:val="1"/>
      <w:numFmt w:val="decimal"/>
      <w:lvlText w:val="%1)"/>
      <w:lvlJc w:val="left"/>
      <w:pPr>
        <w:ind w:left="1080" w:hanging="360"/>
      </w:pPr>
      <w:rPr>
        <w:b/>
        <w:bCs/>
        <w:sz w:val="24"/>
        <w:szCs w:val="24"/>
      </w:rPr>
    </w:lvl>
    <w:lvl w:ilvl="1" w:tplc="E2D25550">
      <w:start w:val="1"/>
      <w:numFmt w:val="upperRoman"/>
      <w:lvlText w:val="%2."/>
      <w:lvlJc w:val="left"/>
      <w:pPr>
        <w:ind w:left="1800" w:hanging="360"/>
      </w:pPr>
      <w:rPr>
        <w:rFonts w:hint="default"/>
        <w:b/>
        <w:sz w:val="24"/>
        <w:szCs w:val="24"/>
      </w:r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2B022F7"/>
    <w:multiLevelType w:val="multilevel"/>
    <w:tmpl w:val="2AF8E7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F351F6"/>
    <w:multiLevelType w:val="hybridMultilevel"/>
    <w:tmpl w:val="BBFAE99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353"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96D48DA"/>
    <w:multiLevelType w:val="hybridMultilevel"/>
    <w:tmpl w:val="E9420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BA61248"/>
    <w:multiLevelType w:val="multilevel"/>
    <w:tmpl w:val="02C8F9A2"/>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746A5DAB"/>
    <w:multiLevelType w:val="multilevel"/>
    <w:tmpl w:val="7E2E2B5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7"/>
  </w:num>
  <w:num w:numId="4">
    <w:abstractNumId w:val="4"/>
  </w:num>
  <w:num w:numId="5">
    <w:abstractNumId w:val="2"/>
  </w:num>
  <w:num w:numId="6">
    <w:abstractNumId w:val="0"/>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D9"/>
    <w:rsid w:val="0001135A"/>
    <w:rsid w:val="0001351B"/>
    <w:rsid w:val="00073852"/>
    <w:rsid w:val="00113D94"/>
    <w:rsid w:val="001F4818"/>
    <w:rsid w:val="00313FE8"/>
    <w:rsid w:val="0047504F"/>
    <w:rsid w:val="00521A58"/>
    <w:rsid w:val="00551C41"/>
    <w:rsid w:val="00661C5A"/>
    <w:rsid w:val="00726B3B"/>
    <w:rsid w:val="0079531D"/>
    <w:rsid w:val="0081710A"/>
    <w:rsid w:val="00823F1C"/>
    <w:rsid w:val="008541CC"/>
    <w:rsid w:val="0089705E"/>
    <w:rsid w:val="008B324B"/>
    <w:rsid w:val="00926E76"/>
    <w:rsid w:val="009D5AF9"/>
    <w:rsid w:val="00A01C7B"/>
    <w:rsid w:val="00A16018"/>
    <w:rsid w:val="00A815DF"/>
    <w:rsid w:val="00AC7256"/>
    <w:rsid w:val="00AD1C34"/>
    <w:rsid w:val="00AF22C0"/>
    <w:rsid w:val="00B90306"/>
    <w:rsid w:val="00BB43F7"/>
    <w:rsid w:val="00C95B5D"/>
    <w:rsid w:val="00CB1FD9"/>
    <w:rsid w:val="00CF61CF"/>
    <w:rsid w:val="00DE645D"/>
    <w:rsid w:val="00FA5A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D434"/>
  <w15:docId w15:val="{2174C602-F5C1-424F-B93A-FF07628C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F2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2C28"/>
  </w:style>
  <w:style w:type="paragraph" w:styleId="Piedepgina">
    <w:name w:val="footer"/>
    <w:basedOn w:val="Normal"/>
    <w:link w:val="PiedepginaCar"/>
    <w:uiPriority w:val="99"/>
    <w:unhideWhenUsed/>
    <w:rsid w:val="00EF2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2C2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C54F93"/>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1"/>
    <w:qFormat/>
    <w:rsid w:val="00C54F93"/>
    <w:rPr>
      <w:rFonts w:ascii="Century Gothic" w:eastAsia="Times New Roman" w:hAnsi="Century Gothic" w:cs="Times New Roman"/>
      <w:szCs w:val="24"/>
      <w:lang w:eastAsia="es-ES"/>
    </w:rPr>
  </w:style>
  <w:style w:type="character" w:styleId="Hipervnculo">
    <w:name w:val="Hyperlink"/>
    <w:basedOn w:val="Fuentedeprrafopredeter"/>
    <w:uiPriority w:val="99"/>
    <w:unhideWhenUsed/>
    <w:rsid w:val="00E27FA4"/>
    <w:rPr>
      <w:color w:val="0000FF" w:themeColor="hyperlink"/>
      <w:u w:val="single"/>
    </w:rPr>
  </w:style>
  <w:style w:type="table" w:styleId="Tablaconcuadrcula">
    <w:name w:val="Table Grid"/>
    <w:basedOn w:val="Tablanormal"/>
    <w:uiPriority w:val="59"/>
    <w:rsid w:val="00FA5AA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omex.org.mx/recursos/ipo/files_ipo/2014/8/11/630bc7787b59af912a96a9e1bca1c77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63LcHpaO/zSgOITEiagZUWZhTw==">CgMxLjAyCGguZ2pkZ3hzMgloLjN6bnlzaDcyCWguMWZvYjl0ZTgAciExS2R5eGFjRThxeWFQUFFrS1ZpWUE0MWN2TWdwTkt2MzM=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3612</Words>
  <Characters>19867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INFOEM406</cp:lastModifiedBy>
  <cp:revision>6</cp:revision>
  <cp:lastPrinted>2025-03-18T18:35:00Z</cp:lastPrinted>
  <dcterms:created xsi:type="dcterms:W3CDTF">2025-03-14T19:59:00Z</dcterms:created>
  <dcterms:modified xsi:type="dcterms:W3CDTF">2025-03-18T18:35:00Z</dcterms:modified>
</cp:coreProperties>
</file>