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AD0C" w14:textId="77777777" w:rsidR="003E0BFE" w:rsidRDefault="003E0BFE" w:rsidP="007705D1">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p>
    <w:p w14:paraId="5C2C3490" w14:textId="26283652" w:rsidR="007705D1" w:rsidRPr="00CE7506" w:rsidRDefault="0035323A" w:rsidP="007705D1">
      <w:pPr>
        <w:widowControl w:val="0"/>
        <w:pBdr>
          <w:top w:val="nil"/>
          <w:left w:val="nil"/>
          <w:bottom w:val="nil"/>
          <w:right w:val="nil"/>
          <w:between w:val="nil"/>
        </w:pBdr>
        <w:spacing w:after="0" w:line="360" w:lineRule="auto"/>
        <w:jc w:val="both"/>
      </w:pPr>
      <w:r>
        <w:pict w14:anchorId="0B919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pt;height:50pt;z-index:251660288;visibility:hidden">
            <o:lock v:ext="edit" selection="t"/>
          </v:shape>
        </w:pict>
      </w:r>
      <w:r>
        <w:pict w14:anchorId="6AD4678B">
          <v:shape id="_x0000_s2052" type="#_x0000_t136" style="position:absolute;left:0;text-align:left;margin-left:0;margin-top:0;width:50pt;height:50pt;z-index:251659264;visibility:hidden">
            <o:lock v:ext="edit" selection="t"/>
          </v:shape>
        </w:pict>
      </w:r>
      <w:r w:rsidR="007705D1">
        <w:rPr>
          <w:noProof/>
          <w:lang w:val="es-MX"/>
        </w:rPr>
        <mc:AlternateContent>
          <mc:Choice Requires="wps">
            <w:drawing>
              <wp:anchor distT="0" distB="0" distL="114300" distR="114300" simplePos="0" relativeHeight="251657216" behindDoc="0" locked="0" layoutInCell="1" allowOverlap="1" wp14:anchorId="71953BB9" wp14:editId="05212EB5">
                <wp:simplePos x="0" y="0"/>
                <wp:positionH relativeFrom="column">
                  <wp:posOffset>0</wp:posOffset>
                </wp:positionH>
                <wp:positionV relativeFrom="paragraph">
                  <wp:posOffset>0</wp:posOffset>
                </wp:positionV>
                <wp:extent cx="635000" cy="635000"/>
                <wp:effectExtent l="0" t="0" r="3175" b="3175"/>
                <wp:wrapNone/>
                <wp:docPr id="2"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CC32C2" id="_x0000_t202" coordsize="21600,21600" o:spt="202" path="m,l,21600r21600,l21600,xe">
                <v:stroke joinstyle="miter"/>
                <v:path gradientshapeok="t" o:connecttype="rect"/>
              </v:shapetype>
              <v:shape id="Cuadro de texto 2"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BZv+RE/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007705D1">
        <w:rPr>
          <w:noProof/>
          <w:lang w:val="es-MX"/>
        </w:rPr>
        <mc:AlternateContent>
          <mc:Choice Requires="wps">
            <w:drawing>
              <wp:anchor distT="0" distB="0" distL="114300" distR="114300" simplePos="0" relativeHeight="251658240" behindDoc="0" locked="0" layoutInCell="1" allowOverlap="1" wp14:anchorId="65098B07" wp14:editId="3A276B01">
                <wp:simplePos x="0" y="0"/>
                <wp:positionH relativeFrom="column">
                  <wp:posOffset>0</wp:posOffset>
                </wp:positionH>
                <wp:positionV relativeFrom="paragraph">
                  <wp:posOffset>0</wp:posOffset>
                </wp:positionV>
                <wp:extent cx="635000" cy="635000"/>
                <wp:effectExtent l="0" t="0" r="3175" b="3175"/>
                <wp:wrapNone/>
                <wp:docPr id="1" name="Cuadro de tex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484F5" id="Cuadro de texto 1"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C1LATz/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007705D1">
        <w:rPr>
          <w:rFonts w:ascii="Palatino Linotype" w:eastAsia="Palatino Linotype" w:hAnsi="Palatino Linotype" w:cs="Palatino Linotype"/>
          <w:b/>
        </w:rPr>
        <w:t xml:space="preserve">VOTO PARTICULAR CONCURRENTE QUE FORMULAN LA COMISIONADA GUADALUPE RAMÍREZ PEÑA </w:t>
      </w:r>
      <w:r w:rsidR="007705D1" w:rsidRPr="00CE7506">
        <w:rPr>
          <w:rFonts w:ascii="Palatino Linotype" w:eastAsia="Palatino Linotype" w:hAnsi="Palatino Linotype" w:cs="Palatino Linotype"/>
          <w:b/>
          <w:color w:val="000000" w:themeColor="text1"/>
        </w:rPr>
        <w:t xml:space="preserve">Y EL COMISIONADO LUIS GUSTAVO PARRA NORIEGA, </w:t>
      </w:r>
      <w:r w:rsidR="007705D1">
        <w:rPr>
          <w:rFonts w:ascii="Palatino Linotype" w:eastAsia="Palatino Linotype" w:hAnsi="Palatino Linotype" w:cs="Palatino Linotype"/>
          <w:b/>
        </w:rPr>
        <w:t xml:space="preserve">CON RELACIÓN A LA RESOLUCIÓN EMITIDA EN EL RECURSO DE REVISIÓN </w:t>
      </w:r>
      <w:r w:rsidR="00407954" w:rsidRPr="00407954">
        <w:rPr>
          <w:rFonts w:ascii="Palatino Linotype" w:eastAsia="Palatino Linotype" w:hAnsi="Palatino Linotype" w:cs="Palatino Linotype"/>
          <w:b/>
        </w:rPr>
        <w:t>01995/INFOEM/IP/RR/2025</w:t>
      </w:r>
      <w:r w:rsidR="007705D1">
        <w:rPr>
          <w:noProof/>
          <w:lang w:val="es-MX"/>
        </w:rPr>
        <mc:AlternateContent>
          <mc:Choice Requires="wps">
            <w:drawing>
              <wp:anchor distT="0" distB="0" distL="114300" distR="114300" simplePos="0" relativeHeight="251655168" behindDoc="0" locked="0" layoutInCell="1" hidden="0" allowOverlap="1" wp14:anchorId="1540C894" wp14:editId="715B869E">
                <wp:simplePos x="0" y="0"/>
                <wp:positionH relativeFrom="column">
                  <wp:posOffset>1</wp:posOffset>
                </wp:positionH>
                <wp:positionV relativeFrom="paragraph">
                  <wp:posOffset>0</wp:posOffset>
                </wp:positionV>
                <wp:extent cx="644525" cy="644525"/>
                <wp:effectExtent l="0" t="0" r="0" b="0"/>
                <wp:wrapNone/>
                <wp:docPr id="1040951415" name="Rectángulo 1040951415"/>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534287A9" w14:textId="77777777" w:rsidR="007705D1" w:rsidRDefault="007705D1" w:rsidP="007705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561C7" id="Rectángulo 1040951415" o:spid="_x0000_s1026" style="position:absolute;left:0;text-align:left;margin-left:0;margin-top:0;width:50.75pt;height:5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" filled="f" stroked="f">
                <v:textbox inset="2.53958mm,2.53958mm,2.53958mm,2.53958mm">
                  <w:txbxContent>
                    <w:p w:rsidR="007705D1" w:rsidRDefault="007705D1" w:rsidP="007705D1">
                      <w:pPr>
                        <w:spacing w:after="0" w:line="240" w:lineRule="auto"/>
                        <w:textDirection w:val="btLr"/>
                      </w:pPr>
                    </w:p>
                  </w:txbxContent>
                </v:textbox>
              </v:rect>
            </w:pict>
          </mc:Fallback>
        </mc:AlternateContent>
      </w:r>
      <w:r w:rsidR="007705D1">
        <w:rPr>
          <w:noProof/>
          <w:lang w:val="es-MX"/>
        </w:rPr>
        <mc:AlternateContent>
          <mc:Choice Requires="wps">
            <w:drawing>
              <wp:anchor distT="0" distB="0" distL="114300" distR="114300" simplePos="0" relativeHeight="251656192" behindDoc="0" locked="0" layoutInCell="1" hidden="0" allowOverlap="1" wp14:anchorId="5F4845B8" wp14:editId="72A79A74">
                <wp:simplePos x="0" y="0"/>
                <wp:positionH relativeFrom="column">
                  <wp:posOffset>1</wp:posOffset>
                </wp:positionH>
                <wp:positionV relativeFrom="paragraph">
                  <wp:posOffset>0</wp:posOffset>
                </wp:positionV>
                <wp:extent cx="644525" cy="644525"/>
                <wp:effectExtent l="0" t="0" r="0" b="0"/>
                <wp:wrapNone/>
                <wp:docPr id="1040951418" name="Rectángulo 1040951418"/>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5786731B" w14:textId="77777777" w:rsidR="007705D1" w:rsidRDefault="007705D1" w:rsidP="007705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42756" id="Rectángulo 1040951418" o:spid="_x0000_s1027" style="position:absolute;left:0;text-align:left;margin-left:0;margin-top:0;width:50.75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" filled="f" stroked="f">
                <v:textbox inset="2.53958mm,2.53958mm,2.53958mm,2.53958mm">
                  <w:txbxContent>
                    <w:p w:rsidR="007705D1" w:rsidRDefault="007705D1" w:rsidP="007705D1">
                      <w:pPr>
                        <w:spacing w:after="0" w:line="240" w:lineRule="auto"/>
                        <w:textDirection w:val="btLr"/>
                      </w:pPr>
                    </w:p>
                  </w:txbxContent>
                </v:textbox>
              </v:rect>
            </w:pict>
          </mc:Fallback>
        </mc:AlternateContent>
      </w:r>
    </w:p>
    <w:p w14:paraId="26E958BF" w14:textId="77777777" w:rsidR="007705D1" w:rsidRDefault="007705D1">
      <w:pPr>
        <w:spacing w:after="0" w:line="360" w:lineRule="auto"/>
        <w:ind w:right="-93"/>
        <w:jc w:val="both"/>
        <w:rPr>
          <w:rFonts w:ascii="Palatino Linotype" w:eastAsia="Palatino Linotype" w:hAnsi="Palatino Linotype" w:cs="Palatino Linotype"/>
          <w:b/>
        </w:rPr>
      </w:pPr>
    </w:p>
    <w:p w14:paraId="60FE6875" w14:textId="49017A73" w:rsidR="002C3707" w:rsidRDefault="004D0CD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la Resolución relativa al Recurso de Revisión </w:t>
      </w:r>
      <w:r w:rsidR="00407954" w:rsidRPr="00407954">
        <w:rPr>
          <w:rFonts w:ascii="Palatino Linotype" w:eastAsia="Palatino Linotype" w:hAnsi="Palatino Linotype" w:cs="Palatino Linotype"/>
          <w:b/>
        </w:rPr>
        <w:t>01995/INFOEM/IP/RR/2025</w:t>
      </w:r>
      <w:r>
        <w:rPr>
          <w:rFonts w:ascii="Palatino Linotype" w:eastAsia="Palatino Linotype" w:hAnsi="Palatino Linotype" w:cs="Palatino Linotype"/>
          <w:b/>
        </w:rPr>
        <w:t xml:space="preserve">,  </w:t>
      </w:r>
      <w:r w:rsidR="0035323A">
        <w:rPr>
          <w:rFonts w:ascii="Palatino Linotype" w:eastAsia="Palatino Linotype" w:hAnsi="Palatino Linotype" w:cs="Palatino Linotype"/>
        </w:rPr>
        <w:t>presentada</w:t>
      </w:r>
      <w:bookmarkStart w:id="0" w:name="_GoBack"/>
      <w:bookmarkEnd w:id="0"/>
      <w:r>
        <w:rPr>
          <w:rFonts w:ascii="Palatino Linotype" w:eastAsia="Palatino Linotype" w:hAnsi="Palatino Linotype" w:cs="Palatino Linotype"/>
        </w:rPr>
        <w:t xml:space="preserve"> por el Comisionado</w:t>
      </w:r>
      <w:r w:rsidR="00407954">
        <w:rPr>
          <w:rFonts w:ascii="Palatino Linotype" w:eastAsia="Palatino Linotype" w:hAnsi="Palatino Linotype" w:cs="Palatino Linotype"/>
        </w:rPr>
        <w:t xml:space="preserve"> Presidente</w:t>
      </w:r>
      <w:r>
        <w:rPr>
          <w:rFonts w:ascii="Palatino Linotype" w:eastAsia="Palatino Linotype" w:hAnsi="Palatino Linotype" w:cs="Palatino Linotype"/>
        </w:rPr>
        <w:t xml:space="preserve"> </w:t>
      </w:r>
      <w:r w:rsidR="00407954" w:rsidRPr="00407954">
        <w:rPr>
          <w:rFonts w:ascii="Palatino Linotype" w:eastAsia="Palatino Linotype" w:hAnsi="Palatino Linotype" w:cs="Palatino Linotype"/>
        </w:rPr>
        <w:t>José Martínez Vilchis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quienes suscriben, 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AFA3EE0" w14:textId="77777777" w:rsidR="007705D1" w:rsidRDefault="007705D1">
      <w:pPr>
        <w:spacing w:after="0" w:line="360" w:lineRule="auto"/>
        <w:ind w:right="-93"/>
        <w:jc w:val="both"/>
        <w:rPr>
          <w:rFonts w:ascii="Palatino Linotype" w:eastAsia="Palatino Linotype" w:hAnsi="Palatino Linotype" w:cs="Palatino Linotype"/>
        </w:rPr>
      </w:pPr>
    </w:p>
    <w:p w14:paraId="5C5AA6E0" w14:textId="1A271FF1" w:rsidR="002C3707" w:rsidRDefault="004D0CD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una solicitud de acceso a la información, el Particular requirió </w:t>
      </w:r>
      <w:r w:rsidR="00407954">
        <w:rPr>
          <w:rFonts w:ascii="Palatino Linotype" w:eastAsia="Palatino Linotype" w:hAnsi="Palatino Linotype" w:cs="Palatino Linotype"/>
        </w:rPr>
        <w:t>el r</w:t>
      </w:r>
      <w:r w:rsidR="00407954" w:rsidRPr="00407954">
        <w:rPr>
          <w:rFonts w:ascii="Palatino Linotype" w:eastAsia="Palatino Linotype" w:hAnsi="Palatino Linotype" w:cs="Palatino Linotype"/>
        </w:rPr>
        <w:t>ecibo de Nómina de la Tesorera Municipal de la primer quincena de febrero 2025, así como su certificación y demás documentación inherente que avale que tiene experiencia necesaria para desempeñar el cargo conforme a lo establecido en la ley orgánica</w:t>
      </w:r>
      <w:r>
        <w:rPr>
          <w:rFonts w:ascii="Palatino Linotype" w:eastAsia="Palatino Linotype" w:hAnsi="Palatino Linotype" w:cs="Palatino Linotype"/>
        </w:rPr>
        <w:t xml:space="preserve">; en respuesta, se advierte que el Sujeto Obligado </w:t>
      </w:r>
      <w:r w:rsidR="00407954">
        <w:rPr>
          <w:rFonts w:ascii="Palatino Linotype" w:eastAsia="Palatino Linotype" w:hAnsi="Palatino Linotype" w:cs="Palatino Linotype"/>
        </w:rPr>
        <w:t>a través del</w:t>
      </w:r>
      <w:r w:rsidR="00407954" w:rsidRPr="00407954">
        <w:rPr>
          <w:rFonts w:ascii="Palatino Linotype" w:eastAsia="Palatino Linotype" w:hAnsi="Palatino Linotype" w:cs="Palatino Linotype"/>
        </w:rPr>
        <w:t xml:space="preserve"> Titular del D</w:t>
      </w:r>
      <w:r w:rsidR="00407954">
        <w:rPr>
          <w:rFonts w:ascii="Palatino Linotype" w:eastAsia="Palatino Linotype" w:hAnsi="Palatino Linotype" w:cs="Palatino Linotype"/>
        </w:rPr>
        <w:t>epartamento de Recursos Humanos, manifestó</w:t>
      </w:r>
      <w:r w:rsidR="00407954" w:rsidRPr="00407954">
        <w:rPr>
          <w:rFonts w:ascii="Palatino Linotype" w:eastAsia="Palatino Linotype" w:hAnsi="Palatino Linotype" w:cs="Palatino Linotype"/>
        </w:rPr>
        <w:t xml:space="preserve"> el nombre completo del Titular de la Tesorería Municipal, </w:t>
      </w:r>
      <w:r w:rsidR="00407954">
        <w:rPr>
          <w:rFonts w:ascii="Palatino Linotype" w:eastAsia="Palatino Linotype" w:hAnsi="Palatino Linotype" w:cs="Palatino Linotype"/>
        </w:rPr>
        <w:t xml:space="preserve">asimismo adjuntó </w:t>
      </w:r>
      <w:r w:rsidR="00407954" w:rsidRPr="00407954">
        <w:rPr>
          <w:rFonts w:ascii="Palatino Linotype" w:eastAsia="Palatino Linotype" w:hAnsi="Palatino Linotype" w:cs="Palatino Linotype"/>
        </w:rPr>
        <w:t xml:space="preserve">su ultimo grado de estudios, los documentos que integran su </w:t>
      </w:r>
      <w:proofErr w:type="spellStart"/>
      <w:r w:rsidR="00407954" w:rsidRPr="00407954">
        <w:rPr>
          <w:rFonts w:ascii="Palatino Linotype" w:eastAsia="Palatino Linotype" w:hAnsi="Palatino Linotype" w:cs="Palatino Linotype"/>
        </w:rPr>
        <w:t>curriculum</w:t>
      </w:r>
      <w:proofErr w:type="spellEnd"/>
      <w:r w:rsidR="00407954" w:rsidRPr="00407954">
        <w:rPr>
          <w:rFonts w:ascii="Palatino Linotype" w:eastAsia="Palatino Linotype" w:hAnsi="Palatino Linotype" w:cs="Palatino Linotype"/>
        </w:rPr>
        <w:t xml:space="preserve"> vitae y manifiesta incompetencia para entregar los recibos de nómina por lo que solicita dirigir la solicitud al área correspondiente.</w:t>
      </w:r>
      <w:r w:rsidR="00407954">
        <w:rPr>
          <w:rFonts w:ascii="Palatino Linotype" w:eastAsia="Palatino Linotype" w:hAnsi="Palatino Linotype" w:cs="Palatino Linotype"/>
        </w:rPr>
        <w:t xml:space="preserve"> </w:t>
      </w:r>
      <w:r>
        <w:rPr>
          <w:rFonts w:ascii="Palatino Linotype" w:eastAsia="Palatino Linotype" w:hAnsi="Palatino Linotype" w:cs="Palatino Linotype"/>
        </w:rPr>
        <w:t xml:space="preserve">Una vez conocida esta respuesta, el </w:t>
      </w:r>
      <w:r w:rsidR="003E0BFE">
        <w:rPr>
          <w:rFonts w:ascii="Palatino Linotype" w:eastAsia="Palatino Linotype" w:hAnsi="Palatino Linotype" w:cs="Palatino Linotype"/>
        </w:rPr>
        <w:t>P</w:t>
      </w:r>
      <w:r>
        <w:rPr>
          <w:rFonts w:ascii="Palatino Linotype" w:eastAsia="Palatino Linotype" w:hAnsi="Palatino Linotype" w:cs="Palatino Linotype"/>
        </w:rPr>
        <w:t xml:space="preserve">articular se </w:t>
      </w:r>
      <w:r>
        <w:rPr>
          <w:rFonts w:ascii="Palatino Linotype" w:eastAsia="Palatino Linotype" w:hAnsi="Palatino Linotype" w:cs="Palatino Linotype"/>
        </w:rPr>
        <w:lastRenderedPageBreak/>
        <w:t xml:space="preserve">inconformó porque a su consideración, la información se encontraba incompleta toda vez que </w:t>
      </w:r>
      <w:r w:rsidR="00407954">
        <w:rPr>
          <w:rFonts w:ascii="Palatino Linotype" w:eastAsia="Palatino Linotype" w:hAnsi="Palatino Linotype" w:cs="Palatino Linotype"/>
        </w:rPr>
        <w:t>no se le hizo entrega del recibo de nómina.</w:t>
      </w:r>
    </w:p>
    <w:p w14:paraId="1CC0CBA6" w14:textId="77777777" w:rsidR="002C3707" w:rsidRDefault="002C3707">
      <w:pPr>
        <w:spacing w:after="0" w:line="360" w:lineRule="auto"/>
        <w:jc w:val="both"/>
        <w:rPr>
          <w:rFonts w:ascii="Palatino Linotype" w:eastAsia="Palatino Linotype" w:hAnsi="Palatino Linotype" w:cs="Palatino Linotype"/>
        </w:rPr>
      </w:pPr>
    </w:p>
    <w:p w14:paraId="2B5164D7" w14:textId="42ECEC47" w:rsidR="002C3707" w:rsidRPr="003E0BFE" w:rsidRDefault="004D0CDE" w:rsidP="004D0CD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un análisis exhaustivo, este Instituto determinó que le asistía la razón a</w:t>
      </w:r>
      <w:r w:rsidR="003E0BFE">
        <w:rPr>
          <w:rFonts w:ascii="Palatino Linotype" w:eastAsia="Palatino Linotype" w:hAnsi="Palatino Linotype" w:cs="Palatino Linotype"/>
        </w:rPr>
        <w:t xml:space="preserve"> la persona Recurrente</w:t>
      </w:r>
      <w:r>
        <w:rPr>
          <w:rFonts w:ascii="Palatino Linotype" w:eastAsia="Palatino Linotype" w:hAnsi="Palatino Linotype" w:cs="Palatino Linotype"/>
        </w:rPr>
        <w:t xml:space="preserve">, por lo que </w:t>
      </w:r>
      <w:r w:rsidR="003E0BFE">
        <w:rPr>
          <w:rFonts w:ascii="Palatino Linotype" w:eastAsia="Palatino Linotype" w:hAnsi="Palatino Linotype" w:cs="Palatino Linotype"/>
        </w:rPr>
        <w:t>arribó</w:t>
      </w:r>
      <w:r>
        <w:rPr>
          <w:rFonts w:ascii="Palatino Linotype" w:eastAsia="Palatino Linotype" w:hAnsi="Palatino Linotype" w:cs="Palatino Linotype"/>
        </w:rPr>
        <w:t xml:space="preserve"> a la conclusión de </w:t>
      </w:r>
      <w:r w:rsidR="003E0BFE">
        <w:rPr>
          <w:rFonts w:ascii="Palatino Linotype" w:eastAsia="Palatino Linotype" w:hAnsi="Palatino Linotype" w:cs="Palatino Linotype"/>
        </w:rPr>
        <w:t>modificar</w:t>
      </w:r>
      <w:r>
        <w:rPr>
          <w:rFonts w:ascii="Palatino Linotype" w:eastAsia="Palatino Linotype" w:hAnsi="Palatino Linotype" w:cs="Palatino Linotype"/>
        </w:rPr>
        <w:t xml:space="preserve"> la re</w:t>
      </w:r>
      <w:r w:rsidR="00407954">
        <w:rPr>
          <w:rFonts w:ascii="Palatino Linotype" w:eastAsia="Palatino Linotype" w:hAnsi="Palatino Linotype" w:cs="Palatino Linotype"/>
        </w:rPr>
        <w:t>spuesta y ordenar la entrega del r</w:t>
      </w:r>
      <w:r w:rsidR="00407954" w:rsidRPr="00407954">
        <w:rPr>
          <w:rFonts w:ascii="Palatino Linotype" w:eastAsia="Palatino Linotype" w:hAnsi="Palatino Linotype" w:cs="Palatino Linotype"/>
          <w:b/>
        </w:rPr>
        <w:t>ecibo de nómina del Titular de la Tesorería Municipal de la primera quincena de febrero de dos mil veinticinco.</w:t>
      </w:r>
    </w:p>
    <w:p w14:paraId="6C965528" w14:textId="77777777" w:rsidR="004D0CDE" w:rsidRDefault="004D0CDE">
      <w:pPr>
        <w:spacing w:after="0" w:line="360" w:lineRule="auto"/>
        <w:jc w:val="both"/>
        <w:rPr>
          <w:rFonts w:ascii="Palatino Linotype" w:eastAsia="Palatino Linotype" w:hAnsi="Palatino Linotype" w:cs="Palatino Linotype"/>
        </w:rPr>
      </w:pPr>
    </w:p>
    <w:p w14:paraId="5E4DE38E" w14:textId="4221A7F7" w:rsidR="004D0CDE" w:rsidRPr="004D0CDE" w:rsidRDefault="004D0CDE" w:rsidP="004D0CDE">
      <w:pPr>
        <w:spacing w:after="0" w:line="360" w:lineRule="auto"/>
        <w:jc w:val="both"/>
        <w:rPr>
          <w:rFonts w:ascii="Palatino Linotype" w:eastAsia="Palatino Linotype" w:hAnsi="Palatino Linotype" w:cs="Palatino Linotype"/>
          <w:color w:val="FF0000"/>
        </w:rPr>
      </w:pPr>
      <w:r w:rsidRPr="004D0CDE">
        <w:rPr>
          <w:rFonts w:ascii="Palatino Linotype" w:eastAsia="Palatino Linotype" w:hAnsi="Palatino Linotype" w:cs="Palatino Linotype"/>
          <w:color w:val="000000"/>
        </w:rPr>
        <w:t xml:space="preserve">Con base en el expediente, se realizó el análisis de los datos no clasificados y de la información faltante, por lo que se invocó la figura jurídica de actos consentidos. </w:t>
      </w:r>
      <w:r w:rsidRPr="004D0CDE">
        <w:rPr>
          <w:rFonts w:ascii="Palatino Linotype" w:eastAsia="Palatino Linotype" w:hAnsi="Palatino Linotype" w:cs="Palatino Linotype"/>
        </w:rPr>
        <w:t xml:space="preserve">A partir de tales actuaciones, se consideró procedente dar vista a la Dirección General de Protección de Datos Personales </w:t>
      </w:r>
      <w:r>
        <w:rPr>
          <w:rFonts w:ascii="Palatino Linotype" w:eastAsia="Palatino Linotype" w:hAnsi="Palatino Linotype" w:cs="Palatino Linotype"/>
        </w:rPr>
        <w:t>al haberse dado a conocer</w:t>
      </w:r>
      <w:r w:rsidRPr="004D0CDE">
        <w:rPr>
          <w:rFonts w:ascii="Palatino Linotype" w:eastAsia="Palatino Linotype" w:hAnsi="Palatino Linotype" w:cs="Palatino Linotype"/>
        </w:rPr>
        <w:t xml:space="preserve"> información que se considera como </w:t>
      </w:r>
      <w:r>
        <w:rPr>
          <w:rFonts w:ascii="Palatino Linotype" w:eastAsia="Palatino Linotype" w:hAnsi="Palatino Linotype" w:cs="Palatino Linotype"/>
        </w:rPr>
        <w:t>confidencial</w:t>
      </w:r>
      <w:r w:rsidR="003E0BFE">
        <w:rPr>
          <w:rFonts w:ascii="Palatino Linotype" w:eastAsia="Palatino Linotype" w:hAnsi="Palatino Linotype" w:cs="Palatino Linotype"/>
          <w:color w:val="000000"/>
        </w:rPr>
        <w:t>;</w:t>
      </w:r>
      <w:r w:rsidRPr="004D0CDE">
        <w:rPr>
          <w:rFonts w:ascii="Palatino Linotype" w:eastAsia="Palatino Linotype" w:hAnsi="Palatino Linotype" w:cs="Palatino Linotype"/>
          <w:color w:val="000000"/>
        </w:rPr>
        <w:t xml:space="preserve"> sin embargo, dichas documentales no formaron parte del análisis de la resolución. </w:t>
      </w:r>
    </w:p>
    <w:p w14:paraId="6D1F9A85"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7077DBA5" w14:textId="77777777" w:rsidR="004D0CDE" w:rsidRPr="004D0CDE" w:rsidRDefault="004D0CDE" w:rsidP="004D0CDE">
      <w:pPr>
        <w:spacing w:after="0" w:line="360" w:lineRule="auto"/>
        <w:jc w:val="both"/>
        <w:rPr>
          <w:rFonts w:ascii="Palatino Linotype" w:eastAsia="Palatino Linotype" w:hAnsi="Palatino Linotype" w:cs="Palatino Linotype"/>
          <w:color w:val="FF0000"/>
        </w:rPr>
      </w:pPr>
      <w:r w:rsidRPr="004D0CDE">
        <w:rPr>
          <w:rFonts w:ascii="Palatino Linotype" w:eastAsia="Palatino Linotype" w:hAnsi="Palatino Linotype" w:cs="Palatino Linotype"/>
        </w:rPr>
        <w:t xml:space="preserve">Al respecto, es preciso mencionar que, si bien se comparte el sentido de la Resolución emitida en virtud de que procede ordenar la información faltante, no coincidimos en el sentido de dar vista a la </w:t>
      </w:r>
      <w:r>
        <w:rPr>
          <w:rFonts w:ascii="Palatino Linotype" w:eastAsia="Palatino Linotype" w:hAnsi="Palatino Linotype" w:cs="Palatino Linotype"/>
        </w:rPr>
        <w:t>Dirección General de Protección de Datos Personales</w:t>
      </w:r>
      <w:r w:rsidRPr="004D0CDE">
        <w:rPr>
          <w:rFonts w:ascii="Palatino Linotype" w:eastAsia="Palatino Linotype" w:hAnsi="Palatino Linotype" w:cs="Palatino Linotype"/>
        </w:rPr>
        <w:t xml:space="preserve"> de este Instituto, </w:t>
      </w:r>
      <w:r>
        <w:rPr>
          <w:rFonts w:ascii="Palatino Linotype" w:eastAsia="Palatino Linotype" w:hAnsi="Palatino Linotype" w:cs="Palatino Linotype"/>
        </w:rPr>
        <w:t>ello en razón</w:t>
      </w:r>
      <w:r w:rsidRPr="004D0CDE">
        <w:rPr>
          <w:rFonts w:ascii="Palatino Linotype" w:eastAsia="Palatino Linotype" w:hAnsi="Palatino Linotype" w:cs="Palatino Linotype"/>
        </w:rPr>
        <w:t xml:space="preserve"> de que los documentos por los cuales se da la vista </w:t>
      </w:r>
      <w:r w:rsidRPr="004D0CDE">
        <w:rPr>
          <w:rFonts w:ascii="Palatino Linotype" w:eastAsia="Palatino Linotype" w:hAnsi="Palatino Linotype" w:cs="Palatino Linotype"/>
          <w:color w:val="000000"/>
        </w:rPr>
        <w:t>no fueron impugnados, ni formaron parte del estudio.</w:t>
      </w:r>
    </w:p>
    <w:p w14:paraId="4132488B"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4115E339" w14:textId="77777777" w:rsidR="004D0CDE" w:rsidRPr="004D0CDE" w:rsidRDefault="004D0CDE" w:rsidP="004D0CDE">
      <w:pPr>
        <w:tabs>
          <w:tab w:val="left" w:pos="0"/>
        </w:tabs>
        <w:spacing w:after="0" w:line="360" w:lineRule="auto"/>
        <w:ind w:right="49"/>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w:t>
      </w:r>
      <w:r w:rsidRPr="004D0CDE">
        <w:rPr>
          <w:rFonts w:ascii="Palatino Linotype" w:eastAsia="Palatino Linotype" w:hAnsi="Palatino Linotype" w:cs="Palatino Linotype"/>
        </w:rPr>
        <w:lastRenderedPageBreak/>
        <w:t>de acceso a la información pública en posesión de los sujetos obligados, del mismo modo precisa que este Instituto es un Organismo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7FBADCAB" w14:textId="77777777" w:rsidR="004D0CDE" w:rsidRPr="004D0CDE" w:rsidRDefault="004D0CDE" w:rsidP="004D0CDE">
      <w:pPr>
        <w:tabs>
          <w:tab w:val="left" w:pos="0"/>
        </w:tabs>
        <w:spacing w:after="0" w:line="360" w:lineRule="auto"/>
        <w:ind w:right="49"/>
        <w:jc w:val="both"/>
        <w:rPr>
          <w:rFonts w:ascii="Palatino Linotype" w:eastAsia="Palatino Linotype" w:hAnsi="Palatino Linotype" w:cs="Palatino Linotype"/>
        </w:rPr>
      </w:pPr>
      <w:bookmarkStart w:id="1" w:name="_heading=h.gjdgxs" w:colFirst="0" w:colLast="0"/>
      <w:bookmarkEnd w:id="1"/>
    </w:p>
    <w:p w14:paraId="3EB07997" w14:textId="77777777" w:rsidR="004D0CDE" w:rsidRPr="004D0CDE" w:rsidRDefault="004D0CDE" w:rsidP="004D0CDE">
      <w:pPr>
        <w:shd w:val="clear" w:color="auto" w:fill="FFFFFF"/>
        <w:spacing w:after="0" w:line="360" w:lineRule="auto"/>
        <w:ind w:right="49"/>
        <w:jc w:val="both"/>
        <w:rPr>
          <w:rFonts w:ascii="Palatino Linotype" w:eastAsia="Palatino Linotype" w:hAnsi="Palatino Linotype" w:cs="Palatino Linotype"/>
        </w:rPr>
      </w:pPr>
      <w:r w:rsidRPr="004D0CDE">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Órgano Garante pueden:</w:t>
      </w:r>
    </w:p>
    <w:p w14:paraId="13357E3C" w14:textId="77777777" w:rsidR="004D0CDE" w:rsidRPr="004D0CDE" w:rsidRDefault="004D0CDE" w:rsidP="004D0CDE">
      <w:pPr>
        <w:shd w:val="clear" w:color="auto" w:fill="FFFFFF"/>
        <w:spacing w:after="0" w:line="360" w:lineRule="auto"/>
        <w:ind w:right="49"/>
        <w:jc w:val="both"/>
        <w:rPr>
          <w:rFonts w:ascii="Palatino Linotype" w:eastAsia="Palatino Linotype" w:hAnsi="Palatino Linotype" w:cs="Palatino Linotype"/>
        </w:rPr>
      </w:pPr>
      <w:bookmarkStart w:id="2" w:name="_heading=h.30j0zll" w:colFirst="0" w:colLast="0"/>
      <w:bookmarkEnd w:id="2"/>
    </w:p>
    <w:p w14:paraId="06387840" w14:textId="77777777" w:rsidR="004D0CDE" w:rsidRPr="004D0CDE" w:rsidRDefault="004D0CDE" w:rsidP="004D0CDE">
      <w:pPr>
        <w:numPr>
          <w:ilvl w:val="0"/>
          <w:numId w:val="2"/>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Desechar o sobreseer el recurso</w:t>
      </w:r>
    </w:p>
    <w:p w14:paraId="3F69E86C" w14:textId="77777777" w:rsidR="004D0CDE" w:rsidRPr="004D0CDE" w:rsidRDefault="004D0CDE" w:rsidP="004D0CDE">
      <w:pPr>
        <w:numPr>
          <w:ilvl w:val="0"/>
          <w:numId w:val="2"/>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Confirma la respuesta del sujeto obligado</w:t>
      </w:r>
    </w:p>
    <w:p w14:paraId="5D064169" w14:textId="77777777" w:rsidR="004D0CDE" w:rsidRPr="004D0CDE" w:rsidRDefault="004D0CDE" w:rsidP="004D0CDE">
      <w:pPr>
        <w:numPr>
          <w:ilvl w:val="0"/>
          <w:numId w:val="2"/>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Revocar o modificar la respuesta del sujeto obligado; y </w:t>
      </w:r>
    </w:p>
    <w:p w14:paraId="5408529A" w14:textId="77777777" w:rsidR="004D0CDE" w:rsidRPr="004D0CDE" w:rsidRDefault="004D0CDE" w:rsidP="004D0CDE">
      <w:pPr>
        <w:numPr>
          <w:ilvl w:val="0"/>
          <w:numId w:val="2"/>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Ordenar la entrega de la información</w:t>
      </w:r>
    </w:p>
    <w:p w14:paraId="5E55C8A4" w14:textId="77777777" w:rsidR="004D0CDE" w:rsidRPr="004D0CDE" w:rsidRDefault="004D0CDE" w:rsidP="004D0CDE">
      <w:pPr>
        <w:spacing w:after="0" w:line="360" w:lineRule="auto"/>
        <w:ind w:left="720"/>
        <w:jc w:val="both"/>
        <w:rPr>
          <w:rFonts w:ascii="Palatino Linotype" w:eastAsia="Palatino Linotype" w:hAnsi="Palatino Linotype" w:cs="Palatino Linotype"/>
        </w:rPr>
      </w:pPr>
    </w:p>
    <w:p w14:paraId="1BFF2E98"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Cabe agregar que las resoluciones que pronuncie este Instituto deben contener cuatro aspectos importantes:</w:t>
      </w:r>
    </w:p>
    <w:p w14:paraId="27AB5017" w14:textId="77777777" w:rsidR="004D0CDE" w:rsidRPr="004D0CDE" w:rsidRDefault="004D0CDE" w:rsidP="004D0CDE">
      <w:pPr>
        <w:numPr>
          <w:ilvl w:val="0"/>
          <w:numId w:val="3"/>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Lugar, fecha, el nombre del recurrente y del tercero interesado en su caso, sujeto obligado y un extracto de los hechos cuestionados;</w:t>
      </w:r>
    </w:p>
    <w:p w14:paraId="722C5825" w14:textId="77777777" w:rsidR="004D0CDE" w:rsidRPr="004D0CDE" w:rsidRDefault="004D0CDE" w:rsidP="004D0CDE">
      <w:pPr>
        <w:spacing w:after="0" w:line="360" w:lineRule="auto"/>
        <w:ind w:left="720"/>
        <w:jc w:val="both"/>
        <w:rPr>
          <w:rFonts w:ascii="Palatino Linotype" w:eastAsia="Palatino Linotype" w:hAnsi="Palatino Linotype" w:cs="Palatino Linotype"/>
          <w:sz w:val="10"/>
          <w:szCs w:val="10"/>
        </w:rPr>
      </w:pPr>
    </w:p>
    <w:p w14:paraId="2A3E82D2" w14:textId="77777777" w:rsidR="004D0CDE" w:rsidRPr="004D0CDE" w:rsidRDefault="004D0CDE" w:rsidP="004D0CDE">
      <w:pPr>
        <w:numPr>
          <w:ilvl w:val="0"/>
          <w:numId w:val="3"/>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Los preceptos en que se fundamenten y las consideraciones que las sustenten;</w:t>
      </w:r>
    </w:p>
    <w:p w14:paraId="3B2D8409" w14:textId="77777777" w:rsidR="004D0CDE" w:rsidRPr="004D0CDE" w:rsidRDefault="004D0CDE" w:rsidP="004D0CDE">
      <w:pPr>
        <w:spacing w:after="0" w:line="360" w:lineRule="auto"/>
        <w:ind w:left="720"/>
        <w:jc w:val="both"/>
        <w:rPr>
          <w:rFonts w:ascii="Palatino Linotype" w:eastAsia="Palatino Linotype" w:hAnsi="Palatino Linotype" w:cs="Palatino Linotype"/>
          <w:sz w:val="10"/>
          <w:szCs w:val="10"/>
        </w:rPr>
      </w:pPr>
    </w:p>
    <w:p w14:paraId="5C2F2DA0" w14:textId="77777777" w:rsidR="004D0CDE" w:rsidRPr="004D0CDE" w:rsidRDefault="004D0CDE" w:rsidP="004D0CDE">
      <w:pPr>
        <w:numPr>
          <w:ilvl w:val="0"/>
          <w:numId w:val="3"/>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Los alcances y efectos de la resolución, fijando con precisión, en su caso, los sujetos y órganos obligados a cumplirla; y </w:t>
      </w:r>
    </w:p>
    <w:p w14:paraId="18F64398" w14:textId="77777777" w:rsidR="004D0CDE" w:rsidRPr="004D0CDE" w:rsidRDefault="004D0CDE" w:rsidP="004D0CDE">
      <w:pPr>
        <w:numPr>
          <w:ilvl w:val="0"/>
          <w:numId w:val="3"/>
        </w:num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lastRenderedPageBreak/>
        <w:t>Los puntos resolutivos.</w:t>
      </w:r>
    </w:p>
    <w:p w14:paraId="3A8BEA59"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24AA20CA"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2DB8B1A9"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218476CA"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71CDE76A" w14:textId="77777777" w:rsidR="004D0CDE" w:rsidRPr="004D0CDE" w:rsidRDefault="004D0CDE" w:rsidP="004D0CDE">
      <w:pPr>
        <w:spacing w:after="0" w:line="276" w:lineRule="auto"/>
        <w:ind w:left="567" w:right="900" w:hanging="283"/>
        <w:jc w:val="both"/>
        <w:rPr>
          <w:rFonts w:ascii="Palatino Linotype" w:eastAsia="Palatino Linotype" w:hAnsi="Palatino Linotype" w:cs="Palatino Linotype"/>
          <w:i/>
          <w:sz w:val="10"/>
          <w:szCs w:val="10"/>
        </w:rPr>
      </w:pPr>
    </w:p>
    <w:p w14:paraId="0333CB04"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75001584" w14:textId="77777777" w:rsidR="004D0CDE" w:rsidRPr="004D0CDE" w:rsidRDefault="004D0CDE" w:rsidP="004D0CDE">
      <w:pPr>
        <w:spacing w:after="0" w:line="276" w:lineRule="auto"/>
        <w:ind w:left="567" w:right="900" w:hanging="283"/>
        <w:jc w:val="both"/>
        <w:rPr>
          <w:rFonts w:ascii="Palatino Linotype" w:eastAsia="Palatino Linotype" w:hAnsi="Palatino Linotype" w:cs="Palatino Linotype"/>
          <w:i/>
          <w:sz w:val="10"/>
          <w:szCs w:val="10"/>
        </w:rPr>
      </w:pPr>
    </w:p>
    <w:p w14:paraId="1F466A95"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6B73A9D2" w14:textId="77777777" w:rsidR="004D0CDE" w:rsidRPr="004D0CDE" w:rsidRDefault="004D0CDE" w:rsidP="004D0CDE">
      <w:pPr>
        <w:spacing w:after="0" w:line="276" w:lineRule="auto"/>
        <w:ind w:left="567" w:right="900" w:hanging="283"/>
        <w:jc w:val="both"/>
        <w:rPr>
          <w:rFonts w:ascii="Palatino Linotype" w:eastAsia="Palatino Linotype" w:hAnsi="Palatino Linotype" w:cs="Palatino Linotype"/>
          <w:i/>
          <w:sz w:val="10"/>
          <w:szCs w:val="10"/>
        </w:rPr>
      </w:pPr>
    </w:p>
    <w:p w14:paraId="4F46D95F"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i/>
        </w:rPr>
        <w:t>Ordenar a los sujetos obligados la ejecutoría en la entrega de información en términos de la presente Ley;</w:t>
      </w:r>
    </w:p>
    <w:p w14:paraId="6C0DE38E" w14:textId="77777777" w:rsidR="004D0CDE" w:rsidRPr="004D0CDE" w:rsidRDefault="004D0CDE" w:rsidP="004D0CDE">
      <w:pPr>
        <w:spacing w:after="0" w:line="276" w:lineRule="auto"/>
        <w:ind w:left="567" w:right="900" w:hanging="283"/>
        <w:jc w:val="both"/>
        <w:rPr>
          <w:rFonts w:ascii="Palatino Linotype" w:eastAsia="Palatino Linotype" w:hAnsi="Palatino Linotype" w:cs="Palatino Linotype"/>
          <w:i/>
          <w:sz w:val="10"/>
          <w:szCs w:val="10"/>
        </w:rPr>
      </w:pPr>
    </w:p>
    <w:p w14:paraId="6BDFBAD1"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i/>
        </w:rPr>
        <w:t>Imponer las medidas de apremio para asegurar el cumplimiento de sus determinaciones;</w:t>
      </w:r>
    </w:p>
    <w:p w14:paraId="010EC410" w14:textId="77777777" w:rsidR="004D0CDE" w:rsidRPr="004D0CDE" w:rsidRDefault="004D0CDE" w:rsidP="004D0CDE">
      <w:pPr>
        <w:spacing w:after="0" w:line="276" w:lineRule="auto"/>
        <w:ind w:left="567" w:right="900" w:hanging="283"/>
        <w:jc w:val="both"/>
        <w:rPr>
          <w:rFonts w:ascii="Palatino Linotype" w:eastAsia="Palatino Linotype" w:hAnsi="Palatino Linotype" w:cs="Palatino Linotype"/>
          <w:i/>
          <w:sz w:val="10"/>
          <w:szCs w:val="10"/>
        </w:rPr>
      </w:pPr>
    </w:p>
    <w:p w14:paraId="2E844F17" w14:textId="77777777" w:rsidR="004D0CDE" w:rsidRPr="004D0CDE" w:rsidRDefault="004D0CDE" w:rsidP="004D0CDE">
      <w:pPr>
        <w:numPr>
          <w:ilvl w:val="0"/>
          <w:numId w:val="4"/>
        </w:numPr>
        <w:spacing w:after="0" w:line="276" w:lineRule="auto"/>
        <w:ind w:left="567" w:right="900" w:hanging="283"/>
        <w:jc w:val="both"/>
        <w:rPr>
          <w:rFonts w:ascii="Palatino Linotype" w:eastAsia="Palatino Linotype" w:hAnsi="Palatino Linotype" w:cs="Palatino Linotype"/>
          <w:i/>
        </w:rPr>
      </w:pPr>
      <w:r w:rsidRPr="004D0CDE">
        <w:rPr>
          <w:rFonts w:ascii="Palatino Linotype" w:eastAsia="Palatino Linotype" w:hAnsi="Palatino Linotype" w:cs="Palatino Linotype"/>
          <w:b/>
          <w:i/>
          <w:u w:val="single"/>
        </w:rPr>
        <w:t>Hacer del conocimiento de la instancia competente la probable responsabilidad por el incumplimiento de las obligaciones</w:t>
      </w:r>
      <w:r w:rsidRPr="004D0CDE">
        <w:rPr>
          <w:rFonts w:ascii="Palatino Linotype" w:eastAsia="Palatino Linotype" w:hAnsi="Palatino Linotype" w:cs="Palatino Linotype"/>
          <w:i/>
        </w:rPr>
        <w:t xml:space="preserve"> previstas en la Ley y en las demás disposiciones aplicable.  </w:t>
      </w:r>
    </w:p>
    <w:p w14:paraId="24DADE74"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7B94D6D9"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Establecido lo anterior, debe tomarse en cuenta que la vista a la Dirección General de Protección de Datos Personales de este Instituto, no debió incluirse en los resolutivos de la resolución referida, toda vez que, el Particular no se inconformó sobre de la información proporcionada en respuesta, es decir, no forma parte de la </w:t>
      </w:r>
      <w:proofErr w:type="spellStart"/>
      <w:r w:rsidRPr="004D0CDE">
        <w:rPr>
          <w:rFonts w:ascii="Palatino Linotype" w:eastAsia="Palatino Linotype" w:hAnsi="Palatino Linotype" w:cs="Palatino Linotype"/>
        </w:rPr>
        <w:t>litis</w:t>
      </w:r>
      <w:proofErr w:type="spellEnd"/>
      <w:r w:rsidRPr="004D0CDE">
        <w:rPr>
          <w:rFonts w:ascii="Palatino Linotype" w:eastAsia="Palatino Linotype" w:hAnsi="Palatino Linotype" w:cs="Palatino Linotype"/>
        </w:rPr>
        <w:t xml:space="preserve">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w:t>
      </w:r>
      <w:r w:rsidRPr="004D0CDE">
        <w:rPr>
          <w:rFonts w:ascii="Palatino Linotype" w:eastAsia="Palatino Linotype" w:hAnsi="Palatino Linotype" w:cs="Palatino Linotype"/>
        </w:rPr>
        <w:lastRenderedPageBreak/>
        <w:t xml:space="preserve">así en el presente asunto, la vista en mención debe realizarse y tramitarse por cuerda separada, en caso de advertirse que es necesario. </w:t>
      </w:r>
    </w:p>
    <w:p w14:paraId="18034F10"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51FCDD39"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sidRPr="004D0CDE">
        <w:rPr>
          <w:rFonts w:ascii="Palatino Linotype" w:eastAsia="Palatino Linotype" w:hAnsi="Palatino Linotype" w:cs="Palatino Linotype"/>
          <w:u w:val="single"/>
        </w:rPr>
        <w:t>será improcedente el recurso</w:t>
      </w:r>
      <w:r w:rsidRPr="004D0CDE">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6CBFA753"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0F831045"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 xml:space="preserve">De la misma manera resulta aplicable el criterio sostenido por el Poder Judicial de la Federación de rubro </w:t>
      </w:r>
      <w:r w:rsidRPr="004D0CDE">
        <w:rPr>
          <w:rFonts w:ascii="Palatino Linotype" w:eastAsia="Palatino Linotype" w:hAnsi="Palatino Linotype" w:cs="Palatino Linotype"/>
          <w:b/>
        </w:rPr>
        <w:t>ACTOS CONSENTIDOS TÁCITAMENTE</w:t>
      </w:r>
      <w:r w:rsidRPr="004D0CDE">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3213D6F2"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3E29DE60" w14:textId="77777777" w:rsidR="004D0CDE" w:rsidRPr="004D0CDE" w:rsidRDefault="004D0CDE" w:rsidP="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14:paraId="6744E842" w14:textId="77777777" w:rsidR="004D0CDE" w:rsidRPr="004D0CDE" w:rsidRDefault="004D0CDE" w:rsidP="004D0CDE">
      <w:pPr>
        <w:spacing w:after="0" w:line="360" w:lineRule="auto"/>
        <w:jc w:val="both"/>
        <w:rPr>
          <w:rFonts w:ascii="Palatino Linotype" w:eastAsia="Palatino Linotype" w:hAnsi="Palatino Linotype" w:cs="Palatino Linotype"/>
        </w:rPr>
      </w:pPr>
    </w:p>
    <w:p w14:paraId="598F0E95" w14:textId="77777777" w:rsidR="004D0CDE" w:rsidRDefault="004D0CDE">
      <w:pPr>
        <w:spacing w:after="0" w:line="360" w:lineRule="auto"/>
        <w:jc w:val="both"/>
        <w:rPr>
          <w:rFonts w:ascii="Palatino Linotype" w:eastAsia="Palatino Linotype" w:hAnsi="Palatino Linotype" w:cs="Palatino Linotype"/>
        </w:rPr>
      </w:pPr>
      <w:r w:rsidRPr="004D0CDE">
        <w:rPr>
          <w:rFonts w:ascii="Palatino Linotype" w:eastAsia="Palatino Linotype" w:hAnsi="Palatino Linotype" w:cs="Palatino Linotype"/>
        </w:rPr>
        <w:lastRenderedPageBreak/>
        <w:t xml:space="preserve">Lo anterior expone razones suficientes para la emisión y presentación del presente </w:t>
      </w:r>
      <w:r w:rsidRPr="004D0CDE">
        <w:rPr>
          <w:rFonts w:ascii="Palatino Linotype" w:eastAsia="Palatino Linotype" w:hAnsi="Palatino Linotype" w:cs="Palatino Linotype"/>
          <w:b/>
        </w:rPr>
        <w:t>Voto Particular Concurrente</w:t>
      </w:r>
      <w:r w:rsidRPr="004D0CDE">
        <w:rPr>
          <w:rFonts w:ascii="Palatino Linotype" w:eastAsia="Palatino Linotype" w:hAnsi="Palatino Linotype" w:cs="Palatino Linotype"/>
        </w:rPr>
        <w:t>, relacionado con la resolución del Recurso de Revisión referido. ----------------------------------------------------------------------------------------------------------------------------</w:t>
      </w:r>
    </w:p>
    <w:p w14:paraId="602F4577" w14:textId="77777777" w:rsidR="002C3707" w:rsidRDefault="004D0CD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p>
    <w:p w14:paraId="1088D02F" w14:textId="77777777" w:rsidR="002C3707" w:rsidRDefault="002C3707">
      <w:pPr>
        <w:spacing w:after="0" w:line="360" w:lineRule="auto"/>
        <w:jc w:val="both"/>
        <w:rPr>
          <w:rFonts w:ascii="Palatino Linotype" w:eastAsia="Palatino Linotype" w:hAnsi="Palatino Linotype" w:cs="Palatino Linotype"/>
        </w:rPr>
      </w:pPr>
    </w:p>
    <w:p w14:paraId="6BA74867" w14:textId="77777777" w:rsidR="002C3707" w:rsidRDefault="004D0CDE">
      <w:pPr>
        <w:spacing w:after="0"/>
        <w:rPr>
          <w:rFonts w:ascii="Palatino Linotype" w:eastAsia="Palatino Linotype" w:hAnsi="Palatino Linotype" w:cs="Palatino Linotype"/>
        </w:rPr>
      </w:pPr>
      <w:r>
        <w:br w:type="page"/>
      </w:r>
    </w:p>
    <w:sectPr w:rsidR="002C3707">
      <w:headerReference w:type="even" r:id="rId8"/>
      <w:headerReference w:type="default" r:id="rId9"/>
      <w:footerReference w:type="default" r:id="rId10"/>
      <w:headerReference w:type="first" r:id="rId11"/>
      <w:pgSz w:w="12240" w:h="15840"/>
      <w:pgMar w:top="1417" w:right="1701" w:bottom="1417" w:left="1701" w:header="56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F513" w14:textId="77777777" w:rsidR="00CA47F3" w:rsidRDefault="00CA47F3">
      <w:pPr>
        <w:spacing w:after="0" w:line="240" w:lineRule="auto"/>
      </w:pPr>
      <w:r>
        <w:separator/>
      </w:r>
    </w:p>
  </w:endnote>
  <w:endnote w:type="continuationSeparator" w:id="0">
    <w:p w14:paraId="43798166" w14:textId="77777777" w:rsidR="00CA47F3" w:rsidRDefault="00CA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985E" w14:textId="77777777" w:rsidR="002C3707" w:rsidRDefault="004D0CDE">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323A">
      <w:rPr>
        <w:b/>
        <w:noProof/>
        <w:color w:val="000000"/>
        <w:sz w:val="24"/>
        <w:szCs w:val="24"/>
      </w:rPr>
      <w:t>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323A">
      <w:rPr>
        <w:b/>
        <w:noProof/>
        <w:color w:val="000000"/>
        <w:sz w:val="24"/>
        <w:szCs w:val="24"/>
      </w:rPr>
      <w:t>7</w:t>
    </w:r>
    <w:r>
      <w:rPr>
        <w:b/>
        <w:color w:val="000000"/>
        <w:sz w:val="24"/>
        <w:szCs w:val="24"/>
      </w:rPr>
      <w:fldChar w:fldCharType="end"/>
    </w:r>
  </w:p>
  <w:p w14:paraId="7C42145A" w14:textId="77777777" w:rsidR="002C3707" w:rsidRDefault="002C370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4CDC" w14:textId="77777777" w:rsidR="00CA47F3" w:rsidRDefault="00CA47F3">
      <w:pPr>
        <w:spacing w:after="0" w:line="240" w:lineRule="auto"/>
      </w:pPr>
      <w:r>
        <w:separator/>
      </w:r>
    </w:p>
  </w:footnote>
  <w:footnote w:type="continuationSeparator" w:id="0">
    <w:p w14:paraId="07958AE4" w14:textId="77777777" w:rsidR="00CA47F3" w:rsidRDefault="00CA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5284" w14:textId="77777777" w:rsidR="002C3707" w:rsidRDefault="0035323A">
    <w:pPr>
      <w:pBdr>
        <w:top w:val="nil"/>
        <w:left w:val="nil"/>
        <w:bottom w:val="nil"/>
        <w:right w:val="nil"/>
        <w:between w:val="nil"/>
      </w:pBdr>
      <w:tabs>
        <w:tab w:val="center" w:pos="4252"/>
        <w:tab w:val="right" w:pos="8504"/>
      </w:tabs>
      <w:spacing w:after="0" w:line="240" w:lineRule="auto"/>
      <w:rPr>
        <w:color w:val="000000"/>
      </w:rPr>
    </w:pPr>
    <w:r>
      <w:rPr>
        <w:color w:val="000000"/>
      </w:rPr>
      <w:pict w14:anchorId="4E464CBD">
        <v:shapetype id="_x0000_m1028"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79FAD77B">
        <v:shape id="PowerPlusWaterMarkObject2" o:spid="_x0000_s1025" type="#_x0000_m1028" style="position:absolute;margin-left:0;margin-top:0;width:541.8pt;height:81.25pt;rotation:315;z-index:-251656704;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VOTO PARTICULAR"/>
          <v:handles>
            <v:h position="#0,bottomRight" xrange="6629,14971"/>
          </v:handles>
          <o:lock v:ext="edit" text="t" shapetyp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1933" w14:textId="77777777" w:rsidR="002C3707" w:rsidRDefault="002C3707">
    <w:pPr>
      <w:widowControl w:val="0"/>
      <w:pBdr>
        <w:top w:val="nil"/>
        <w:left w:val="nil"/>
        <w:bottom w:val="nil"/>
        <w:right w:val="nil"/>
        <w:between w:val="nil"/>
      </w:pBdr>
      <w:spacing w:after="0" w:line="276" w:lineRule="auto"/>
      <w:rPr>
        <w:color w:val="000000"/>
      </w:rPr>
    </w:pPr>
  </w:p>
  <w:tbl>
    <w:tblPr>
      <w:tblStyle w:val="a"/>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02"/>
      <w:gridCol w:w="5954"/>
    </w:tblGrid>
    <w:tr w:rsidR="002C3707" w14:paraId="0495D783" w14:textId="77777777">
      <w:trPr>
        <w:trHeight w:val="1843"/>
      </w:trPr>
      <w:tc>
        <w:tcPr>
          <w:tcW w:w="3402" w:type="dxa"/>
          <w:vAlign w:val="bottom"/>
        </w:tcPr>
        <w:p w14:paraId="2832A5A7" w14:textId="77777777" w:rsidR="002C3707" w:rsidRDefault="004D0CDE">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5680" behindDoc="0" locked="0" layoutInCell="1" hidden="0" allowOverlap="1" wp14:anchorId="27298E4F" wp14:editId="004533A9">
                <wp:simplePos x="0" y="0"/>
                <wp:positionH relativeFrom="column">
                  <wp:posOffset>-329564</wp:posOffset>
                </wp:positionH>
                <wp:positionV relativeFrom="paragraph">
                  <wp:posOffset>-861059</wp:posOffset>
                </wp:positionV>
                <wp:extent cx="1873250" cy="1126490"/>
                <wp:effectExtent l="0" t="0" r="0" b="0"/>
                <wp:wrapNone/>
                <wp:docPr id="7940883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3A09AF57" w14:textId="77777777" w:rsidR="002C3707" w:rsidRDefault="002C3707">
          <w:pPr>
            <w:pBdr>
              <w:top w:val="nil"/>
              <w:left w:val="nil"/>
              <w:bottom w:val="nil"/>
              <w:right w:val="nil"/>
              <w:between w:val="nil"/>
            </w:pBdr>
            <w:tabs>
              <w:tab w:val="center" w:pos="4252"/>
              <w:tab w:val="right" w:pos="8504"/>
              <w:tab w:val="center" w:pos="2614"/>
            </w:tabs>
            <w:ind w:left="-255"/>
            <w:rPr>
              <w:color w:val="000000"/>
            </w:rPr>
          </w:pPr>
        </w:p>
      </w:tc>
      <w:tc>
        <w:tcPr>
          <w:tcW w:w="5954" w:type="dxa"/>
          <w:vAlign w:val="center"/>
        </w:tcPr>
        <w:p w14:paraId="209874E0" w14:textId="77777777" w:rsidR="002C3707" w:rsidRDefault="004D0CDE" w:rsidP="001873EA">
          <w:pPr>
            <w:pBdr>
              <w:top w:val="nil"/>
              <w:left w:val="nil"/>
              <w:bottom w:val="nil"/>
              <w:right w:val="nil"/>
              <w:between w:val="nil"/>
            </w:pBdr>
            <w:tabs>
              <w:tab w:val="center" w:pos="4252"/>
              <w:tab w:val="right" w:pos="8504"/>
            </w:tabs>
            <w:ind w:left="-108" w:right="46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13C867CE" w14:textId="2BE156B0" w:rsidR="002C3707" w:rsidRDefault="004D0CDE" w:rsidP="001873EA">
          <w:pPr>
            <w:pBdr>
              <w:top w:val="nil"/>
              <w:left w:val="nil"/>
              <w:bottom w:val="nil"/>
              <w:right w:val="nil"/>
              <w:between w:val="nil"/>
            </w:pBdr>
            <w:tabs>
              <w:tab w:val="center" w:pos="4252"/>
              <w:tab w:val="right" w:pos="8504"/>
            </w:tabs>
            <w:ind w:left="-108" w:right="46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sidR="00407954" w:rsidRPr="00407954">
            <w:rPr>
              <w:rFonts w:ascii="Palatino Linotype" w:eastAsia="Palatino Linotype" w:hAnsi="Palatino Linotype" w:cs="Palatino Linotype"/>
              <w:color w:val="000000"/>
            </w:rPr>
            <w:t>01995/INFOEM/IP/RR/2025</w:t>
          </w:r>
        </w:p>
        <w:p w14:paraId="48640792" w14:textId="7AF9C07C" w:rsidR="002C3707" w:rsidRDefault="004D0CDE" w:rsidP="001873EA">
          <w:pPr>
            <w:pBdr>
              <w:top w:val="nil"/>
              <w:left w:val="nil"/>
              <w:bottom w:val="nil"/>
              <w:right w:val="nil"/>
              <w:between w:val="nil"/>
            </w:pBdr>
            <w:tabs>
              <w:tab w:val="center" w:pos="4252"/>
              <w:tab w:val="right" w:pos="8504"/>
            </w:tabs>
            <w:ind w:left="-108" w:right="46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407954" w:rsidRPr="00407954">
            <w:rPr>
              <w:rFonts w:ascii="Palatino Linotype" w:eastAsia="Palatino Linotype" w:hAnsi="Palatino Linotype" w:cs="Palatino Linotype"/>
              <w:color w:val="000000"/>
            </w:rPr>
            <w:t>Ayuntamiento de la Paz</w:t>
          </w:r>
        </w:p>
        <w:p w14:paraId="424504EB" w14:textId="4E049623" w:rsidR="002C3707" w:rsidRDefault="004D0CDE" w:rsidP="001873EA">
          <w:pPr>
            <w:pBdr>
              <w:top w:val="nil"/>
              <w:left w:val="nil"/>
              <w:bottom w:val="nil"/>
              <w:right w:val="nil"/>
              <w:between w:val="nil"/>
            </w:pBdr>
            <w:tabs>
              <w:tab w:val="center" w:pos="4252"/>
              <w:tab w:val="right" w:pos="8504"/>
            </w:tabs>
            <w:ind w:left="-108" w:right="46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sidR="00407954" w:rsidRPr="00407954">
            <w:rPr>
              <w:rFonts w:ascii="Palatino Linotype" w:eastAsia="Palatino Linotype" w:hAnsi="Palatino Linotype" w:cs="Palatino Linotype"/>
              <w:color w:val="000000"/>
            </w:rPr>
            <w:t>José Martínez Vilchis</w:t>
          </w:r>
        </w:p>
        <w:p w14:paraId="40833505" w14:textId="77777777" w:rsidR="003E0BFE" w:rsidRDefault="003E0BFE">
          <w:pPr>
            <w:pBdr>
              <w:top w:val="nil"/>
              <w:left w:val="nil"/>
              <w:bottom w:val="nil"/>
              <w:right w:val="nil"/>
              <w:between w:val="nil"/>
            </w:pBdr>
            <w:tabs>
              <w:tab w:val="center" w:pos="4252"/>
              <w:tab w:val="right" w:pos="8504"/>
            </w:tabs>
            <w:ind w:left="-108" w:right="181"/>
            <w:jc w:val="both"/>
            <w:rPr>
              <w:rFonts w:ascii="Palatino Linotype" w:eastAsia="Palatino Linotype" w:hAnsi="Palatino Linotype" w:cs="Palatino Linotype"/>
              <w:color w:val="000000"/>
            </w:rPr>
          </w:pPr>
        </w:p>
      </w:tc>
    </w:tr>
  </w:tbl>
  <w:p w14:paraId="03797624" w14:textId="77777777" w:rsidR="002C3707" w:rsidRDefault="002C3707">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E5C2B" w14:textId="77777777" w:rsidR="002C3707" w:rsidRDefault="0035323A">
    <w:pPr>
      <w:pBdr>
        <w:top w:val="nil"/>
        <w:left w:val="nil"/>
        <w:bottom w:val="nil"/>
        <w:right w:val="nil"/>
        <w:between w:val="nil"/>
      </w:pBdr>
      <w:tabs>
        <w:tab w:val="center" w:pos="4252"/>
        <w:tab w:val="right" w:pos="8504"/>
      </w:tabs>
      <w:spacing w:after="0" w:line="240" w:lineRule="auto"/>
      <w:rPr>
        <w:color w:val="000000"/>
      </w:rPr>
    </w:pPr>
    <w:r>
      <w:rPr>
        <w:color w:val="000000"/>
      </w:rPr>
      <w:pict w14:anchorId="79DB8E64">
        <v:shapetype id="_x0000_m102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76F294C7">
        <v:shape id="PowerPlusWaterMarkObject1" o:spid="_x0000_s1026" type="#_x0000_m1027" style="position:absolute;margin-left:0;margin-top:0;width:541.8pt;height:81.25pt;rotation:315;z-index:-251657728;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VOTO PARTICULAR"/>
          <v:handles>
            <v:h position="#0,bottomRight" xrange="6629,14971"/>
          </v:handles>
          <o:lock v:ext="edit" text="t" shapetyp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0E4"/>
    <w:multiLevelType w:val="multilevel"/>
    <w:tmpl w:val="256AB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D30EAA"/>
    <w:multiLevelType w:val="multilevel"/>
    <w:tmpl w:val="6798C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5F249B"/>
    <w:multiLevelType w:val="multilevel"/>
    <w:tmpl w:val="3432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656BDA"/>
    <w:multiLevelType w:val="multilevel"/>
    <w:tmpl w:val="A6E08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07"/>
    <w:rsid w:val="001873EA"/>
    <w:rsid w:val="001E3F80"/>
    <w:rsid w:val="002C3707"/>
    <w:rsid w:val="0035323A"/>
    <w:rsid w:val="003E0BFE"/>
    <w:rsid w:val="00407954"/>
    <w:rsid w:val="004D0CDE"/>
    <w:rsid w:val="006B20A5"/>
    <w:rsid w:val="007705D1"/>
    <w:rsid w:val="00845FDD"/>
    <w:rsid w:val="00B85EDE"/>
    <w:rsid w:val="00CA4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1EF8EF8"/>
  <w15:docId w15:val="{D1E736F1-8D9B-4E3B-9504-F6FBB38B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GJ/L1mSromG1VSZSSDo/Hcy3A==">CgMxLjAyDmguYzVuejBzNDZscDQyOAByITFTUXRiR0c0Mmt1dTEyeDFMZFczMThkTEpfcFpPVmIxMw==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INFOEM517</cp:lastModifiedBy>
  <cp:revision>3</cp:revision>
  <cp:lastPrinted>2025-04-21T17:15:00Z</cp:lastPrinted>
  <dcterms:created xsi:type="dcterms:W3CDTF">2025-04-15T03:35:00Z</dcterms:created>
  <dcterms:modified xsi:type="dcterms:W3CDTF">2025-04-21T17:15:00Z</dcterms:modified>
</cp:coreProperties>
</file>