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right="51"/>
        <w:jc w:val="both"/>
        <w:rPr>
          <w:rFonts w:ascii="Palatino Linotype" w:cs="Palatino Linotype" w:eastAsia="Palatino Linotype" w:hAnsi="Palatino Linotype"/>
          <w:b w:val="1"/>
          <w:color w:val="000000"/>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OCTAVA SESIÓN ORDINARIA DEL SEIS DE MARZO DE DOS MIL VEINTICINCO EN EL RECURSO DE REVISIÓN </w:t>
      </w:r>
      <w:r w:rsidDel="00000000" w:rsidR="00000000" w:rsidRPr="00000000">
        <w:rPr>
          <w:rFonts w:ascii="Palatino Linotype" w:cs="Palatino Linotype" w:eastAsia="Palatino Linotype" w:hAnsi="Palatino Linotype"/>
          <w:b w:val="1"/>
          <w:color w:val="000000"/>
          <w:rtl w:val="0"/>
        </w:rPr>
        <w:t xml:space="preserve">00370/INFOEM/IP/RR/2025.</w:t>
      </w:r>
    </w:p>
    <w:p w:rsidR="00000000" w:rsidDel="00000000" w:rsidP="00000000" w:rsidRDefault="00000000" w:rsidRPr="00000000" w14:paraId="0000000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al Recurso de Revisión </w:t>
      </w:r>
      <w:r w:rsidDel="00000000" w:rsidR="00000000" w:rsidRPr="00000000">
        <w:rPr>
          <w:rFonts w:ascii="Palatino Linotype" w:cs="Palatino Linotype" w:eastAsia="Palatino Linotype" w:hAnsi="Palatino Linotype"/>
          <w:b w:val="1"/>
          <w:rtl w:val="0"/>
        </w:rPr>
        <w:t xml:space="preserve">00370/INFOEM/IP/RR/2025,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3">
      <w:pPr>
        <w:spacing w:after="120" w:before="12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es preciso señalar que se comparte el sentido de la resolución, ya que del análisis de las constancias que conforman el expediente electrónico, se desprendió que la información entregada por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en atención al medio de impugnación por el que se formula el presente voto, es susceptible de transparentarse pues se encuentra relacionada con la gestión pública y con su publicidad se favorece indudablemente a la rendición de cuentas.</w:t>
      </w:r>
    </w:p>
    <w:p w:rsidR="00000000" w:rsidDel="00000000" w:rsidP="00000000" w:rsidRDefault="00000000" w:rsidRPr="00000000" w14:paraId="00000004">
      <w:pPr>
        <w:spacing w:after="120" w:before="12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000000" w:rsidDel="00000000" w:rsidP="00000000" w:rsidRDefault="00000000" w:rsidRPr="00000000" w14:paraId="00000005">
      <w:pPr>
        <w:spacing w:after="120" w:before="12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en la resolución se consideró lo siguiente: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bookmarkStart w:colFirst="0" w:colLast="0" w:name="_heading=h.seznk0v3kwdp" w:id="1"/>
      <w:bookmarkEnd w:id="1"/>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Fotografía:</w:t>
      </w: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902"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bookmarkStart w:colFirst="0" w:colLast="0" w:name="_heading=h.3znysh7" w:id="2"/>
      <w:bookmarkEnd w:id="2"/>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000000" w:rsidDel="00000000" w:rsidP="00000000" w:rsidRDefault="00000000" w:rsidRPr="00000000" w14:paraId="00000011">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000000" w:rsidDel="00000000" w:rsidP="00000000" w:rsidRDefault="00000000" w:rsidRPr="00000000" w14:paraId="0000001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000000" w:rsidDel="00000000" w:rsidP="00000000" w:rsidRDefault="00000000" w:rsidRPr="00000000" w14:paraId="00000013">
      <w:pPr>
        <w:tabs>
          <w:tab w:val="left" w:leader="none" w:pos="4962"/>
        </w:tabs>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así que, si bien se estipuló que </w:t>
      </w:r>
      <w:r w:rsidDel="00000000" w:rsidR="00000000" w:rsidRPr="00000000">
        <w:rPr>
          <w:rFonts w:ascii="Palatino Linotype" w:cs="Palatino Linotype" w:eastAsia="Palatino Linotype" w:hAnsi="Palatino Linotype"/>
          <w:b w:val="1"/>
          <w:u w:val="single"/>
          <w:rtl w:val="0"/>
        </w:rPr>
        <w:t xml:space="preserve">las fotografías de servidores públicos, sin importar el nivel o rango, guardan la naturaleza de públicas y</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por lo tanto, no procede su clasificación,</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000000" w:rsidDel="00000000" w:rsidP="00000000" w:rsidRDefault="00000000" w:rsidRPr="00000000" w14:paraId="00000014">
      <w:pPr>
        <w:spacing w:after="240" w:before="240" w:line="360" w:lineRule="auto"/>
        <w:ind w:right="51"/>
        <w:jc w:val="both"/>
        <w:rPr>
          <w:rFonts w:ascii="Palatino Linotype" w:cs="Palatino Linotype" w:eastAsia="Palatino Linotype" w:hAnsi="Palatino Linotype"/>
        </w:rPr>
      </w:pPr>
      <w:bookmarkStart w:colFirst="0" w:colLast="0" w:name="_heading=h.xezr0okd57tn" w:id="3"/>
      <w:bookmarkEnd w:id="3"/>
      <w:r w:rsidDel="00000000" w:rsidR="00000000" w:rsidRPr="00000000">
        <w:rPr>
          <w:rFonts w:ascii="Palatino Linotype" w:cs="Palatino Linotype" w:eastAsia="Palatino Linotype" w:hAnsi="Palatino Linotype"/>
          <w:rtl w:val="0"/>
        </w:rPr>
        <w:t xml:space="preserve">Dado que el acceso a los documentos que contengan el dato materia de análisis, aún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000000" w:rsidDel="00000000" w:rsidP="00000000" w:rsidRDefault="00000000" w:rsidRPr="00000000" w14:paraId="00000015">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000000" w:rsidDel="00000000" w:rsidP="00000000" w:rsidRDefault="00000000" w:rsidRPr="00000000" w14:paraId="00000016">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que hace </w:t>
      </w:r>
      <w:r w:rsidDel="00000000" w:rsidR="00000000" w:rsidRPr="00000000">
        <w:rPr>
          <w:rFonts w:ascii="Palatino Linotype" w:cs="Palatino Linotype" w:eastAsia="Palatino Linotype" w:hAnsi="Palatino Linotype"/>
          <w:b w:val="1"/>
          <w:u w:val="single"/>
          <w:rtl w:val="0"/>
        </w:rPr>
        <w:t xml:space="preserve">los certificados de no deudor alimentario moroso,</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rsidR="00000000" w:rsidDel="00000000" w:rsidP="00000000" w:rsidRDefault="00000000" w:rsidRPr="00000000" w14:paraId="00000017">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000000" w:rsidDel="00000000" w:rsidP="00000000" w:rsidRDefault="00000000" w:rsidRPr="00000000" w14:paraId="00000018">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Más aún cuando en el Proyecto de Decreto por el que se Reforman y Adicionan Diversas Disposiciones para crear el Registro de Deudores Alimentarios del Estado de México, disponible en la dirección electrónica </w:t>
      </w:r>
      <w:hyperlink r:id="rId7">
        <w:r w:rsidDel="00000000" w:rsidR="00000000" w:rsidRPr="00000000">
          <w:rPr>
            <w:rFonts w:ascii="Palatino Linotype" w:cs="Palatino Linotype" w:eastAsia="Palatino Linotype" w:hAnsi="Palatino Linotype"/>
            <w:color w:val="0563c1"/>
            <w:u w:val="single"/>
            <w:rtl w:val="0"/>
          </w:rPr>
          <w:t xml:space="preserve">https://legislacion.edomex.gob.mx/sites/legislacion.edomex.gob.mx/files/files/pdf/gct/2014/nov144.PDF</w:t>
        </w:r>
      </w:hyperlink>
      <w:r w:rsidDel="00000000" w:rsidR="00000000" w:rsidRPr="00000000">
        <w:rPr>
          <w:rtl w:val="0"/>
        </w:rPr>
        <w:t xml:space="preserve"> </w:t>
      </w:r>
      <w:r w:rsidDel="00000000" w:rsidR="00000000" w:rsidRPr="00000000">
        <w:rPr>
          <w:rFonts w:ascii="Palatino Linotype" w:cs="Palatino Linotype" w:eastAsia="Palatino Linotype" w:hAnsi="Palatino Linotype"/>
          <w:rtl w:val="0"/>
        </w:rPr>
        <w:t xml:space="preserve">pueden advertirse los objetivos de crear dicho registro: </w:t>
      </w:r>
    </w:p>
    <w:p w:rsidR="00000000" w:rsidDel="00000000" w:rsidP="00000000" w:rsidRDefault="00000000" w:rsidRPr="00000000" w14:paraId="00000019">
      <w:pPr>
        <w:spacing w:after="120" w:before="120" w:line="240" w:lineRule="auto"/>
        <w:ind w:left="851" w:right="902"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“El interés superior del menor debe prevalecer en cualquier controversia de derecho familiar, situación que obliga a las autoridades a establecer las medidas necesarias para asegurar el cumplimiento del pago de la pensión alimenticia decretada a su favor.</w:t>
      </w:r>
    </w:p>
    <w:p w:rsidR="00000000" w:rsidDel="00000000" w:rsidP="00000000" w:rsidRDefault="00000000" w:rsidRPr="00000000" w14:paraId="0000001A">
      <w:pPr>
        <w:spacing w:after="120" w:before="120" w:line="240" w:lineRule="auto"/>
        <w:ind w:left="851" w:right="902"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000000" w:rsidDel="00000000" w:rsidP="00000000" w:rsidRDefault="00000000" w:rsidRPr="00000000" w14:paraId="0000001B">
      <w:pPr>
        <w:spacing w:after="120" w:before="120" w:line="240" w:lineRule="auto"/>
        <w:ind w:left="851" w:right="902"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000000" w:rsidDel="00000000" w:rsidP="00000000" w:rsidRDefault="00000000" w:rsidRPr="00000000" w14:paraId="0000001C">
      <w:pPr>
        <w:spacing w:after="120" w:before="120" w:line="240" w:lineRule="auto"/>
        <w:ind w:left="851" w:right="902" w:firstLine="0"/>
        <w:jc w:val="both"/>
        <w:rPr>
          <w:rFonts w:ascii="Palatino Linotype" w:cs="Palatino Linotype" w:eastAsia="Palatino Linotype" w:hAnsi="Palatino Linotype"/>
          <w:i w:val="1"/>
          <w:sz w:val="20"/>
          <w:szCs w:val="20"/>
        </w:rPr>
      </w:pPr>
      <w:bookmarkStart w:colFirst="0" w:colLast="0" w:name="_heading=h.1fob9te" w:id="4"/>
      <w:bookmarkEnd w:id="4"/>
      <w:r w:rsidDel="00000000" w:rsidR="00000000" w:rsidRPr="00000000">
        <w:rPr>
          <w:rFonts w:ascii="Palatino Linotype" w:cs="Palatino Linotype" w:eastAsia="Palatino Linotype" w:hAnsi="Palatino Linotype"/>
          <w:i w:val="1"/>
          <w:sz w:val="20"/>
          <w:szCs w:val="20"/>
          <w:rtl w:val="0"/>
        </w:rPr>
        <w:t xml:space="preserve">Los alimentos tienen carácter preferente a favor de los hijos, sin que pueda eximirse el deudor alimentario de su cumplimiento cuando esté en posibilidades de hacerlo. En el Estado de México,</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i w:val="1"/>
          <w:sz w:val="20"/>
          <w:szCs w:val="20"/>
          <w:rtl w:val="0"/>
        </w:rPr>
        <w:t xml:space="preserve">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000000" w:rsidDel="00000000" w:rsidP="00000000" w:rsidRDefault="00000000" w:rsidRPr="00000000" w14:paraId="0000001D">
      <w:pPr>
        <w:spacing w:after="120" w:before="120" w:line="240" w:lineRule="auto"/>
        <w:ind w:left="851" w:right="902" w:firstLine="0"/>
        <w:jc w:val="both"/>
        <w:rPr>
          <w:rFonts w:ascii="Palatino Linotype" w:cs="Palatino Linotype" w:eastAsia="Palatino Linotype" w:hAnsi="Palatino Linotype"/>
          <w:b w:val="1"/>
          <w:i w:val="1"/>
          <w:sz w:val="20"/>
          <w:szCs w:val="20"/>
          <w:u w:val="single"/>
        </w:rPr>
      </w:pPr>
      <w:r w:rsidDel="00000000" w:rsidR="00000000" w:rsidRPr="00000000">
        <w:rPr>
          <w:rFonts w:ascii="Palatino Linotype" w:cs="Palatino Linotype" w:eastAsia="Palatino Linotype" w:hAnsi="Palatino Linotype"/>
          <w:i w:val="1"/>
          <w:sz w:val="20"/>
          <w:szCs w:val="20"/>
          <w:rtl w:val="0"/>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Del="00000000" w:rsidR="00000000" w:rsidRPr="00000000">
        <w:rPr>
          <w:rFonts w:ascii="Palatino Linotype" w:cs="Palatino Linotype" w:eastAsia="Palatino Linotype" w:hAnsi="Palatino Linotype"/>
          <w:b w:val="1"/>
          <w:i w:val="1"/>
          <w:sz w:val="20"/>
          <w:szCs w:val="20"/>
          <w:u w:val="single"/>
          <w:rtl w:val="0"/>
        </w:rPr>
        <w:t xml:space="preserve">con la finalidad de asegurar el cumplimiento de las obligaciones alimentarias que tienen los padres para con sus menores hijos.”</w:t>
      </w:r>
    </w:p>
    <w:p w:rsidR="00000000" w:rsidDel="00000000" w:rsidP="00000000" w:rsidRDefault="00000000" w:rsidRPr="00000000" w14:paraId="0000001E">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rsidR="00000000" w:rsidDel="00000000" w:rsidP="00000000" w:rsidRDefault="00000000" w:rsidRPr="00000000" w14:paraId="0000001F">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sentido, a consideración de la suscrita lo procedente es clasificar el Certificado de no deudor alimentario moroso como </w:t>
      </w:r>
      <w:r w:rsidDel="00000000" w:rsidR="00000000" w:rsidRPr="00000000">
        <w:rPr>
          <w:rFonts w:ascii="Palatino Linotype" w:cs="Palatino Linotype" w:eastAsia="Palatino Linotype" w:hAnsi="Palatino Linotype"/>
          <w:b w:val="1"/>
          <w:rtl w:val="0"/>
        </w:rPr>
        <w:t xml:space="preserve">información confidencial en su totalidad</w:t>
      </w:r>
      <w:r w:rsidDel="00000000" w:rsidR="00000000" w:rsidRPr="00000000">
        <w:rPr>
          <w:rFonts w:ascii="Palatino Linotype" w:cs="Palatino Linotype" w:eastAsia="Palatino Linotype" w:hAnsi="Palatino Linotype"/>
          <w:rtl w:val="0"/>
        </w:rPr>
        <w:t xml:space="preserve"> en términos del artículo 143, fracción I, de la Ley de Transparencia y Acceso a la Información Pública del Estado de México y Municipios.</w:t>
      </w:r>
    </w:p>
    <w:p w:rsidR="00000000" w:rsidDel="00000000" w:rsidP="00000000" w:rsidRDefault="00000000" w:rsidRPr="00000000" w14:paraId="0000002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toda vez que la clasificación y la inexistencia no pueden coexistir.</w:t>
      </w:r>
    </w:p>
    <w:p w:rsidR="00000000" w:rsidDel="00000000" w:rsidP="00000000" w:rsidRDefault="00000000" w:rsidRPr="00000000" w14:paraId="00000021">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efecto de robustecer lo anterior, sirve de sustento el criterio orientador 29/10 emitido por el Instituto Nacional de Transparencia, Acceso a la Información y Protección de Datos Personales, INAI, el cual refiere lo siguiente: </w:t>
      </w:r>
    </w:p>
    <w:p w:rsidR="00000000" w:rsidDel="00000000" w:rsidP="00000000" w:rsidRDefault="00000000" w:rsidRPr="00000000" w14:paraId="00000022">
      <w:pPr>
        <w:tabs>
          <w:tab w:val="left" w:leader="none" w:pos="851"/>
        </w:tabs>
        <w:spacing w:after="120" w:before="120" w:line="240" w:lineRule="auto"/>
        <w:ind w:left="851" w:right="902"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rtl w:val="0"/>
        </w:rPr>
        <w:t xml:space="preserve"> </w:t>
      </w:r>
      <w:r w:rsidDel="00000000" w:rsidR="00000000" w:rsidRPr="00000000">
        <w:rPr>
          <w:rFonts w:ascii="Palatino Linotype" w:cs="Palatino Linotype" w:eastAsia="Palatino Linotype" w:hAnsi="Palatino Linotype"/>
          <w:i w:val="1"/>
          <w:sz w:val="20"/>
          <w:szCs w:val="20"/>
          <w:rtl w:val="0"/>
        </w:rPr>
        <w:t xml:space="preserve">“</w:t>
      </w:r>
      <w:r w:rsidDel="00000000" w:rsidR="00000000" w:rsidRPr="00000000">
        <w:rPr>
          <w:rFonts w:ascii="Palatino Linotype" w:cs="Palatino Linotype" w:eastAsia="Palatino Linotype" w:hAnsi="Palatino Linotype"/>
          <w:b w:val="1"/>
          <w:i w:val="1"/>
          <w:sz w:val="20"/>
          <w:szCs w:val="20"/>
          <w:rtl w:val="0"/>
        </w:rPr>
        <w:t xml:space="preserve">La clasificación y la inexistencia de información son conceptos que no pueden coexistir</w:t>
      </w:r>
      <w:r w:rsidDel="00000000" w:rsidR="00000000" w:rsidRPr="00000000">
        <w:rPr>
          <w:rFonts w:ascii="Palatino Linotype" w:cs="Palatino Linotype" w:eastAsia="Palatino Linotype" w:hAnsi="Palatino Linotype"/>
          <w:i w:val="1"/>
          <w:sz w:val="20"/>
          <w:szCs w:val="20"/>
          <w:rtl w:val="0"/>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rsidR="00000000" w:rsidDel="00000000" w:rsidP="00000000" w:rsidRDefault="00000000" w:rsidRPr="00000000" w14:paraId="00000023">
      <w:pPr>
        <w:tabs>
          <w:tab w:val="left" w:leader="none" w:pos="4962"/>
        </w:tabs>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por las razones antes expuestas que no comparto, en primer término, la publicidad de </w:t>
      </w:r>
      <w:r w:rsidDel="00000000" w:rsidR="00000000" w:rsidRPr="00000000">
        <w:rPr>
          <w:rFonts w:ascii="Palatino Linotype" w:cs="Palatino Linotype" w:eastAsia="Palatino Linotype" w:hAnsi="Palatino Linotype"/>
          <w:b w:val="1"/>
          <w:u w:val="single"/>
          <w:rtl w:val="0"/>
        </w:rPr>
        <w:t xml:space="preserve">la fotografía de las y los servidores públicos que NO cuenten con la calidad de mando medio y/o superior, o no tengan atención al público</w:t>
      </w:r>
      <w:r w:rsidDel="00000000" w:rsidR="00000000" w:rsidRPr="00000000">
        <w:rPr>
          <w:rFonts w:ascii="Palatino Linotype" w:cs="Palatino Linotype" w:eastAsia="Palatino Linotype" w:hAnsi="Palatino Linotype"/>
          <w:rtl w:val="0"/>
        </w:rPr>
        <w:t xml:space="preserve">, y, por otro lado, que se ordene la versión pública del </w:t>
      </w:r>
      <w:r w:rsidDel="00000000" w:rsidR="00000000" w:rsidRPr="00000000">
        <w:rPr>
          <w:rFonts w:ascii="Palatino Linotype" w:cs="Palatino Linotype" w:eastAsia="Palatino Linotype" w:hAnsi="Palatino Linotype"/>
          <w:b w:val="1"/>
          <w:u w:val="single"/>
          <w:rtl w:val="0"/>
        </w:rPr>
        <w:t xml:space="preserve">certificado de no deudor alimentario moroso</w:t>
      </w:r>
      <w:r w:rsidDel="00000000" w:rsidR="00000000" w:rsidRPr="00000000">
        <w:rPr>
          <w:rFonts w:ascii="Palatino Linotype" w:cs="Palatino Linotype" w:eastAsia="Palatino Linotype" w:hAnsi="Palatino Linotype"/>
          <w:rtl w:val="0"/>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tl w:val="0"/>
        </w:rPr>
      </w:r>
    </w:p>
    <w:p w:rsidR="00000000" w:rsidDel="00000000" w:rsidP="00000000" w:rsidRDefault="00000000" w:rsidRPr="00000000" w14:paraId="0000002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C">
      <w:pPr>
        <w:tabs>
          <w:tab w:val="left" w:leader="none" w:pos="851"/>
        </w:tabs>
        <w:spacing w:after="0" w:line="240" w:lineRule="auto"/>
        <w:ind w:right="902"/>
        <w:jc w:val="both"/>
        <w:rPr>
          <w:rFonts w:ascii="Palatino Linotype" w:cs="Palatino Linotype" w:eastAsia="Palatino Linotype" w:hAnsi="Palatino Linotype"/>
          <w:i w:val="1"/>
        </w:rPr>
      </w:pPr>
      <w:bookmarkStart w:colFirst="0" w:colLast="0" w:name="_heading=h.30j0zll" w:id="5"/>
      <w:bookmarkEnd w:id="5"/>
      <w:r w:rsidDel="00000000" w:rsidR="00000000" w:rsidRPr="00000000">
        <w:rPr>
          <w:rtl w:val="0"/>
        </w:rPr>
      </w:r>
    </w:p>
    <w:p w:rsidR="00000000" w:rsidDel="00000000" w:rsidP="00000000" w:rsidRDefault="00000000" w:rsidRPr="00000000" w14:paraId="0000003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B">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C">
      <w:pPr>
        <w:tabs>
          <w:tab w:val="left" w:leader="none" w:pos="709"/>
        </w:tabs>
        <w:spacing w:after="0" w:line="360" w:lineRule="auto"/>
        <w:jc w:val="both"/>
        <w:rPr>
          <w:rFonts w:ascii="Palatino Linotype" w:cs="Palatino Linotype" w:eastAsia="Palatino Linotype" w:hAnsi="Palatino Linotype"/>
          <w:b w:val="1"/>
        </w:rPr>
      </w:pPr>
      <w:r w:rsidDel="00000000" w:rsidR="00000000" w:rsidRPr="00000000">
        <w:rPr>
          <w:rtl w:val="0"/>
        </w:rPr>
      </w:r>
    </w:p>
    <w:sectPr>
      <w:headerReference r:id="rId8" w:type="default"/>
      <w:pgSz w:h="15840" w:w="12240" w:orient="portrait"/>
      <w:pgMar w:bottom="2552" w:top="1985" w:left="1701" w:right="1701"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76" w:lineRule="auto"/>
      <w:rPr>
        <w:rFonts w:ascii="Palatino Linotype" w:cs="Palatino Linotype" w:eastAsia="Palatino Linotype" w:hAnsi="Palatino Linotype"/>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-764539</wp:posOffset>
          </wp:positionH>
          <wp:positionV relativeFrom="paragraph">
            <wp:posOffset>172720</wp:posOffset>
          </wp:positionV>
          <wp:extent cx="7521053" cy="9897494"/>
          <wp:effectExtent b="0" l="0" r="0" t="0"/>
          <wp:wrapNone/>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1053" cy="9897494"/>
                  </a:xfrm>
                  <a:prstGeom prst="rect"/>
                  <a:ln/>
                </pic:spPr>
              </pic:pic>
            </a:graphicData>
          </a:graphic>
        </wp:anchor>
      </w:drawing>
    </w:r>
  </w:p>
  <w:tbl>
    <w:tblPr>
      <w:tblStyle w:val="Table1"/>
      <w:tblW w:w="5382.0" w:type="dxa"/>
      <w:jc w:val="left"/>
      <w:tblInd w:w="3402.0" w:type="dxa"/>
      <w:tblLayout w:type="fixed"/>
      <w:tblLook w:val="0400"/>
    </w:tblPr>
    <w:tblGrid>
      <w:gridCol w:w="2410"/>
      <w:gridCol w:w="2972"/>
      <w:tblGridChange w:id="0">
        <w:tblGrid>
          <w:gridCol w:w="2410"/>
          <w:gridCol w:w="2972"/>
        </w:tblGrid>
      </w:tblGridChange>
    </w:tblGrid>
    <w:tr>
      <w:trPr>
        <w:cantSplit w:val="0"/>
        <w:tblHeader w:val="0"/>
      </w:trPr>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w:t>
          </w:r>
        </w:p>
      </w:tc>
    </w:tr>
    <w:tr>
      <w:trPr>
        <w:cantSplit w:val="0"/>
        <w:tblHeader w:val="0"/>
      </w:trPr>
      <w:tc>
        <w:tcPr>
          <w:vAlign w:val="center"/>
        </w:tcPr>
        <w:p w:rsidR="00000000" w:rsidDel="00000000" w:rsidP="00000000" w:rsidRDefault="00000000" w:rsidRPr="00000000" w14:paraId="00000050">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00370/INFOEM/IP/RR/2025</w:t>
          </w:r>
        </w:p>
      </w:tc>
    </w:tr>
    <w:tr>
      <w:trPr>
        <w:cantSplit w:val="0"/>
        <w:tblHeader w:val="0"/>
      </w:trPr>
      <w:tc>
        <w:tcPr/>
        <w:p w:rsidR="00000000" w:rsidDel="00000000" w:rsidP="00000000" w:rsidRDefault="00000000" w:rsidRPr="00000000" w14:paraId="00000052">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w:t>
          </w:r>
        </w:p>
      </w:tc>
      <w:tc>
        <w:tcPr/>
        <w:p w:rsidR="00000000" w:rsidDel="00000000" w:rsidP="00000000" w:rsidRDefault="00000000" w:rsidRPr="00000000" w14:paraId="00000053">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Sistema Municipal Para el Desarrollo Integral de la Familia de Toluca</w:t>
          </w:r>
        </w:p>
      </w:tc>
    </w:tr>
    <w:tr>
      <w:trPr>
        <w:cantSplit w:val="0"/>
        <w:tblHeader w:val="0"/>
      </w:trPr>
      <w:tc>
        <w:tcPr/>
        <w:p w:rsidR="00000000" w:rsidDel="00000000" w:rsidP="00000000" w:rsidRDefault="00000000" w:rsidRPr="00000000" w14:paraId="00000054">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Comisionado Ponente:</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José Martínez Vilchis</w:t>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b w:val="1"/>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paragraph" w:customStyle="1">
    <w:name w:val="paragraph"/>
    <w:basedOn w:val="Normal"/>
    <w:rsid w:val="00C964C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aconcuadrcula1" w:customStyle="1">
    <w:name w:val="Tabla con cuadrícula1"/>
    <w:basedOn w:val="Tablanormal"/>
    <w:next w:val="Tablaconcuadrcula"/>
    <w:uiPriority w:val="59"/>
    <w:rsid w:val="00C964CC"/>
    <w:pPr>
      <w:spacing w:after="0" w:line="240" w:lineRule="auto"/>
    </w:pPr>
    <w:rPr>
      <w:rFonts w:cs="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
    <w:name w:val="Table Grid"/>
    <w:basedOn w:val="Tablanormal"/>
    <w:uiPriority w:val="59"/>
    <w:rsid w:val="00C96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DB4997"/>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inespaciado">
    <w:name w:val="No Spacing"/>
    <w:aliases w:val="Francesa,INAI"/>
    <w:link w:val="SinespaciadoCar"/>
    <w:uiPriority w:val="1"/>
    <w:qFormat w:val="1"/>
    <w:rsid w:val="00515C3E"/>
    <w:pPr>
      <w:spacing w:after="0" w:line="240" w:lineRule="auto"/>
      <w:ind w:left="567" w:right="567"/>
      <w:jc w:val="both"/>
    </w:pPr>
    <w:rPr>
      <w:rFonts w:ascii="Arial" w:cs="Times New Roman" w:eastAsia="Batang" w:hAnsi="Arial"/>
      <w:sz w:val="20"/>
      <w:szCs w:val="24"/>
      <w:lang w:eastAsia="es-ES" w:val="es-MX"/>
    </w:rPr>
  </w:style>
  <w:style w:type="character" w:styleId="SinespaciadoCar" w:customStyle="1">
    <w:name w:val="Sin espaciado Car"/>
    <w:aliases w:val="Francesa Car,INAI Car"/>
    <w:basedOn w:val="Fuentedeprrafopredeter"/>
    <w:link w:val="Sinespaciado"/>
    <w:uiPriority w:val="1"/>
    <w:qFormat w:val="1"/>
    <w:rsid w:val="00515C3E"/>
    <w:rPr>
      <w:rFonts w:ascii="Arial" w:cs="Times New Roman" w:eastAsia="Batang" w:hAnsi="Arial"/>
      <w:sz w:val="20"/>
      <w:szCs w:val="24"/>
      <w:lang w:eastAsia="es-ES" w:val="es-MX"/>
    </w:rPr>
  </w:style>
  <w:style w:type="paragraph" w:styleId="Citas" w:customStyle="1">
    <w:name w:val="Citas"/>
    <w:basedOn w:val="Normal"/>
    <w:qFormat w:val="1"/>
    <w:rsid w:val="00537CBA"/>
    <w:pPr>
      <w:spacing w:before="240" w:line="360" w:lineRule="auto"/>
      <w:ind w:left="851" w:right="851"/>
      <w:jc w:val="both"/>
    </w:pPr>
    <w:rPr>
      <w:rFonts w:ascii="Palatino Linotype" w:cs="Arial" w:hAnsi="Palatino Linotype" w:eastAsiaTheme="minorHAnsi"/>
      <w:i w:val="1"/>
      <w:lang w:eastAsia="en-US" w:val="es-MX"/>
    </w:rPr>
  </w:style>
  <w:style w:type="character" w:styleId="Refdecomentario">
    <w:name w:val="annotation reference"/>
    <w:basedOn w:val="Fuentedeprrafopredeter"/>
    <w:uiPriority w:val="99"/>
    <w:semiHidden w:val="1"/>
    <w:unhideWhenUsed w:val="1"/>
    <w:rsid w:val="00537CBA"/>
    <w:rPr>
      <w:sz w:val="16"/>
      <w:szCs w:val="16"/>
    </w:r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gislacion.edomex.gob.mx/sites/legislacion.edomex.gob.mx/files/files/pdf/gct/2014/nov144.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0+T4aC9umIvaBjbc1ly49NRuQ==">CgMxLjAyCGguZ2pkZ3hzMg5oLnNlem5rMHYza3dkcDIJaC4zem55c2g3Mg5oLnhlenIwb2tkNTd0bjIJaC4xZm9iOXRlMgloLjMwajB6bGw4AHIhMW83ZkZWOS1xVzNqcXlJenFjSUlzQzVxVnJGcWVJWGNT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2025-03-07T18:25:00Z</dcterms:created>
  <dc:creator>USUARIO</dc:creator>
</cp:coreProperties>
</file>