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50" w:rsidRDefault="00F13C66">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w:t>
      </w:r>
      <w:r w:rsidR="00A77A91">
        <w:rPr>
          <w:rFonts w:ascii="Palatino Linotype" w:eastAsia="Palatino Linotype" w:hAnsi="Palatino Linotype" w:cs="Palatino Linotype"/>
          <w:b/>
        </w:rPr>
        <w:t>SEXTA</w:t>
      </w:r>
      <w:r>
        <w:rPr>
          <w:rFonts w:ascii="Palatino Linotype" w:eastAsia="Palatino Linotype" w:hAnsi="Palatino Linotype" w:cs="Palatino Linotype"/>
          <w:b/>
        </w:rPr>
        <w:t xml:space="preserve"> SESIÓN ORDINARIA DEL </w:t>
      </w:r>
      <w:r w:rsidR="00A77A91">
        <w:rPr>
          <w:rFonts w:ascii="Palatino Linotype" w:eastAsia="Palatino Linotype" w:hAnsi="Palatino Linotype" w:cs="Palatino Linotype"/>
          <w:b/>
        </w:rPr>
        <w:t>TREINTA DE ABRIL</w:t>
      </w:r>
      <w:r>
        <w:rPr>
          <w:rFonts w:ascii="Palatino Linotype" w:eastAsia="Palatino Linotype" w:hAnsi="Palatino Linotype" w:cs="Palatino Linotype"/>
          <w:b/>
        </w:rPr>
        <w:t xml:space="preserve"> DE DOS MIL VEINTICINCO EN EL RECURSO DE REVISIÓN </w:t>
      </w:r>
      <w:r w:rsidR="0079730C">
        <w:rPr>
          <w:rFonts w:ascii="Palatino Linotype" w:eastAsia="Palatino Linotype" w:hAnsi="Palatino Linotype" w:cs="Palatino Linotype"/>
          <w:b/>
          <w:color w:val="000000"/>
        </w:rPr>
        <w:t>02565/INFOEM/IP/RR/2025.</w:t>
      </w:r>
    </w:p>
    <w:p w:rsidR="0079730C" w:rsidRDefault="0079730C">
      <w:pPr>
        <w:spacing w:after="0" w:line="360" w:lineRule="auto"/>
        <w:jc w:val="both"/>
        <w:rPr>
          <w:rFonts w:ascii="Palatino Linotype" w:eastAsia="Palatino Linotype" w:hAnsi="Palatino Linotype" w:cs="Palatino Linotype"/>
          <w:b/>
        </w:rPr>
      </w:pPr>
    </w:p>
    <w:p w:rsidR="00E30850" w:rsidRPr="00A77A91" w:rsidRDefault="00F13C66" w:rsidP="00A77A91">
      <w:pP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79730C">
        <w:rPr>
          <w:rFonts w:ascii="Palatino Linotype" w:eastAsia="Palatino Linotype" w:hAnsi="Palatino Linotype" w:cs="Palatino Linotype"/>
          <w:b/>
          <w:color w:val="000000"/>
        </w:rPr>
        <w:t>02565</w:t>
      </w:r>
      <w:r w:rsidR="00A77A91">
        <w:rPr>
          <w:rFonts w:ascii="Palatino Linotype" w:eastAsia="Palatino Linotype" w:hAnsi="Palatino Linotype" w:cs="Palatino Linotype"/>
          <w:b/>
          <w:color w:val="000000"/>
        </w:rPr>
        <w:t>/INFOEM/IP/RR/2025</w:t>
      </w:r>
      <w:r w:rsidR="0079730C">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30850" w:rsidRDefault="00E30850">
      <w:pPr>
        <w:spacing w:after="0" w:line="360" w:lineRule="auto"/>
        <w:ind w:right="-93"/>
        <w:jc w:val="both"/>
        <w:rPr>
          <w:rFonts w:ascii="Palatino Linotype" w:eastAsia="Palatino Linotype" w:hAnsi="Palatino Linotype" w:cs="Palatino Linotype"/>
        </w:rPr>
      </w:pPr>
    </w:p>
    <w:p w:rsidR="00E30850" w:rsidRDefault="00F13C66">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E30850" w:rsidRDefault="00E3085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30850" w:rsidRDefault="00F13C6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E30850" w:rsidRDefault="00E30850">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E30850" w:rsidRDefault="00F13C66">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E30850" w:rsidRDefault="00E30850">
      <w:pPr>
        <w:spacing w:after="0" w:line="276" w:lineRule="auto"/>
        <w:ind w:right="706"/>
        <w:jc w:val="both"/>
        <w:rPr>
          <w:rFonts w:ascii="Palatino Linotype" w:eastAsia="Palatino Linotype" w:hAnsi="Palatino Linotype" w:cs="Palatino Linotype"/>
          <w:i/>
        </w:rPr>
      </w:pPr>
    </w:p>
    <w:p w:rsidR="0079730C" w:rsidRPr="0079730C" w:rsidRDefault="0079730C" w:rsidP="0079730C">
      <w:pPr>
        <w:pStyle w:val="Prrafodelista"/>
        <w:numPr>
          <w:ilvl w:val="0"/>
          <w:numId w:val="2"/>
        </w:numPr>
        <w:autoSpaceDE w:val="0"/>
        <w:autoSpaceDN w:val="0"/>
        <w:adjustRightInd w:val="0"/>
        <w:spacing w:line="276" w:lineRule="auto"/>
        <w:ind w:left="567" w:right="423" w:firstLine="0"/>
        <w:contextualSpacing w:val="0"/>
        <w:jc w:val="both"/>
        <w:rPr>
          <w:rFonts w:ascii="Calibri" w:hAnsi="Calibri" w:cs="Calibri"/>
          <w:i/>
          <w:color w:val="000000"/>
          <w:u w:val="thick"/>
          <w:lang w:eastAsia="es-MX"/>
        </w:rPr>
      </w:pPr>
      <w:bookmarkStart w:id="1" w:name="_heading=h.45hwe8mv0ra7" w:colFirst="0" w:colLast="0"/>
      <w:bookmarkEnd w:id="1"/>
      <w:r w:rsidRPr="0079730C">
        <w:rPr>
          <w:rFonts w:ascii="Palatino Linotype" w:hAnsi="Palatino Linotype"/>
          <w:b/>
          <w:bCs/>
          <w:i/>
          <w:u w:val="thick"/>
        </w:rPr>
        <w:t xml:space="preserve">Fotografía: </w:t>
      </w:r>
    </w:p>
    <w:p w:rsidR="0079730C" w:rsidRPr="0079730C" w:rsidRDefault="0079730C" w:rsidP="0079730C">
      <w:pPr>
        <w:autoSpaceDE w:val="0"/>
        <w:autoSpaceDN w:val="0"/>
        <w:adjustRightInd w:val="0"/>
        <w:spacing w:line="276" w:lineRule="auto"/>
        <w:ind w:left="567" w:right="423"/>
        <w:jc w:val="both"/>
        <w:rPr>
          <w:i/>
          <w:color w:val="000000"/>
        </w:rPr>
      </w:pPr>
      <w:r w:rsidRPr="0079730C">
        <w:rPr>
          <w:rFonts w:ascii="Palatino Linotype" w:hAnsi="Palatino Linotype"/>
          <w:i/>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79730C" w:rsidRPr="0079730C" w:rsidRDefault="0079730C" w:rsidP="0079730C">
      <w:pPr>
        <w:spacing w:line="276" w:lineRule="auto"/>
        <w:ind w:left="567" w:right="423"/>
        <w:jc w:val="both"/>
        <w:rPr>
          <w:rFonts w:ascii="Palatino Linotype" w:hAnsi="Palatino Linotype"/>
          <w:i/>
          <w:color w:val="000000"/>
        </w:rPr>
      </w:pPr>
    </w:p>
    <w:p w:rsidR="0079730C" w:rsidRPr="0079730C" w:rsidRDefault="0079730C" w:rsidP="0079730C">
      <w:pPr>
        <w:spacing w:line="276" w:lineRule="auto"/>
        <w:ind w:left="567" w:right="423"/>
        <w:jc w:val="both"/>
        <w:rPr>
          <w:rFonts w:ascii="Palatino Linotype" w:hAnsi="Palatino Linotype"/>
          <w:i/>
          <w:color w:val="000000"/>
        </w:rPr>
      </w:pPr>
      <w:r w:rsidRPr="0079730C">
        <w:rPr>
          <w:rFonts w:ascii="Palatino Linotype" w:hAnsi="Palatino Linotype"/>
          <w: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79730C" w:rsidRPr="0079730C" w:rsidRDefault="0079730C" w:rsidP="0079730C">
      <w:pPr>
        <w:spacing w:line="276" w:lineRule="auto"/>
        <w:ind w:left="567" w:right="423"/>
        <w:jc w:val="both"/>
        <w:rPr>
          <w:rFonts w:ascii="Palatino Linotype" w:hAnsi="Palatino Linotype"/>
          <w:i/>
          <w:color w:val="000000"/>
        </w:rPr>
      </w:pPr>
    </w:p>
    <w:p w:rsidR="0079730C" w:rsidRPr="0079730C" w:rsidRDefault="0079730C" w:rsidP="0079730C">
      <w:pPr>
        <w:spacing w:line="276" w:lineRule="auto"/>
        <w:ind w:left="567" w:right="423"/>
        <w:jc w:val="both"/>
        <w:rPr>
          <w:rFonts w:ascii="Palatino Linotype" w:hAnsi="Palatino Linotype"/>
          <w:i/>
          <w:color w:val="000000"/>
        </w:rPr>
      </w:pPr>
      <w:r w:rsidRPr="0079730C">
        <w:rPr>
          <w:rFonts w:ascii="Palatino Linotype" w:hAnsi="Palatino Linotype"/>
          <w:i/>
          <w:color w:val="00000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w:t>
      </w:r>
      <w:r w:rsidRPr="0079730C">
        <w:rPr>
          <w:rFonts w:ascii="Palatino Linotype" w:hAnsi="Palatino Linotype"/>
          <w:i/>
          <w:color w:val="000000"/>
        </w:rPr>
        <w:lastRenderedPageBreak/>
        <w:t>ciudadanía, por ejemplo cuando se cubre el perfil de puesto; además cuando se brinda servicios a la ciudadanía, es de relevancia conocer e identificar a todos sus trabajadores, no importa el nivel o rango (</w:t>
      </w:r>
      <w:r w:rsidRPr="0079730C">
        <w:rPr>
          <w:rFonts w:ascii="Palatino Linotype" w:hAnsi="Palatino Linotype"/>
          <w:b/>
          <w:i/>
          <w:color w:val="000000"/>
          <w:u w:val="single"/>
        </w:rPr>
        <w:t>con excepción del personal operativo en materia de seguridad</w:t>
      </w:r>
      <w:r w:rsidRPr="0079730C">
        <w:rPr>
          <w:rFonts w:ascii="Palatino Linotype" w:hAnsi="Palatino Linotype"/>
          <w:i/>
          <w:color w:val="000000"/>
        </w:rPr>
        <w:t xml:space="preserve">, respecto del cual el Pleno de este Instituto ya se ha pronunciado en el sentido de que la información que los haga identificados o identificables debe clasificarse como </w:t>
      </w:r>
      <w:r w:rsidRPr="0079730C">
        <w:rPr>
          <w:rFonts w:ascii="Palatino Linotype" w:hAnsi="Palatino Linotype"/>
          <w:b/>
          <w:i/>
          <w:color w:val="000000"/>
        </w:rPr>
        <w:t>RESERVADA</w:t>
      </w:r>
      <w:r w:rsidRPr="0079730C">
        <w:rPr>
          <w:rFonts w:ascii="Palatino Linotype" w:hAnsi="Palatino Linotype"/>
          <w:i/>
          <w:color w:val="000000"/>
        </w:rPr>
        <w:t>).</w:t>
      </w:r>
    </w:p>
    <w:p w:rsidR="0079730C" w:rsidRPr="0079730C" w:rsidRDefault="0079730C" w:rsidP="0079730C">
      <w:pPr>
        <w:spacing w:line="276" w:lineRule="auto"/>
        <w:ind w:left="567" w:right="423"/>
        <w:jc w:val="both"/>
        <w:rPr>
          <w:rFonts w:ascii="Palatino Linotype" w:hAnsi="Palatino Linotype"/>
          <w:i/>
          <w:color w:val="000000"/>
        </w:rPr>
      </w:pPr>
    </w:p>
    <w:p w:rsidR="0079730C" w:rsidRPr="0079730C" w:rsidRDefault="0079730C" w:rsidP="0079730C">
      <w:pPr>
        <w:spacing w:line="276" w:lineRule="auto"/>
        <w:ind w:left="567" w:right="423"/>
        <w:jc w:val="both"/>
        <w:rPr>
          <w:rFonts w:ascii="Palatino Linotype" w:hAnsi="Palatino Linotype"/>
          <w:i/>
          <w:color w:val="000000"/>
        </w:rPr>
      </w:pPr>
      <w:r w:rsidRPr="0079730C">
        <w:rPr>
          <w:rFonts w:ascii="Palatino Linotype" w:hAnsi="Palatino Linotype"/>
          <w:i/>
          <w:color w:val="000000"/>
        </w:rPr>
        <w:t>En este sentido, resultan aplicables por analogía, los Criterios 15/17 y 1/13 del entonces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79730C" w:rsidRPr="0079730C" w:rsidRDefault="0079730C" w:rsidP="0079730C">
      <w:pPr>
        <w:pStyle w:val="Prrafodelista"/>
        <w:spacing w:line="276" w:lineRule="auto"/>
        <w:ind w:left="567" w:right="423"/>
        <w:jc w:val="both"/>
        <w:rPr>
          <w:rFonts w:ascii="Calibri" w:hAnsi="Calibri" w:cs="Calibri"/>
          <w:i/>
          <w:color w:val="000000"/>
          <w:lang w:eastAsia="es-MX"/>
        </w:rPr>
      </w:pPr>
    </w:p>
    <w:p w:rsidR="0079730C" w:rsidRPr="0079730C" w:rsidRDefault="0079730C" w:rsidP="0079730C">
      <w:pPr>
        <w:spacing w:line="276" w:lineRule="auto"/>
        <w:ind w:left="567" w:right="423"/>
        <w:jc w:val="both"/>
        <w:rPr>
          <w:i/>
          <w:color w:val="000000"/>
        </w:rPr>
      </w:pPr>
      <w:r w:rsidRPr="0079730C">
        <w:rPr>
          <w:rFonts w:ascii="Palatino Linotype" w:hAnsi="Palatino Linotype"/>
          <w:i/>
          <w:color w:val="000000"/>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79730C" w:rsidRPr="0079730C" w:rsidRDefault="0079730C" w:rsidP="0079730C">
      <w:pPr>
        <w:pStyle w:val="Prrafodelista"/>
        <w:spacing w:line="276" w:lineRule="auto"/>
        <w:ind w:left="567" w:right="423"/>
        <w:jc w:val="both"/>
        <w:rPr>
          <w:rFonts w:ascii="Palatino Linotype" w:hAnsi="Palatino Linotype" w:cs="Calibri"/>
          <w:b/>
          <w:bCs/>
          <w:i/>
          <w:color w:val="000000"/>
          <w:lang w:eastAsia="es-MX"/>
        </w:rPr>
      </w:pPr>
    </w:p>
    <w:p w:rsidR="0079730C" w:rsidRPr="0079730C" w:rsidRDefault="0079730C" w:rsidP="0079730C">
      <w:pPr>
        <w:spacing w:line="276" w:lineRule="auto"/>
        <w:ind w:left="567" w:right="423"/>
        <w:jc w:val="both"/>
        <w:rPr>
          <w:i/>
          <w:color w:val="000000"/>
        </w:rPr>
      </w:pPr>
      <w:r w:rsidRPr="0079730C">
        <w:rPr>
          <w:rFonts w:ascii="Palatino Linotype" w:hAnsi="Palatino Linotype"/>
          <w:i/>
          <w:color w:val="000000"/>
        </w:rPr>
        <w:t xml:space="preserve">Por lo anterior, cuando las fotografías de los servidores públicos obran en documentos que dan cuenta del cumplimiento de funciones, </w:t>
      </w:r>
      <w:r w:rsidRPr="0079730C">
        <w:rPr>
          <w:rFonts w:ascii="Palatino Linotype" w:hAnsi="Palatino Linotype"/>
          <w:i/>
          <w:color w:val="000000"/>
          <w:u w:val="single"/>
        </w:rPr>
        <w:t>requisitos legales</w:t>
      </w:r>
      <w:r w:rsidRPr="0079730C">
        <w:rPr>
          <w:rFonts w:ascii="Palatino Linotype" w:hAnsi="Palatino Linotype"/>
          <w:i/>
          <w:color w:val="000000"/>
        </w:rPr>
        <w:t xml:space="preserve"> o los acredita como servidores públicos, deben ser consideradas un dato personal, </w:t>
      </w:r>
      <w:r w:rsidRPr="0079730C">
        <w:rPr>
          <w:rFonts w:ascii="Palatino Linotype" w:hAnsi="Palatino Linotype"/>
          <w:b/>
          <w:i/>
          <w:color w:val="000000"/>
          <w:u w:val="single"/>
        </w:rPr>
        <w:t>que no puede ser clasificado como confidencial</w:t>
      </w:r>
      <w:r w:rsidRPr="0079730C">
        <w:rPr>
          <w:rFonts w:ascii="Palatino Linotype" w:hAnsi="Palatino Linotype"/>
          <w:i/>
          <w:color w:val="000000"/>
        </w:rPr>
        <w:t xml:space="preserve">, pues en este caso, es superado por el interés público de conocer si en realidad, la persona que se ostenta en carácter de servidor público, se encuentra en ese encargo, si </w:t>
      </w:r>
      <w:r w:rsidRPr="0079730C">
        <w:rPr>
          <w:rFonts w:ascii="Palatino Linotype" w:hAnsi="Palatino Linotype"/>
          <w:i/>
          <w:color w:val="000000"/>
        </w:rPr>
        <w:lastRenderedPageBreak/>
        <w:t>realiza las funciones o si cumple con los requisitos legales; sin que se considere como factor diferenciador para determinar la publicidad o clasificación el cargo o nivel jerárquico en el que se desempeñe el servidor público.</w:t>
      </w:r>
    </w:p>
    <w:p w:rsidR="0079730C" w:rsidRPr="0079730C" w:rsidRDefault="0079730C" w:rsidP="0079730C">
      <w:pPr>
        <w:pStyle w:val="Prrafodelista"/>
        <w:spacing w:line="276" w:lineRule="auto"/>
        <w:ind w:left="567" w:right="423"/>
        <w:jc w:val="both"/>
        <w:rPr>
          <w:rFonts w:ascii="Calibri" w:hAnsi="Calibri" w:cs="Calibri"/>
          <w:i/>
          <w:color w:val="000000"/>
          <w:lang w:eastAsia="es-MX"/>
        </w:rPr>
      </w:pPr>
    </w:p>
    <w:p w:rsidR="0079730C" w:rsidRPr="0079730C" w:rsidRDefault="0079730C" w:rsidP="0079730C">
      <w:pPr>
        <w:spacing w:line="276" w:lineRule="auto"/>
        <w:ind w:left="567" w:right="423"/>
        <w:jc w:val="both"/>
        <w:rPr>
          <w:rFonts w:ascii="Palatino Linotype" w:hAnsi="Palatino Linotype"/>
          <w:i/>
          <w:color w:val="000000"/>
        </w:rPr>
      </w:pPr>
      <w:r w:rsidRPr="0079730C">
        <w:rPr>
          <w:rFonts w:ascii="Palatino Linotype" w:hAnsi="Palatino Linotype"/>
          <w:i/>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79730C" w:rsidRPr="0079730C" w:rsidRDefault="0079730C" w:rsidP="0079730C">
      <w:pPr>
        <w:pStyle w:val="Prrafodelista"/>
        <w:spacing w:line="276" w:lineRule="auto"/>
        <w:ind w:left="567" w:right="423"/>
        <w:jc w:val="both"/>
        <w:rPr>
          <w:rFonts w:ascii="Calibri" w:hAnsi="Calibri" w:cs="Calibri"/>
          <w:i/>
          <w:color w:val="000000"/>
          <w:lang w:eastAsia="es-MX"/>
        </w:rPr>
      </w:pPr>
    </w:p>
    <w:p w:rsidR="00E30850" w:rsidRPr="0079730C" w:rsidRDefault="0079730C" w:rsidP="0079730C">
      <w:pPr>
        <w:spacing w:line="276" w:lineRule="auto"/>
        <w:ind w:left="567" w:right="423"/>
        <w:jc w:val="both"/>
        <w:rPr>
          <w:rFonts w:ascii="Palatino Linotype" w:hAnsi="Palatino Linotype"/>
          <w:i/>
          <w:color w:val="000000"/>
        </w:rPr>
      </w:pPr>
      <w:r w:rsidRPr="0079730C">
        <w:rPr>
          <w:rFonts w:ascii="Palatino Linotype" w:hAnsi="Palatino Linotype"/>
          <w:i/>
          <w:color w:val="000000"/>
        </w:rPr>
        <w:t xml:space="preserve">Cabe hacer la aclaración que aquellos documentos que sean clasificados en su totalidad por no revestir de interés público, como lo es la credencial de elector, la fotografía correrá la misma suerte que el documento en cuestión, únicamente </w:t>
      </w:r>
      <w:r w:rsidRPr="0079730C">
        <w:rPr>
          <w:rFonts w:ascii="Palatino Linotype" w:hAnsi="Palatino Linotype"/>
          <w:i/>
          <w:color w:val="000000"/>
        </w:rPr>
        <w:t>para dicha expresión documental</w:t>
      </w:r>
      <w:r w:rsidR="00F13C66" w:rsidRPr="0079730C">
        <w:rPr>
          <w:rFonts w:ascii="Palatino Linotype" w:eastAsia="Palatino Linotype" w:hAnsi="Palatino Linotype" w:cs="Palatino Linotype"/>
          <w:i/>
        </w:rPr>
        <w:t>.</w:t>
      </w:r>
    </w:p>
    <w:p w:rsidR="00E30850" w:rsidRDefault="00E30850">
      <w:pPr>
        <w:spacing w:after="0" w:line="276" w:lineRule="auto"/>
        <w:ind w:left="567" w:right="706"/>
        <w:jc w:val="both"/>
        <w:rPr>
          <w:rFonts w:ascii="Palatino Linotype" w:eastAsia="Palatino Linotype" w:hAnsi="Palatino Linotype" w:cs="Palatino Linotype"/>
          <w:i/>
        </w:rPr>
      </w:pPr>
    </w:p>
    <w:p w:rsidR="00E30850" w:rsidRDefault="00F13C66">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E30850" w:rsidRDefault="00E30850">
      <w:pPr>
        <w:spacing w:after="0" w:line="360" w:lineRule="auto"/>
        <w:jc w:val="both"/>
        <w:rPr>
          <w:rFonts w:ascii="Palatino Linotype" w:eastAsia="Palatino Linotype" w:hAnsi="Palatino Linotype" w:cs="Palatino Linotype"/>
        </w:rPr>
      </w:pPr>
    </w:p>
    <w:p w:rsidR="00E30850" w:rsidRDefault="00F13C6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E30850" w:rsidRDefault="00E30850">
      <w:pPr>
        <w:spacing w:after="0" w:line="360" w:lineRule="auto"/>
        <w:jc w:val="both"/>
        <w:rPr>
          <w:rFonts w:ascii="Palatino Linotype" w:eastAsia="Palatino Linotype" w:hAnsi="Palatino Linotype" w:cs="Palatino Linotype"/>
        </w:rPr>
      </w:pPr>
    </w:p>
    <w:p w:rsidR="00E30850" w:rsidRDefault="00F13C66">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E30850" w:rsidRDefault="00E30850">
      <w:pPr>
        <w:spacing w:after="0" w:line="360" w:lineRule="auto"/>
        <w:ind w:right="140"/>
        <w:jc w:val="both"/>
        <w:rPr>
          <w:rFonts w:ascii="Palatino Linotype" w:eastAsia="Palatino Linotype" w:hAnsi="Palatino Linotype" w:cs="Palatino Linotype"/>
        </w:rPr>
      </w:pPr>
    </w:p>
    <w:p w:rsidR="00E30850" w:rsidRDefault="00F13C66">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w:t>
      </w:r>
      <w:r>
        <w:rPr>
          <w:rFonts w:ascii="Palatino Linotype" w:eastAsia="Palatino Linotype" w:hAnsi="Palatino Linotype" w:cs="Palatino Linotype"/>
        </w:rPr>
        <w:lastRenderedPageBreak/>
        <w:t>un servidor público puede justificar la limitación de su derecho a la privacidad, pero esto debe evaluarse cuidadosamente en cada caso y no ser la regla general.</w:t>
      </w:r>
    </w:p>
    <w:p w:rsidR="00E30850" w:rsidRDefault="00E30850">
      <w:pPr>
        <w:tabs>
          <w:tab w:val="left" w:pos="4962"/>
        </w:tabs>
        <w:spacing w:after="0" w:line="360" w:lineRule="auto"/>
        <w:jc w:val="both"/>
        <w:rPr>
          <w:rFonts w:ascii="Palatino Linotype" w:eastAsia="Palatino Linotype" w:hAnsi="Palatino Linotype" w:cs="Palatino Linotype"/>
        </w:rPr>
      </w:pPr>
    </w:p>
    <w:p w:rsidR="00E30850" w:rsidRDefault="00F13C66">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E30850" w:rsidRDefault="00E30850">
      <w:pPr>
        <w:spacing w:after="0" w:line="360" w:lineRule="auto"/>
        <w:jc w:val="both"/>
        <w:rPr>
          <w:rFonts w:ascii="Palatino Linotype" w:eastAsia="Palatino Linotype" w:hAnsi="Palatino Linotype" w:cs="Palatino Linotype"/>
        </w:rPr>
      </w:pPr>
    </w:p>
    <w:p w:rsidR="00E30850" w:rsidRDefault="00F13C6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E30850" w:rsidRDefault="00E30850">
      <w:pPr>
        <w:spacing w:after="0" w:line="360" w:lineRule="auto"/>
        <w:jc w:val="both"/>
        <w:rPr>
          <w:rFonts w:ascii="Palatino Linotype" w:eastAsia="Palatino Linotype" w:hAnsi="Palatino Linotype" w:cs="Palatino Linotype"/>
        </w:rPr>
      </w:pPr>
    </w:p>
    <w:p w:rsidR="00E30850" w:rsidRDefault="00F13C66" w:rsidP="0079730C">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79730C" w:rsidRPr="0079730C" w:rsidRDefault="0079730C" w:rsidP="0079730C">
      <w:pPr>
        <w:tabs>
          <w:tab w:val="left" w:pos="4962"/>
        </w:tabs>
        <w:spacing w:after="0" w:line="360" w:lineRule="auto"/>
        <w:jc w:val="both"/>
        <w:rPr>
          <w:rFonts w:ascii="Palatino Linotype" w:eastAsia="Palatino Linotype" w:hAnsi="Palatino Linotype" w:cs="Palatino Linotype"/>
        </w:rPr>
      </w:pPr>
      <w:bookmarkStart w:id="4" w:name="_GoBack"/>
      <w:bookmarkEnd w:id="4"/>
    </w:p>
    <w:sectPr w:rsidR="0079730C" w:rsidRPr="0079730C">
      <w:headerReference w:type="default" r:id="rId8"/>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5E" w:rsidRDefault="00F13C66">
      <w:pPr>
        <w:spacing w:after="0" w:line="240" w:lineRule="auto"/>
      </w:pPr>
      <w:r>
        <w:separator/>
      </w:r>
    </w:p>
  </w:endnote>
  <w:endnote w:type="continuationSeparator" w:id="0">
    <w:p w:rsidR="00C52F5E" w:rsidRDefault="00F1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5E" w:rsidRDefault="00F13C66">
      <w:pPr>
        <w:spacing w:after="0" w:line="240" w:lineRule="auto"/>
      </w:pPr>
      <w:r>
        <w:separator/>
      </w:r>
    </w:p>
  </w:footnote>
  <w:footnote w:type="continuationSeparator" w:id="0">
    <w:p w:rsidR="00C52F5E" w:rsidRDefault="00F13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50" w:rsidRDefault="00F13C6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-612140</wp:posOffset>
          </wp:positionH>
          <wp:positionV relativeFrom="paragraph">
            <wp:posOffset>-301625</wp:posOffset>
          </wp:positionV>
          <wp:extent cx="7521053" cy="9897494"/>
          <wp:effectExtent l="0" t="0" r="0" b="0"/>
          <wp:wrapNone/>
          <wp:docPr id="271640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r>
      <w:rPr>
        <w:rFonts w:ascii="Palatino Linotype" w:eastAsia="Palatino Linotype" w:hAnsi="Palatino Linotype" w:cs="Palatino Linotype"/>
        <w:b/>
        <w:color w:val="000000"/>
        <w:sz w:val="20"/>
        <w:szCs w:val="20"/>
      </w:rPr>
      <w:t xml:space="preserve">VOTO PARTICULAR </w:t>
    </w:r>
  </w:p>
  <w:p w:rsidR="00E30850" w:rsidRDefault="0079730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02565</w:t>
    </w:r>
    <w:r w:rsidR="00F13C66">
      <w:rPr>
        <w:rFonts w:ascii="Palatino Linotype" w:eastAsia="Palatino Linotype" w:hAnsi="Palatino Linotype" w:cs="Palatino Linotype"/>
        <w:b/>
        <w:color w:val="000000"/>
        <w:sz w:val="20"/>
        <w:szCs w:val="20"/>
      </w:rPr>
      <w:t>/INFOEM/IP/RR/2025</w:t>
    </w:r>
  </w:p>
  <w:p w:rsidR="00E30850" w:rsidRDefault="00F13C6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79730C">
      <w:rPr>
        <w:rFonts w:ascii="Palatino Linotype" w:eastAsia="Palatino Linotype" w:hAnsi="Palatino Linotype" w:cs="Palatino Linotype"/>
        <w:b/>
        <w:color w:val="000000"/>
        <w:sz w:val="20"/>
        <w:szCs w:val="20"/>
      </w:rPr>
      <w:t>Ayuntamiento de Atlacomulco</w:t>
    </w:r>
  </w:p>
  <w:p w:rsidR="00E30850" w:rsidRDefault="00F13C6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sidRPr="00F13C66">
      <w:rPr>
        <w:rFonts w:ascii="Palatino Linotype" w:eastAsia="Palatino Linotype" w:hAnsi="Palatino Linotype" w:cs="Palatino Linotype"/>
        <w:b/>
        <w:color w:val="000000"/>
        <w:sz w:val="20"/>
        <w:szCs w:val="20"/>
      </w:rPr>
      <w:t>Comisionado Ponente</w:t>
    </w:r>
    <w:r>
      <w:rPr>
        <w:rFonts w:ascii="Palatino Linotype" w:eastAsia="Palatino Linotype" w:hAnsi="Palatino Linotype" w:cs="Palatino Linotype"/>
        <w:b/>
        <w:color w:val="000000"/>
        <w:sz w:val="20"/>
        <w:szCs w:val="20"/>
      </w:rPr>
      <w:t xml:space="preserve">: </w:t>
    </w:r>
    <w:r w:rsidR="0079730C">
      <w:rPr>
        <w:rFonts w:ascii="Palatino Linotype" w:eastAsia="Palatino Linotype" w:hAnsi="Palatino Linotype" w:cs="Palatino Linotype"/>
        <w:b/>
        <w:color w:val="000000"/>
        <w:sz w:val="20"/>
        <w:szCs w:val="20"/>
      </w:rPr>
      <w:t>José Martínez Vilchis</w:t>
    </w:r>
  </w:p>
  <w:p w:rsidR="00E30850" w:rsidRDefault="00E3085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30850" w:rsidRDefault="00E3085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30850" w:rsidRDefault="00E3085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675AB"/>
    <w:multiLevelType w:val="multilevel"/>
    <w:tmpl w:val="C0B2E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50"/>
    <w:rsid w:val="006840B7"/>
    <w:rsid w:val="0079730C"/>
    <w:rsid w:val="00A77A91"/>
    <w:rsid w:val="00C52F5E"/>
    <w:rsid w:val="00E30850"/>
    <w:rsid w:val="00F13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30DCE9-094C-48A9-9091-565E28DE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42r8c7lfBfjEWhNM2S+cq8gkQ==">CgMxLjAyCGguZ2pkZ3hzMg5oLjQ1aHdlOG12MHJhNzIOaC55bHZwcDlsaXM3eHYyDmguOGYxdW0zOGx4amx2Mg5oLnNlem5rMHYza3dkcDIOaC54ZXpyMG9rZDU3dG4yCWguMmV0OTJwMDIJaC4zMGowemxsOAByITFvWXNUU3gzeFJLSnBSeW9MaXJXSTd1djJvdzFPMV9kXw==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8878</Characters>
  <Application>Microsoft Office Word</Application>
  <DocSecurity>0</DocSecurity>
  <Lines>286</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2025-05-01T00:57:00Z</dcterms:created>
  <dcterms:modified xsi:type="dcterms:W3CDTF">2025-05-01T00:57:00Z</dcterms:modified>
</cp:coreProperties>
</file>